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9"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_______________________</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1"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_______________________</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19, 2026</w:t>
      </w:r>
    </w:p>
    <w:p>
      <w:pPr>
        <w:spacing w:after="0" w:line="63"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_______________________</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SCILEX HOLDING COMPANY</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_______________________</w:t>
      </w:r>
    </w:p>
    <w:p>
      <w:pPr>
        <w:spacing w:after="0" w:line="41" w:lineRule="exact"/>
        <w:rPr>
          <w:sz w:val="24"/>
          <w:szCs w:val="24"/>
          <w:color w:val="auto"/>
        </w:rPr>
      </w:pPr>
    </w:p>
    <w:tbl>
      <w:tblPr>
        <w:tblLayout w:type="fixed"/>
        <w:tblInd w:w="1060" w:type="dxa"/>
        <w:tblCellMar>
          <w:top w:w="0" w:type="dxa"/>
          <w:left w:w="0" w:type="dxa"/>
          <w:bottom w:w="0" w:type="dxa"/>
          <w:right w:w="0" w:type="dxa"/>
        </w:tblCellMar>
      </w:tblPr>
      <w:tr>
        <w:trPr>
          <w:trHeight w:val="214"/>
        </w:trPr>
        <w:tc>
          <w:tcPr>
            <w:tcW w:w="2080" w:type="dxa"/>
            <w:vAlign w:val="bottom"/>
          </w:tcPr>
          <w:p>
            <w:pPr>
              <w:jc w:val="center"/>
              <w:ind w:right="36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100" w:type="dxa"/>
            <w:vAlign w:val="bottom"/>
          </w:tcPr>
          <w:p>
            <w:pPr>
              <w:jc w:val="right"/>
              <w:ind w:right="2139"/>
              <w:spacing w:after="0"/>
              <w:rPr>
                <w:sz w:val="20"/>
                <w:szCs w:val="20"/>
                <w:color w:val="auto"/>
              </w:rPr>
            </w:pPr>
            <w:r>
              <w:rPr>
                <w:rFonts w:ascii="Times New Roman" w:cs="Times New Roman" w:eastAsia="Times New Roman" w:hAnsi="Times New Roman"/>
                <w:sz w:val="18"/>
                <w:szCs w:val="18"/>
                <w:b w:val="1"/>
                <w:bCs w:val="1"/>
                <w:color w:val="auto"/>
              </w:rPr>
              <w:t>001-39852</w:t>
            </w:r>
          </w:p>
        </w:tc>
        <w:tc>
          <w:tcPr>
            <w:tcW w:w="1700" w:type="dxa"/>
            <w:vAlign w:val="bottom"/>
          </w:tcPr>
          <w:p>
            <w:pPr>
              <w:jc w:val="center"/>
              <w:ind w:left="482"/>
              <w:spacing w:after="0"/>
              <w:rPr>
                <w:sz w:val="20"/>
                <w:szCs w:val="20"/>
                <w:color w:val="auto"/>
              </w:rPr>
            </w:pPr>
            <w:r>
              <w:rPr>
                <w:rFonts w:ascii="Times New Roman" w:cs="Times New Roman" w:eastAsia="Times New Roman" w:hAnsi="Times New Roman"/>
                <w:sz w:val="18"/>
                <w:szCs w:val="18"/>
                <w:b w:val="1"/>
                <w:bCs w:val="1"/>
                <w:color w:val="auto"/>
                <w:w w:val="98"/>
              </w:rPr>
              <w:t>92-1062542</w:t>
            </w:r>
          </w:p>
        </w:tc>
      </w:tr>
      <w:tr>
        <w:trPr>
          <w:trHeight w:val="149"/>
        </w:trPr>
        <w:tc>
          <w:tcPr>
            <w:tcW w:w="2080" w:type="dxa"/>
            <w:vAlign w:val="bottom"/>
          </w:tcPr>
          <w:p>
            <w:pPr>
              <w:jc w:val="center"/>
              <w:ind w:right="36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10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700" w:type="dxa"/>
            <w:vAlign w:val="bottom"/>
          </w:tcPr>
          <w:p>
            <w:pPr>
              <w:jc w:val="center"/>
              <w:ind w:left="4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80" w:type="dxa"/>
            <w:vAlign w:val="bottom"/>
          </w:tcPr>
          <w:p>
            <w:pPr>
              <w:jc w:val="center"/>
              <w:ind w:right="34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1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00" w:type="dxa"/>
            <w:vAlign w:val="bottom"/>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42"/>
        </w:trPr>
        <w:tc>
          <w:tcPr>
            <w:tcW w:w="2080" w:type="dxa"/>
            <w:vAlign w:val="bottom"/>
          </w:tcPr>
          <w:p>
            <w:pPr>
              <w:spacing w:after="0"/>
              <w:rPr>
                <w:sz w:val="21"/>
                <w:szCs w:val="21"/>
                <w:color w:val="auto"/>
              </w:rPr>
            </w:pPr>
          </w:p>
        </w:tc>
        <w:tc>
          <w:tcPr>
            <w:tcW w:w="510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960 San Antonio Road, Palo Alto, California, 94303</w:t>
            </w:r>
          </w:p>
        </w:tc>
        <w:tc>
          <w:tcPr>
            <w:tcW w:w="1700" w:type="dxa"/>
            <w:vAlign w:val="bottom"/>
          </w:tcPr>
          <w:p>
            <w:pPr>
              <w:spacing w:after="0"/>
              <w:rPr>
                <w:sz w:val="21"/>
                <w:szCs w:val="21"/>
                <w:color w:val="auto"/>
              </w:rPr>
            </w:pPr>
          </w:p>
        </w:tc>
      </w:tr>
      <w:tr>
        <w:trPr>
          <w:trHeight w:val="190"/>
        </w:trPr>
        <w:tc>
          <w:tcPr>
            <w:tcW w:w="2080" w:type="dxa"/>
            <w:vAlign w:val="bottom"/>
          </w:tcPr>
          <w:p>
            <w:pPr>
              <w:spacing w:after="0"/>
              <w:rPr>
                <w:sz w:val="16"/>
                <w:szCs w:val="16"/>
                <w:color w:val="auto"/>
              </w:rPr>
            </w:pPr>
          </w:p>
        </w:tc>
        <w:tc>
          <w:tcPr>
            <w:tcW w:w="51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700" w:type="dxa"/>
            <w:vAlign w:val="bottom"/>
          </w:tcPr>
          <w:p>
            <w:pPr>
              <w:spacing w:after="0"/>
              <w:rPr>
                <w:sz w:val="16"/>
                <w:szCs w:val="16"/>
                <w:color w:val="auto"/>
              </w:rPr>
            </w:pPr>
          </w:p>
        </w:tc>
      </w:tr>
      <w:tr>
        <w:trPr>
          <w:trHeight w:val="253"/>
        </w:trPr>
        <w:tc>
          <w:tcPr>
            <w:tcW w:w="2080" w:type="dxa"/>
            <w:vAlign w:val="bottom"/>
          </w:tcPr>
          <w:p>
            <w:pPr>
              <w:spacing w:after="0"/>
              <w:rPr>
                <w:sz w:val="22"/>
                <w:szCs w:val="22"/>
                <w:color w:val="auto"/>
              </w:rPr>
            </w:pPr>
          </w:p>
        </w:tc>
        <w:tc>
          <w:tcPr>
            <w:tcW w:w="5100" w:type="dxa"/>
            <w:vAlign w:val="bottom"/>
          </w:tcPr>
          <w:p>
            <w:pPr>
              <w:jc w:val="right"/>
              <w:ind w:right="1979"/>
              <w:spacing w:after="0"/>
              <w:rPr>
                <w:sz w:val="20"/>
                <w:szCs w:val="20"/>
                <w:color w:val="auto"/>
              </w:rPr>
            </w:pPr>
            <w:r>
              <w:rPr>
                <w:rFonts w:ascii="Times New Roman" w:cs="Times New Roman" w:eastAsia="Times New Roman" w:hAnsi="Times New Roman"/>
                <w:sz w:val="18"/>
                <w:szCs w:val="18"/>
                <w:b w:val="1"/>
                <w:bCs w:val="1"/>
                <w:color w:val="auto"/>
              </w:rPr>
              <w:t>(650) 516-4310</w:t>
            </w:r>
          </w:p>
        </w:tc>
        <w:tc>
          <w:tcPr>
            <w:tcW w:w="1700" w:type="dxa"/>
            <w:vAlign w:val="bottom"/>
          </w:tcPr>
          <w:p>
            <w:pPr>
              <w:spacing w:after="0"/>
              <w:rPr>
                <w:sz w:val="22"/>
                <w:szCs w:val="22"/>
                <w:color w:val="auto"/>
              </w:rPr>
            </w:pPr>
          </w:p>
        </w:tc>
      </w:tr>
      <w:tr>
        <w:trPr>
          <w:trHeight w:val="220"/>
        </w:trPr>
        <w:tc>
          <w:tcPr>
            <w:tcW w:w="2080" w:type="dxa"/>
            <w:vAlign w:val="bottom"/>
          </w:tcPr>
          <w:p>
            <w:pPr>
              <w:spacing w:after="0"/>
              <w:rPr>
                <w:sz w:val="19"/>
                <w:szCs w:val="19"/>
                <w:color w:val="auto"/>
              </w:rPr>
            </w:pPr>
          </w:p>
        </w:tc>
        <w:tc>
          <w:tcPr>
            <w:tcW w:w="51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00" w:type="dxa"/>
            <w:vAlign w:val="bottom"/>
          </w:tcPr>
          <w:p>
            <w:pPr>
              <w:spacing w:after="0"/>
              <w:rPr>
                <w:sz w:val="19"/>
                <w:szCs w:val="19"/>
                <w:color w:val="auto"/>
              </w:rPr>
            </w:pPr>
          </w:p>
        </w:tc>
      </w:tr>
      <w:tr>
        <w:trPr>
          <w:trHeight w:val="228"/>
        </w:trPr>
        <w:tc>
          <w:tcPr>
            <w:tcW w:w="2080" w:type="dxa"/>
            <w:vAlign w:val="bottom"/>
          </w:tcPr>
          <w:p>
            <w:pPr>
              <w:spacing w:after="0"/>
              <w:rPr>
                <w:sz w:val="19"/>
                <w:szCs w:val="19"/>
                <w:color w:val="auto"/>
              </w:rPr>
            </w:pPr>
          </w:p>
        </w:tc>
        <w:tc>
          <w:tcPr>
            <w:tcW w:w="510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w:t>
            </w:r>
          </w:p>
        </w:tc>
        <w:tc>
          <w:tcPr>
            <w:tcW w:w="1700" w:type="dxa"/>
            <w:vAlign w:val="bottom"/>
          </w:tcPr>
          <w:p>
            <w:pPr>
              <w:spacing w:after="0"/>
              <w:rPr>
                <w:sz w:val="19"/>
                <w:szCs w:val="19"/>
                <w:color w:val="auto"/>
              </w:rPr>
            </w:pPr>
          </w:p>
        </w:tc>
      </w:tr>
      <w:tr>
        <w:trPr>
          <w:trHeight w:val="190"/>
        </w:trPr>
        <w:tc>
          <w:tcPr>
            <w:tcW w:w="2080" w:type="dxa"/>
            <w:vAlign w:val="bottom"/>
          </w:tcPr>
          <w:p>
            <w:pPr>
              <w:spacing w:after="0"/>
              <w:rPr>
                <w:sz w:val="16"/>
                <w:szCs w:val="16"/>
                <w:color w:val="auto"/>
              </w:rPr>
            </w:pPr>
          </w:p>
        </w:tc>
        <w:tc>
          <w:tcPr>
            <w:tcW w:w="51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00" w:type="dxa"/>
            <w:vAlign w:val="bottom"/>
          </w:tcPr>
          <w:p>
            <w:pPr>
              <w:spacing w:after="0"/>
              <w:rPr>
                <w:sz w:val="16"/>
                <w:szCs w:val="16"/>
                <w:color w:val="auto"/>
              </w:rPr>
            </w:pPr>
          </w:p>
        </w:tc>
      </w:tr>
      <w:tr>
        <w:trPr>
          <w:trHeight w:val="253"/>
        </w:trPr>
        <w:tc>
          <w:tcPr>
            <w:tcW w:w="2080" w:type="dxa"/>
            <w:vAlign w:val="bottom"/>
          </w:tcPr>
          <w:p>
            <w:pPr>
              <w:spacing w:after="0"/>
              <w:rPr>
                <w:sz w:val="22"/>
                <w:szCs w:val="22"/>
                <w:color w:val="auto"/>
              </w:rPr>
            </w:pPr>
          </w:p>
        </w:tc>
        <w:tc>
          <w:tcPr>
            <w:tcW w:w="5100" w:type="dxa"/>
            <w:vAlign w:val="bottom"/>
          </w:tcPr>
          <w:p>
            <w:pPr>
              <w:jc w:val="right"/>
              <w:ind w:right="1499"/>
              <w:spacing w:after="0"/>
              <w:rPr>
                <w:sz w:val="20"/>
                <w:szCs w:val="20"/>
                <w:color w:val="auto"/>
              </w:rPr>
            </w:pPr>
            <w:r>
              <w:rPr>
                <w:rFonts w:ascii="Times New Roman" w:cs="Times New Roman" w:eastAsia="Times New Roman" w:hAnsi="Times New Roman"/>
                <w:sz w:val="18"/>
                <w:szCs w:val="18"/>
                <w:b w:val="1"/>
                <w:bCs w:val="1"/>
                <w:color w:val="auto"/>
              </w:rPr>
              <w:t>_______________________</w:t>
            </w:r>
          </w:p>
        </w:tc>
        <w:tc>
          <w:tcPr>
            <w:tcW w:w="1700" w:type="dxa"/>
            <w:vAlign w:val="bottom"/>
          </w:tcPr>
          <w:p>
            <w:pPr>
              <w:spacing w:after="0"/>
              <w:rPr>
                <w:sz w:val="22"/>
                <w:szCs w:val="22"/>
                <w:color w:val="auto"/>
              </w:rPr>
            </w:pPr>
          </w:p>
        </w:tc>
      </w:tr>
    </w:tbl>
    <w:p>
      <w:pPr>
        <w:spacing w:after="0" w:line="36" w:lineRule="exact"/>
        <w:rPr>
          <w:sz w:val="24"/>
          <w:szCs w:val="24"/>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1" w:lineRule="exact"/>
        <w:rPr>
          <w:sz w:val="24"/>
          <w:szCs w:val="24"/>
          <w:color w:val="auto"/>
        </w:rPr>
      </w:pPr>
    </w:p>
    <w:p>
      <w:pPr>
        <w:ind w:left="1080" w:hanging="563"/>
        <w:spacing w:after="0"/>
        <w:tabs>
          <w:tab w:leader="none" w:pos="10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1080" w:hanging="563"/>
        <w:spacing w:after="0"/>
        <w:tabs>
          <w:tab w:leader="none" w:pos="10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1080" w:hanging="563"/>
        <w:spacing w:after="0"/>
        <w:tabs>
          <w:tab w:leader="none" w:pos="10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right="2120" w:firstLine="517"/>
        <w:spacing w:after="0" w:line="349" w:lineRule="auto"/>
        <w:tabs>
          <w:tab w:leader="none" w:pos="107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Exchange Act:</w:t>
      </w:r>
    </w:p>
    <w:p>
      <w:pPr>
        <w:spacing w:after="0" w:line="2" w:lineRule="exact"/>
        <w:rPr>
          <w:sz w:val="24"/>
          <w:szCs w:val="24"/>
          <w:color w:val="auto"/>
        </w:rPr>
      </w:pPr>
    </w:p>
    <w:tbl>
      <w:tblPr>
        <w:tblLayout w:type="fixed"/>
        <w:tblInd w:w="12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76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48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(Name of exchange on which registered)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376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Common Stock, par value $0.0001 per share</w:t>
            </w:r>
          </w:p>
        </w:tc>
        <w:tc>
          <w:tcPr>
            <w:tcW w:w="220" w:type="dxa"/>
            <w:vAlign w:val="bottom"/>
            <w:vMerge w:val="continue"/>
          </w:tcPr>
          <w:p>
            <w:pPr>
              <w:spacing w:after="0"/>
              <w:rPr>
                <w:sz w:val="15"/>
                <w:szCs w:val="15"/>
                <w:color w:val="auto"/>
              </w:rPr>
            </w:pPr>
          </w:p>
        </w:tc>
        <w:tc>
          <w:tcPr>
            <w:tcW w:w="216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SCLX</w:t>
            </w:r>
          </w:p>
        </w:tc>
        <w:tc>
          <w:tcPr>
            <w:tcW w:w="220" w:type="dxa"/>
            <w:vAlign w:val="bottom"/>
            <w:vMerge w:val="continue"/>
          </w:tcPr>
          <w:p>
            <w:pPr>
              <w:spacing w:after="0"/>
              <w:rPr>
                <w:sz w:val="15"/>
                <w:szCs w:val="15"/>
                <w:color w:val="auto"/>
              </w:rPr>
            </w:pPr>
          </w:p>
        </w:tc>
        <w:tc>
          <w:tcPr>
            <w:tcW w:w="464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The Nasdaq Stock Market LLC</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Warrants to purchase one share of common</w:t>
            </w:r>
          </w:p>
        </w:tc>
        <w:tc>
          <w:tcPr>
            <w:tcW w:w="23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SCLXW</w:t>
            </w:r>
          </w:p>
        </w:tc>
        <w:tc>
          <w:tcPr>
            <w:tcW w:w="48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tc>
        <w:tc>
          <w:tcPr>
            <w:tcW w:w="0" w:type="dxa"/>
            <w:vAlign w:val="bottom"/>
          </w:tcPr>
          <w:p>
            <w:pPr>
              <w:spacing w:after="0"/>
              <w:rPr>
                <w:sz w:val="1"/>
                <w:szCs w:val="1"/>
                <w:color w:val="auto"/>
              </w:rPr>
            </w:pPr>
          </w:p>
        </w:tc>
      </w:tr>
      <w:tr>
        <w:trPr>
          <w:trHeight w:val="238"/>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 each at an exercise price of $402.50</w:t>
            </w: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4"/>
          <w:szCs w:val="24"/>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64"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930275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Agreement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19, 2026, Scilex Holding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entered into a Warrant Agreement (the “</w:t>
      </w:r>
      <w:r>
        <w:rPr>
          <w:rFonts w:ascii="Times New Roman" w:cs="Times New Roman" w:eastAsia="Times New Roman" w:hAnsi="Times New Roman"/>
          <w:sz w:val="18"/>
          <w:szCs w:val="18"/>
          <w:b w:val="1"/>
          <w:bCs w:val="1"/>
          <w:color w:val="auto"/>
        </w:rPr>
        <w:t>Warrant Agreement</w:t>
      </w:r>
      <w:r>
        <w:rPr>
          <w:rFonts w:ascii="Times New Roman" w:cs="Times New Roman" w:eastAsia="Times New Roman" w:hAnsi="Times New Roman"/>
          <w:sz w:val="18"/>
          <w:szCs w:val="18"/>
          <w:color w:val="auto"/>
        </w:rPr>
        <w:t>”) with Oramed Pharmaceuticals Inc. (“</w:t>
      </w:r>
      <w:r>
        <w:rPr>
          <w:rFonts w:ascii="Times New Roman" w:cs="Times New Roman" w:eastAsia="Times New Roman" w:hAnsi="Times New Roman"/>
          <w:sz w:val="18"/>
          <w:szCs w:val="18"/>
          <w:b w:val="1"/>
          <w:bCs w:val="1"/>
          <w:color w:val="auto"/>
        </w:rPr>
        <w:t>Oramed</w:t>
      </w:r>
      <w:r>
        <w:rPr>
          <w:rFonts w:ascii="Times New Roman" w:cs="Times New Roman" w:eastAsia="Times New Roman" w:hAnsi="Times New Roman"/>
          <w:sz w:val="18"/>
          <w:szCs w:val="18"/>
          <w:color w:val="auto"/>
        </w:rPr>
        <w:t>”). Pursuant to the Warrant Agreement, Oramed deferred its right to receive an amortization payment scheduled to be paid by the Company on October 1, 2025 as set forth in the amortization schedule included in that certain Senior Secured Convertible Note (the “</w:t>
      </w:r>
      <w:r>
        <w:rPr>
          <w:rFonts w:ascii="Times New Roman" w:cs="Times New Roman" w:eastAsia="Times New Roman" w:hAnsi="Times New Roman"/>
          <w:sz w:val="18"/>
          <w:szCs w:val="18"/>
          <w:b w:val="1"/>
          <w:bCs w:val="1"/>
          <w:color w:val="auto"/>
        </w:rPr>
        <w:t>Tranche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issued to Oramed pursuant to that certain Securities Purchase Agreement, dated as of October 7, 2024, by and among the Company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investors party thereto (including Oramed) in exchange for the Company’s agreement to issue a new warrant to purchase an aggregate of 100,000 shares of the Company’s common stock, par value $0.0001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and such warrants, the “</w:t>
      </w:r>
      <w:r>
        <w:rPr>
          <w:rFonts w:ascii="Times New Roman" w:cs="Times New Roman" w:eastAsia="Times New Roman" w:hAnsi="Times New Roman"/>
          <w:sz w:val="18"/>
          <w:szCs w:val="18"/>
          <w:b w:val="1"/>
          <w:bCs w:val="1"/>
          <w:color w:val="auto"/>
        </w:rPr>
        <w:t>February 2026 Warrant</w:t>
      </w:r>
      <w:r>
        <w:rPr>
          <w:rFonts w:ascii="Times New Roman" w:cs="Times New Roman" w:eastAsia="Times New Roman" w:hAnsi="Times New Roman"/>
          <w:sz w:val="18"/>
          <w:szCs w:val="18"/>
          <w:color w:val="auto"/>
        </w:rPr>
        <w:t>”) at an initial exercise price of $20.00 per share (the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as described below. The deferred amortization payment was made to Oramed in November 2025.</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February 2026 Warrant is immediately exercisable upon issuance. The issuance of the February 2026 Warrant was made pursuant to an exemption from registration provided by Section 4(a)(2) of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Rule 506(b) of Regulation D as promulgated thereunder by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The Company has agreed to file as soon as practicable (and in any event within the later of (i) 30 calendar days following the date of the Warrant Agreement, (ii) 10 days following the date of the filing with the SEC of the Company’s Annual Report on Form 10-K for the year ended December 31, 2025 and (iii) March 31, 2026) a registration statement on Form S-3 (or Form S-1 if Form S-3 is not available to the Company) registering under the Securities Act the resale by Oramed of the shares of Common Stock of the Company issuable upon exercise of the February 2026 Warrant or to include such shares of Common Stock in any other registration statement on Form S-3 filed by the Company. The February 2026 Warrant shall have an expiration date of December 13, 2029.</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Exercise Price is subject to adjustment for any stock split, stock dividend, stock combination, recapitalization or similar event and is also subject to adjustment in connection with certain subsequent offerings at a per share price less than the exercise price of the February 2026 Warrant then in effect, subject to a floor price of $8.22 (as adjusted for stock splits, stock dividends, stock combinations, recapitalizations and similar events). If at the time of exercise of the February 2026 Warrant there is no effective registration statement registering the shares of Common Stock underlying the February 2026 Warrant, such warrant may be exercised on a cashless basis pursuant to their terms.</w:t>
      </w:r>
    </w:p>
    <w:p>
      <w:pPr>
        <w:spacing w:after="0" w:line="18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 holder of a February 2026 Warrant shall not have the right to exercise any portion of a February 2026 Warrant to the extent that, after giving effect to such exercise, the holder (together with certain related parties) would beneficially own in excess of 4.99% (the “</w:t>
      </w:r>
      <w:r>
        <w:rPr>
          <w:rFonts w:ascii="Times New Roman" w:cs="Times New Roman" w:eastAsia="Times New Roman" w:hAnsi="Times New Roman"/>
          <w:sz w:val="18"/>
          <w:szCs w:val="18"/>
          <w:b w:val="1"/>
          <w:bCs w:val="1"/>
          <w:color w:val="auto"/>
        </w:rPr>
        <w:t>Maximum Percentage</w:t>
      </w:r>
      <w:r>
        <w:rPr>
          <w:rFonts w:ascii="Times New Roman" w:cs="Times New Roman" w:eastAsia="Times New Roman" w:hAnsi="Times New Roman"/>
          <w:sz w:val="18"/>
          <w:szCs w:val="18"/>
          <w:color w:val="auto"/>
        </w:rPr>
        <w:t>”) of the shares of Common Stock outstanding immediately after giving effect to such exercise. The Maximum Percentage may be raised or lowered to any other percentage not in excess of 9.99%, at the option of the holder, except that any increase will only be effective upon 61 days’ prior notice to the Company.</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February 2026 Warrant prohibits the Company from entering into specified fundamental transactions unless the successor entity (subject to certain exceptions) assumes all of the Company’s obligations under the February 2026 Warrant under a written agreement before the transaction is completed. Upon specified corporate events, a February 2026 Warrant holder will thereafter have the right to receive upon an exercise such shares, securities, cash, assets or any other property whatsoever which the holder would have been entitled to receive upon the happening of the applicable corporate event had the February 2026 Warrant been exercised immediately prior to the applicable corporate event. When there is a transaction involving specified changes of control, the holder of the February 2026 Warrant will have the right to force the Company to repurchase such holder’s February 2026 Warrant for a purchase price in cash equal to the Black Scholes value, as calculated under the February 2026 Warrants, of the then unexercised portion of the February 2026 Warrant.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Agreement contains other customary provisions including representations and warranties of the Company and Oramed.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both"/>
        <w:spacing w:after="0" w:line="266" w:lineRule="auto"/>
        <w:rPr>
          <w:sz w:val="20"/>
          <w:szCs w:val="20"/>
          <w:color w:val="auto"/>
        </w:rPr>
      </w:pPr>
      <w:r>
        <w:rPr>
          <w:rFonts w:ascii="Times New Roman" w:cs="Times New Roman" w:eastAsia="Times New Roman" w:hAnsi="Times New Roman"/>
          <w:sz w:val="18"/>
          <w:szCs w:val="18"/>
          <w:color w:val="auto"/>
        </w:rPr>
        <w:t>The Warrant Agreement is filed as Exhibit 10.1 and the form of February 2026 Warrant is filed as Exhibit 10.2, in each case to this Current Report on Form 8-K and are incorporated herein by reference. The foregoing descriptions of the terms of the Warrant Agreement and the form of February 2026 Warrant do not purport to be complete and are qualified in their entirety by reference to such exhibits.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Solicitation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a solicitation of an offer to buy any securities, nor shall there be any sale of securities in any state or jurisdiction in which such an offer, solicitation or sale would be unlawful prior to registration or qualification under the securities laws of any such state or other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contained above in Item 1.01 with respect to the issuance of the February 2026 Warrant pursuant to the Warrant Agreement is hereby incorporated by reference into this Item 3.02. The issuance of the February 2026 Warrant was made, and the issuance of the shares of Common Stock underlying the February 2026 Warrants will be made, in reliance on the exemption from registration pursuant to Section 4(a)(2) of the Securities Act and Regulation D promulgated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8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700" w:type="dxa"/>
            <w:vAlign w:val="bottom"/>
          </w:tcPr>
          <w:p>
            <w:pPr>
              <w:spacing w:after="0"/>
              <w:rPr>
                <w:sz w:val="24"/>
                <w:szCs w:val="24"/>
                <w:color w:val="auto"/>
              </w:rPr>
            </w:pPr>
          </w:p>
        </w:tc>
        <w:tc>
          <w:tcPr>
            <w:tcW w:w="83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96"/>
        </w:trPr>
        <w:tc>
          <w:tcPr>
            <w:tcW w:w="13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Number</w:t>
            </w:r>
          </w:p>
        </w:tc>
        <w:tc>
          <w:tcPr>
            <w:tcW w:w="83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700" w:type="dxa"/>
            <w:vAlign w:val="bottom"/>
          </w:tcPr>
          <w:p>
            <w:pPr>
              <w:spacing w:after="0"/>
              <w:rPr>
                <w:sz w:val="17"/>
                <w:szCs w:val="17"/>
                <w:color w:val="auto"/>
              </w:rPr>
            </w:pPr>
          </w:p>
        </w:tc>
        <w:tc>
          <w:tcPr>
            <w:tcW w:w="83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Form of February 2026 Warrant.</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2360" w:type="dxa"/>
            <w:vAlign w:val="bottom"/>
            <w:tcBorders>
              <w:right w:val="single" w:sz="8" w:color="0000EE"/>
            </w:tcBorders>
            <w:gridSpan w:val="2"/>
            <w:shd w:val="clear" w:color="auto" w:fill="0000FF"/>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00" w:type="dxa"/>
            <w:vAlign w:val="bottom"/>
          </w:tcPr>
          <w:p>
            <w:pPr>
              <w:spacing w:after="0"/>
              <w:rPr>
                <w:sz w:val="24"/>
                <w:szCs w:val="24"/>
                <w:color w:val="auto"/>
              </w:rPr>
            </w:pPr>
          </w:p>
        </w:tc>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Warrant Agreement, dated as of February 19, 2026, by and between the Company and Oramed Pharmaceuticals Inc.</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360" w:type="dxa"/>
            <w:vAlign w:val="bottom"/>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00" w:type="dxa"/>
            <w:vAlign w:val="bottom"/>
          </w:tcPr>
          <w:p>
            <w:pPr>
              <w:spacing w:after="0"/>
              <w:rPr>
                <w:sz w:val="24"/>
                <w:szCs w:val="24"/>
                <w:color w:val="auto"/>
              </w:rPr>
            </w:pPr>
          </w:p>
        </w:tc>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Extensible Business Reporting Language (iXBRL).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460" w:firstLine="8"/>
        <w:spacing w:after="0" w:line="282" w:lineRule="auto"/>
        <w:tabs>
          <w:tab w:leader="none" w:pos="1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7760" w:type="dxa"/>
            <w:vAlign w:val="bottom"/>
            <w:gridSpan w:val="2"/>
          </w:tcPr>
          <w:p>
            <w:pPr>
              <w:ind w:left="1700"/>
              <w:spacing w:after="0"/>
              <w:rPr>
                <w:sz w:val="20"/>
                <w:szCs w:val="20"/>
                <w:color w:val="auto"/>
              </w:rPr>
            </w:pPr>
            <w:r>
              <w:rPr>
                <w:rFonts w:ascii="Times New Roman" w:cs="Times New Roman" w:eastAsia="Times New Roman" w:hAnsi="Times New Roman"/>
                <w:sz w:val="18"/>
                <w:szCs w:val="18"/>
                <w:b w:val="1"/>
                <w:bCs w:val="1"/>
                <w:color w:val="auto"/>
              </w:rPr>
              <w:t>SCILEX HOLDING COMPANY</w:t>
            </w:r>
          </w:p>
        </w:tc>
      </w:tr>
      <w:tr>
        <w:trPr>
          <w:trHeight w:val="432"/>
        </w:trPr>
        <w:tc>
          <w:tcPr>
            <w:tcW w:w="3480" w:type="dxa"/>
            <w:vAlign w:val="bottom"/>
          </w:tcPr>
          <w:p>
            <w:pPr>
              <w:spacing w:after="0"/>
              <w:rPr>
                <w:sz w:val="24"/>
                <w:szCs w:val="24"/>
                <w:color w:val="auto"/>
              </w:rPr>
            </w:pPr>
          </w:p>
        </w:tc>
        <w:tc>
          <w:tcPr>
            <w:tcW w:w="23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Ma</w:t>
            </w:r>
          </w:p>
        </w:tc>
      </w:tr>
      <w:tr>
        <w:trPr>
          <w:trHeight w:val="191"/>
        </w:trPr>
        <w:tc>
          <w:tcPr>
            <w:tcW w:w="3480" w:type="dxa"/>
            <w:vAlign w:val="bottom"/>
          </w:tcPr>
          <w:p>
            <w:pPr>
              <w:spacing w:after="0"/>
              <w:rPr>
                <w:sz w:val="16"/>
                <w:szCs w:val="16"/>
                <w:color w:val="auto"/>
              </w:rPr>
            </w:pPr>
          </w:p>
        </w:tc>
        <w:tc>
          <w:tcPr>
            <w:tcW w:w="2380" w:type="dxa"/>
            <w:vAlign w:val="bottom"/>
          </w:tcPr>
          <w:p>
            <w:pPr>
              <w:ind w:left="17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Stephen Ma</w:t>
            </w:r>
          </w:p>
        </w:tc>
      </w:t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20, 2026</w:t>
            </w:r>
          </w:p>
        </w:tc>
        <w:tc>
          <w:tcPr>
            <w:tcW w:w="23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Title:</w:t>
            </w: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48"/>
        </w:trPr>
        <w:tc>
          <w:tcPr>
            <w:tcW w:w="3480" w:type="dxa"/>
            <w:vAlign w:val="bottom"/>
          </w:tcPr>
          <w:p>
            <w:pPr>
              <w:spacing w:after="0"/>
              <w:rPr>
                <w:sz w:val="24"/>
                <w:szCs w:val="24"/>
                <w:color w:val="auto"/>
              </w:rPr>
            </w:pPr>
          </w:p>
        </w:tc>
        <w:tc>
          <w:tcPr>
            <w:tcW w:w="238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4</w:t>
            </w:r>
          </w:p>
        </w:tc>
        <w:tc>
          <w:tcPr>
            <w:tcW w:w="5380" w:type="dxa"/>
            <w:vAlign w:val="bottom"/>
          </w:tcPr>
          <w:p>
            <w:pPr>
              <w:spacing w:after="0"/>
              <w:rPr>
                <w:sz w:val="24"/>
                <w:szCs w:val="24"/>
                <w:color w:val="auto"/>
              </w:rPr>
            </w:pPr>
          </w:p>
        </w:tc>
      </w:tr>
      <w:tr>
        <w:trPr>
          <w:trHeight w:val="979"/>
        </w:trPr>
        <w:tc>
          <w:tcPr>
            <w:tcW w:w="348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4.1</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WARRANT]</w:t>
      </w:r>
    </w:p>
    <w:p>
      <w:pPr>
        <w:spacing w:after="0" w:line="20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b w:val="1"/>
          <w:bCs w:val="1"/>
          <w:color w:val="auto"/>
        </w:rPr>
        <w:t>NEITHER THE ISSUANCE AND SALE OF THE SECURITIES REPRESENTED BY THIS CERTIFICATE NOR THE SECURITIES INTO WHICH THESE SECURITIES ARE EXERCISABLE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TO THE HOLDER (IF REQUESTED BY THE COMPANY), IN A FORM REASONABLY ACCEPTABLE TO THE COMPANY, THAT REGISTRATION IS NOT REQUIRED UNDER SAID ACT OR (II) UNLESS SOLD OR ELIGIBLE TO BE SOLD PURSUANT TO RULE 144 OR RULE 144A UNDER SAID ACT. NOTWITHSTANDING THE FOREGOING, THE SECURITIES MAY BE PLEDGED IN CONNECTION WITH A BONA FIDE MARGIN ACCOUNT OR OTHER LOAN OR FINANCING ARRANGEMENT SECURED BY THE SECURITIES. THE NUMBER OF SHARES OF COMMON STOCK ISSUABLE UPON EXERCISE OF THIS WARRANT MAY BE LESS THAN THE AMOUNTS SET FORTH ON THE FACE HEREOF PURSUANT TO SECTION 1(a) OF THIS WARRANT.</w:t>
      </w:r>
    </w:p>
    <w:p>
      <w:pPr>
        <w:spacing w:after="0" w:line="1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cilex</w:t>
      </w:r>
      <w:r>
        <w:rPr>
          <w:rFonts w:ascii="Times New Roman" w:cs="Times New Roman" w:eastAsia="Times New Roman" w:hAnsi="Times New Roman"/>
          <w:sz w:val="22"/>
          <w:szCs w:val="22"/>
          <w:b w:val="1"/>
          <w:bCs w:val="1"/>
          <w:color w:val="auto"/>
        </w:rPr>
        <w:t xml:space="preserve"> H</w:t>
      </w:r>
      <w:r>
        <w:rPr>
          <w:rFonts w:ascii="Times New Roman" w:cs="Times New Roman" w:eastAsia="Times New Roman" w:hAnsi="Times New Roman"/>
          <w:sz w:val="14"/>
          <w:szCs w:val="14"/>
          <w:b w:val="1"/>
          <w:bCs w:val="1"/>
          <w:color w:val="auto"/>
        </w:rPr>
        <w:t>olding</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arrant</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urchase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ommon</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tock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Warrant No.:</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of Issuance: February 19, 2026 (“</w:t>
      </w:r>
      <w:r>
        <w:rPr>
          <w:rFonts w:ascii="Times New Roman" w:cs="Times New Roman" w:eastAsia="Times New Roman" w:hAnsi="Times New Roman"/>
          <w:sz w:val="22"/>
          <w:szCs w:val="22"/>
          <w:b w:val="1"/>
          <w:bCs w:val="1"/>
          <w:color w:val="auto"/>
        </w:rPr>
        <w:t>Issuance Date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Scilex Holding Company,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hereby certifies that, for good and valuable consideration, the receipt and sufficiency of which are hereby acknowledged, ORAMED PHARMACEUTICALS INC., the registered holder hereof or its permitted assigns (the “</w:t>
      </w:r>
      <w:r>
        <w:rPr>
          <w:rFonts w:ascii="Times New Roman" w:cs="Times New Roman" w:eastAsia="Times New Roman" w:hAnsi="Times New Roman"/>
          <w:sz w:val="22"/>
          <w:szCs w:val="22"/>
          <w:b w:val="1"/>
          <w:bCs w:val="1"/>
          <w:color w:val="auto"/>
        </w:rPr>
        <w:t>Holder</w:t>
      </w:r>
      <w:r>
        <w:rPr>
          <w:rFonts w:ascii="Times New Roman" w:cs="Times New Roman" w:eastAsia="Times New Roman" w:hAnsi="Times New Roman"/>
          <w:sz w:val="22"/>
          <w:szCs w:val="22"/>
          <w:color w:val="auto"/>
        </w:rPr>
        <w:t>”), is entitled, subject to the terms set forth below, to purchase from the Company, at the Exercise Price (as defined below) then in effect, upon exercise of this Warrant to Purchase Common Stock (including any Warrants to Purchase Common Stock issued in exchange, transfer or replacement hereof, the “</w:t>
      </w:r>
      <w:r>
        <w:rPr>
          <w:rFonts w:ascii="Times New Roman" w:cs="Times New Roman" w:eastAsia="Times New Roman" w:hAnsi="Times New Roman"/>
          <w:sz w:val="22"/>
          <w:szCs w:val="22"/>
          <w:b w:val="1"/>
          <w:bCs w:val="1"/>
          <w:color w:val="auto"/>
        </w:rPr>
        <w:t>Warrant</w:t>
      </w:r>
      <w:r>
        <w:rPr>
          <w:rFonts w:ascii="Times New Roman" w:cs="Times New Roman" w:eastAsia="Times New Roman" w:hAnsi="Times New Roman"/>
          <w:sz w:val="22"/>
          <w:szCs w:val="22"/>
          <w:color w:val="auto"/>
        </w:rPr>
        <w:t>”), at any time or times on or after the Issuance Date, but not after 11:59 p.m., New York time, on the Expiration Date (as defined below), 100,000 (subject to adjustment as provided herein) fully paid and non-assessable shares of Common Stock (as defined below) (the “</w:t>
      </w:r>
      <w:r>
        <w:rPr>
          <w:rFonts w:ascii="Times New Roman" w:cs="Times New Roman" w:eastAsia="Times New Roman" w:hAnsi="Times New Roman"/>
          <w:sz w:val="22"/>
          <w:szCs w:val="22"/>
          <w:b w:val="1"/>
          <w:bCs w:val="1"/>
          <w:color w:val="auto"/>
        </w:rPr>
        <w:t>Warrant Shares</w:t>
      </w:r>
      <w:r>
        <w:rPr>
          <w:rFonts w:ascii="Times New Roman" w:cs="Times New Roman" w:eastAsia="Times New Roman" w:hAnsi="Times New Roman"/>
          <w:sz w:val="22"/>
          <w:szCs w:val="22"/>
          <w:color w:val="auto"/>
        </w:rPr>
        <w:t>”, and such number of Warrant Shares, the “</w:t>
      </w:r>
      <w:r>
        <w:rPr>
          <w:rFonts w:ascii="Times New Roman" w:cs="Times New Roman" w:eastAsia="Times New Roman" w:hAnsi="Times New Roman"/>
          <w:sz w:val="22"/>
          <w:szCs w:val="22"/>
          <w:b w:val="1"/>
          <w:bCs w:val="1"/>
          <w:color w:val="auto"/>
        </w:rPr>
        <w:t>Warrant Number</w:t>
      </w:r>
      <w:r>
        <w:rPr>
          <w:rFonts w:ascii="Times New Roman" w:cs="Times New Roman" w:eastAsia="Times New Roman" w:hAnsi="Times New Roman"/>
          <w:sz w:val="22"/>
          <w:szCs w:val="22"/>
          <w:color w:val="auto"/>
        </w:rPr>
        <w:t>”). Except as otherwise defined herein, capitalized terms in this Warrant shall have the meanings set forth in Section 19. This Warrant is issued pursuant to Section 1 of that certain Warrant Agreement, dated as of February 19, 2026, by and between the Company and the Holder, as amended from time to time (the “</w:t>
      </w:r>
      <w:r>
        <w:rPr>
          <w:rFonts w:ascii="Times New Roman" w:cs="Times New Roman" w:eastAsia="Times New Roman" w:hAnsi="Times New Roman"/>
          <w:sz w:val="22"/>
          <w:szCs w:val="22"/>
          <w:b w:val="1"/>
          <w:bCs w:val="1"/>
          <w:color w:val="auto"/>
        </w:rPr>
        <w:t>Warrant Agreement</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left="520" w:hanging="512"/>
        <w:spacing w:after="0"/>
        <w:tabs>
          <w:tab w:leader="none" w:pos="5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OF WARRANT.</w:t>
      </w:r>
    </w:p>
    <w:p>
      <w:pPr>
        <w:spacing w:after="0" w:line="206" w:lineRule="exact"/>
        <w:rPr>
          <w:rFonts w:ascii="Times New Roman" w:cs="Times New Roman" w:eastAsia="Times New Roman" w:hAnsi="Times New Roman"/>
          <w:sz w:val="22"/>
          <w:szCs w:val="22"/>
          <w:color w:val="auto"/>
        </w:rPr>
      </w:pPr>
    </w:p>
    <w:p>
      <w:pPr>
        <w:jc w:val="both"/>
        <w:ind w:firstLine="757"/>
        <w:spacing w:after="0" w:line="244" w:lineRule="auto"/>
        <w:tabs>
          <w:tab w:leader="none" w:pos="1018"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Mechanics of Exercise</w:t>
      </w:r>
      <w:r>
        <w:rPr>
          <w:rFonts w:ascii="Times New Roman" w:cs="Times New Roman" w:eastAsia="Times New Roman" w:hAnsi="Times New Roman"/>
          <w:sz w:val="22"/>
          <w:szCs w:val="22"/>
          <w:color w:val="auto"/>
        </w:rPr>
        <w:t>. Subject to the terms and conditions hereof (including, without limitation, the limitations set forth in Section 1(f)), this Warrant may be exercised by the Holder on any day on or after the Issuance Date (an “</w:t>
      </w:r>
      <w:r>
        <w:rPr>
          <w:rFonts w:ascii="Times New Roman" w:cs="Times New Roman" w:eastAsia="Times New Roman" w:hAnsi="Times New Roman"/>
          <w:sz w:val="22"/>
          <w:szCs w:val="22"/>
          <w:b w:val="1"/>
          <w:bCs w:val="1"/>
          <w:color w:val="auto"/>
        </w:rPr>
        <w:t>Exercise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 in whole or in part,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5" w:name="page6"/>
    <w:bookmarkEnd w:id="5"/>
    <w:p>
      <w:pPr>
        <w:jc w:val="both"/>
        <w:spacing w:after="0" w:line="231" w:lineRule="auto"/>
        <w:rPr>
          <w:sz w:val="20"/>
          <w:szCs w:val="20"/>
          <w:color w:val="auto"/>
        </w:rPr>
      </w:pPr>
      <w:r>
        <w:rPr>
          <w:rFonts w:ascii="Times New Roman" w:cs="Times New Roman" w:eastAsia="Times New Roman" w:hAnsi="Times New Roman"/>
          <w:sz w:val="22"/>
          <w:szCs w:val="22"/>
          <w:color w:val="auto"/>
        </w:rPr>
        <w:t xml:space="preserve">delivery (whether via facsimile or otherwise) of a written notice, in the form attached hereto as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Exercise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 of the Holder’s election to exercise this Warrant. Within one (1) Trading Day following an exercise of this Warrant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aforesaid, the Holder shall deliver payment to the Company of an amount equal to the Exercise Price in effect on the date of such exercise multiplied by the number of Warrant Shares as to which this Warrant was so exercised (the “</w:t>
      </w:r>
      <w:r>
        <w:rPr>
          <w:rFonts w:ascii="Times New Roman" w:cs="Times New Roman" w:eastAsia="Times New Roman" w:hAnsi="Times New Roman"/>
          <w:sz w:val="22"/>
          <w:szCs w:val="22"/>
          <w:b w:val="1"/>
          <w:bCs w:val="1"/>
          <w:color w:val="auto"/>
        </w:rPr>
        <w:t>Aggregate Exercise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Price</w:t>
      </w:r>
      <w:r>
        <w:rPr>
          <w:rFonts w:ascii="Times New Roman" w:cs="Times New Roman" w:eastAsia="Times New Roman" w:hAnsi="Times New Roman"/>
          <w:sz w:val="22"/>
          <w:szCs w:val="22"/>
          <w:color w:val="auto"/>
        </w:rPr>
        <w:t>”) in cash or via wire transfer of immediately available funds if the Holder did not notify the Company in such Exercise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Notice that such exercise was made pursuant to a Cashless Exercise (as defined in Section 1(d)).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and issuance of a new Warrant evidencing the right to purchase the remaining number of Warrant Shares. Execution and delivery of an Exercise Notice for all of the then-remaining Warrant Shares shall have the same effect as cancellation of the original of this Warrant after delivery of the Warrant Shares in accordance with the terms hereof. On the date on which the Company has received an Exercise Notice (if received prior to 4:00 pm New York City time, otherwise on the next day), the Company shall transmit by electronic mail an acknowledgment of confirmation of receipt of such Exercise Notice, in the form attached hereto as </w:t>
      </w:r>
      <w:r>
        <w:rPr>
          <w:rFonts w:ascii="Times New Roman" w:cs="Times New Roman" w:eastAsia="Times New Roman" w:hAnsi="Times New Roman"/>
          <w:sz w:val="22"/>
          <w:szCs w:val="22"/>
          <w:b w:val="1"/>
          <w:bCs w:val="1"/>
          <w:u w:val="single" w:color="auto"/>
          <w:color w:val="auto"/>
        </w:rPr>
        <w:t>Exhibit B</w:t>
      </w:r>
      <w:r>
        <w:rPr>
          <w:rFonts w:ascii="Times New Roman" w:cs="Times New Roman" w:eastAsia="Times New Roman" w:hAnsi="Times New Roman"/>
          <w:sz w:val="22"/>
          <w:szCs w:val="22"/>
          <w:color w:val="auto"/>
        </w:rPr>
        <w:t>, to the Holder and the Company’s transfer agent (the “</w:t>
      </w:r>
      <w:r>
        <w:rPr>
          <w:rFonts w:ascii="Times New Roman" w:cs="Times New Roman" w:eastAsia="Times New Roman" w:hAnsi="Times New Roman"/>
          <w:sz w:val="22"/>
          <w:szCs w:val="22"/>
          <w:b w:val="1"/>
          <w:bCs w:val="1"/>
          <w:color w:val="auto"/>
        </w:rPr>
        <w:t>Transfer Agent</w:t>
      </w:r>
      <w:r>
        <w:rPr>
          <w:rFonts w:ascii="Times New Roman" w:cs="Times New Roman" w:eastAsia="Times New Roman" w:hAnsi="Times New Roman"/>
          <w:sz w:val="22"/>
          <w:szCs w:val="22"/>
          <w:color w:val="auto"/>
        </w:rPr>
        <w:t>”), which confirmation shall constitute an instruction to the Transfer Agent to process such Exercise Notice in accordance with the terms herein. On or before the first (1st) Trading Day following the date on which the Company has received such Exercise Notice (or such earlier date as required pursuant to the 1934 Act or other applicable law, rule or regulation for the settlement of a trade of such Warrant Shares initiated on the applicable Exercise Date), the Company shall (X) provided that the Transfer Agent is participating in The Depository Trust Company (“</w:t>
      </w:r>
      <w:r>
        <w:rPr>
          <w:rFonts w:ascii="Times New Roman" w:cs="Times New Roman" w:eastAsia="Times New Roman" w:hAnsi="Times New Roman"/>
          <w:sz w:val="22"/>
          <w:szCs w:val="22"/>
          <w:b w:val="1"/>
          <w:bCs w:val="1"/>
          <w:color w:val="auto"/>
        </w:rPr>
        <w:t>DTC</w:t>
      </w:r>
      <w:r>
        <w:rPr>
          <w:rFonts w:ascii="Times New Roman" w:cs="Times New Roman" w:eastAsia="Times New Roman" w:hAnsi="Times New Roman"/>
          <w:sz w:val="22"/>
          <w:szCs w:val="22"/>
          <w:color w:val="auto"/>
        </w:rPr>
        <w:t>”) Fast Automated Securities Transfer Program, upon the request of the Holder, credit such aggregate number of shares of Common Stock to which the Holder is entitled pursuant to such exercise to the Holder’s or its designee’s balance account with DTC through its Deposit/Withdrawal at Custodian system, or (Y) if the Transfer Agent is not participating in the DTC Fast Automated Securities Transfer Program (“</w:t>
      </w:r>
      <w:r>
        <w:rPr>
          <w:rFonts w:ascii="Times New Roman" w:cs="Times New Roman" w:eastAsia="Times New Roman" w:hAnsi="Times New Roman"/>
          <w:sz w:val="22"/>
          <w:szCs w:val="22"/>
          <w:b w:val="1"/>
          <w:bCs w:val="1"/>
          <w:color w:val="auto"/>
        </w:rPr>
        <w:t>FAST</w:t>
      </w:r>
      <w:r>
        <w:rPr>
          <w:rFonts w:ascii="Times New Roman" w:cs="Times New Roman" w:eastAsia="Times New Roman" w:hAnsi="Times New Roman"/>
          <w:sz w:val="22"/>
          <w:szCs w:val="22"/>
          <w:color w:val="auto"/>
        </w:rPr>
        <w:t>”), upon the request of the Holder, issue and deliver (via reputable overnight courier) to the address as specified in the Exercise Notice, a certificate, registered in the name of the Holder or its designee, for the number of shares of Common Stock to which the Holder shall be entitled pursuant to such exercise. 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provided, that the Holder shall be deemed to have waived any voting rights of any such Warrant Shares that may arise with respect to the period commencing on such Exercise Date, through, and including, such applicable Share Delivery Date (as defined below) (each, an “</w:t>
      </w:r>
      <w:r>
        <w:rPr>
          <w:rFonts w:ascii="Times New Roman" w:cs="Times New Roman" w:eastAsia="Times New Roman" w:hAnsi="Times New Roman"/>
          <w:sz w:val="22"/>
          <w:szCs w:val="22"/>
          <w:b w:val="1"/>
          <w:bCs w:val="1"/>
          <w:color w:val="auto"/>
        </w:rPr>
        <w:t>Exercise Period</w:t>
      </w:r>
      <w:r>
        <w:rPr>
          <w:rFonts w:ascii="Times New Roman" w:cs="Times New Roman" w:eastAsia="Times New Roman" w:hAnsi="Times New Roman"/>
          <w:sz w:val="22"/>
          <w:szCs w:val="22"/>
          <w:color w:val="auto"/>
        </w:rPr>
        <w:t>”), as necessary, such that the aggregate voting rights of any shares of Common Stock (including such Warrant Shares) beneficially owned by the Holder and/or any Attribution Parties, collectively, on any such date of determination shall not exceed the Maximum Percentage (as defined below) as a result of any such exercise of this Warrant; provided, further that, for the avoidance of doubt, the Holder shall have no voting rights with respect to any Warrant Shares issuable with respect to any cash exercise of this Warrant until the Company shall have received the Aggregate Exercise Price with respect thereto. If this Warrant is submitted in connection with any exercise pursuant to this Section 1(a) and the number of</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6" w:name="page7"/>
    <w:bookmarkEnd w:id="6"/>
    <w:p>
      <w:pPr>
        <w:jc w:val="both"/>
        <w:spacing w:after="0" w:line="243" w:lineRule="auto"/>
        <w:rPr>
          <w:sz w:val="20"/>
          <w:szCs w:val="20"/>
          <w:color w:val="auto"/>
        </w:rPr>
      </w:pPr>
      <w:r>
        <w:rPr>
          <w:rFonts w:ascii="Times New Roman" w:cs="Times New Roman" w:eastAsia="Times New Roman" w:hAnsi="Times New Roman"/>
          <w:sz w:val="21"/>
          <w:szCs w:val="21"/>
          <w:color w:val="auto"/>
        </w:rPr>
        <w:t>Warrant Shares represented by this Warrant submitted for exercise is greater than the number of Warrant Shares being acquired upon an exercise and upon surrender of this Warrant to the Company by the Holder, then, at the request of the Holder, the Company shall as soon as practicable and in no event later than two (2) Business Days after any exercise and at its own expense, issue and deliver to the Holder (or its designee) a new Warrant (in accordance with Section 7(d)) representing the right to purchase the number of Warrant Shares purchasable immediately prior to such exercise under this Warrant, less the number of Warrant Shares with respect to which this Warrant is exercised. No fractional shares of Common Stock are to be issued upon the exercise of this Warrant, but rather the Company shall pay cash in lieu of any fraction of a share, as provided in Section 1(h). The Company shall pay any and all transfer, stamp, issuance and similar taxes, costs and expenses (including, without limitation, fees and expenses of the Transfer Agent) that may be payable with respect to the issuance and delivery of Warrant Shares upon exercise of this Warrant. Notwithstanding the foregoing, except in the case where an exercise of this Warrant is validly made pursuant to a Cashless Exercise, the Company’s failure to deliver Warrant Shares to the Holder on or prior to the later of (i) one</w:t>
      </w:r>
    </w:p>
    <w:p>
      <w:pPr>
        <w:spacing w:after="0" w:line="8" w:lineRule="exact"/>
        <w:rPr>
          <w:sz w:val="20"/>
          <w:szCs w:val="20"/>
          <w:color w:val="auto"/>
        </w:rPr>
      </w:pPr>
    </w:p>
    <w:p>
      <w:pPr>
        <w:jc w:val="both"/>
        <w:ind w:firstLine="8"/>
        <w:spacing w:after="0" w:line="233" w:lineRule="auto"/>
        <w:tabs>
          <w:tab w:leader="none" w:pos="31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Trading Day after receipt of the applicable Exercise Notice (or such earlier date as required pursuant to the 1934 Act or other applicable law, rule or regulation for the settlement of a trade of such Warrant Shares initiated on the applicable Exercise Date) and (ii) the date of the Company’s receipt of the Aggregate Exercise Price (or valid notice of a Cashless Exercise) (such later date, the “</w:t>
      </w:r>
      <w:r>
        <w:rPr>
          <w:rFonts w:ascii="Times New Roman" w:cs="Times New Roman" w:eastAsia="Times New Roman" w:hAnsi="Times New Roman"/>
          <w:sz w:val="22"/>
          <w:szCs w:val="22"/>
          <w:b w:val="1"/>
          <w:bCs w:val="1"/>
          <w:color w:val="auto"/>
        </w:rPr>
        <w:t>Share Delivery Date</w:t>
      </w:r>
      <w:r>
        <w:rPr>
          <w:rFonts w:ascii="Times New Roman" w:cs="Times New Roman" w:eastAsia="Times New Roman" w:hAnsi="Times New Roman"/>
          <w:sz w:val="22"/>
          <w:szCs w:val="22"/>
          <w:color w:val="auto"/>
        </w:rPr>
        <w:t>”) shall not be deemed to be a breach of this Warrant. From the Issuance Date through and including the Expiration Date, the Company shall maintain a transfer agent that participates in FAST.</w:t>
      </w:r>
    </w:p>
    <w:p>
      <w:pPr>
        <w:spacing w:after="0" w:line="175"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Price</w:t>
      </w:r>
      <w:r>
        <w:rPr>
          <w:rFonts w:ascii="Times New Roman" w:cs="Times New Roman" w:eastAsia="Times New Roman" w:hAnsi="Times New Roman"/>
          <w:sz w:val="22"/>
          <w:szCs w:val="22"/>
          <w:color w:val="auto"/>
        </w:rPr>
        <w:t>.  For purposes of this Warrant, “</w:t>
      </w:r>
      <w:r>
        <w:rPr>
          <w:rFonts w:ascii="Times New Roman" w:cs="Times New Roman" w:eastAsia="Times New Roman" w:hAnsi="Times New Roman"/>
          <w:sz w:val="22"/>
          <w:szCs w:val="22"/>
          <w:b w:val="1"/>
          <w:bCs w:val="1"/>
          <w:color w:val="auto"/>
        </w:rPr>
        <w:t>Exercise Price</w:t>
      </w:r>
      <w:r>
        <w:rPr>
          <w:rFonts w:ascii="Times New Roman" w:cs="Times New Roman" w:eastAsia="Times New Roman" w:hAnsi="Times New Roman"/>
          <w:sz w:val="22"/>
          <w:szCs w:val="22"/>
          <w:color w:val="auto"/>
        </w:rPr>
        <w:t>” means $20.00, subject to adjustment as provided</w:t>
      </w:r>
    </w:p>
    <w:p>
      <w:pPr>
        <w:spacing w:after="0" w:line="18"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herein.</w:t>
      </w:r>
    </w:p>
    <w:p>
      <w:pPr>
        <w:spacing w:after="0" w:line="182" w:lineRule="exact"/>
        <w:rPr>
          <w:rFonts w:ascii="Times New Roman" w:cs="Times New Roman" w:eastAsia="Times New Roman" w:hAnsi="Times New Roman"/>
          <w:sz w:val="22"/>
          <w:szCs w:val="22"/>
          <w:color w:val="auto"/>
        </w:rPr>
      </w:pPr>
    </w:p>
    <w:p>
      <w:pPr>
        <w:jc w:val="both"/>
        <w:ind w:firstLine="757"/>
        <w:spacing w:after="0" w:line="243" w:lineRule="auto"/>
        <w:tabs>
          <w:tab w:leader="none" w:pos="1018" w:val="left"/>
        </w:tabs>
        <w:numPr>
          <w:ilvl w:val="1"/>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Company’s Failure to Timely Deliver Securities</w:t>
      </w:r>
      <w:r>
        <w:rPr>
          <w:rFonts w:ascii="Times New Roman" w:cs="Times New Roman" w:eastAsia="Times New Roman" w:hAnsi="Times New Roman"/>
          <w:sz w:val="21"/>
          <w:szCs w:val="21"/>
          <w:color w:val="auto"/>
        </w:rPr>
        <w:t>. If the Company shall fail, for any reason or for no reason, on or prior to the Share Delivery Date, either (I) if the Transfer Agent is not participating in FAST, to issue and deliver to the Holder (or its designee) a certificate for the number of Warrant Shares to which the Holder is entitled and register such Warrant Shares on the Company’s share register or, if the Transfer Agent is participating in FAST, to credit the balance account of the Holder or the Holder’s designee with DTC for such number of Warrant Shares to which the Holder is entitled upon the Holder’s exercise of this Warrant (as the case may be) or (II) if (i) a registration statement (or prospectus contained therein) covering the resale of the Warrant Shares that are the subject of the Exercise Notice is not available (the “</w:t>
      </w:r>
      <w:r>
        <w:rPr>
          <w:rFonts w:ascii="Times New Roman" w:cs="Times New Roman" w:eastAsia="Times New Roman" w:hAnsi="Times New Roman"/>
          <w:sz w:val="21"/>
          <w:szCs w:val="21"/>
          <w:b w:val="1"/>
          <w:bCs w:val="1"/>
          <w:color w:val="auto"/>
        </w:rPr>
        <w:t>Unavailable Registration Statement</w:t>
      </w:r>
      <w:r>
        <w:rPr>
          <w:rFonts w:ascii="Times New Roman" w:cs="Times New Roman" w:eastAsia="Times New Roman" w:hAnsi="Times New Roman"/>
          <w:sz w:val="21"/>
          <w:szCs w:val="21"/>
          <w:color w:val="auto"/>
        </w:rPr>
        <w:t>”) for the resale of such Warrant Shares, (ii) the Company fails to promptly notify Holder of the Unavailable Registration Statement and (iii) the Company fails to promptly deliver the Warrant Shares electronically without any restrictive legend by crediting such aggregate number of Warrant Shares to which the Holder is entitled pursuant to Cashless Exercise to the Holder’s or its designee’s balance account with DTC through its Deposit/Withdrawal At Custodian system (the event described in the immediately foregoing clause (II) is hereinafter referred to as a “</w:t>
      </w:r>
      <w:r>
        <w:rPr>
          <w:rFonts w:ascii="Times New Roman" w:cs="Times New Roman" w:eastAsia="Times New Roman" w:hAnsi="Times New Roman"/>
          <w:sz w:val="21"/>
          <w:szCs w:val="21"/>
          <w:b w:val="1"/>
          <w:bCs w:val="1"/>
          <w:color w:val="auto"/>
        </w:rPr>
        <w:t>Notice Failure</w:t>
      </w:r>
      <w:r>
        <w:rPr>
          <w:rFonts w:ascii="Times New Roman" w:cs="Times New Roman" w:eastAsia="Times New Roman" w:hAnsi="Times New Roman"/>
          <w:sz w:val="21"/>
          <w:szCs w:val="21"/>
          <w:color w:val="auto"/>
        </w:rPr>
        <w:t>” and together with the event described in clause</w:t>
      </w:r>
    </w:p>
    <w:p>
      <w:pPr>
        <w:spacing w:after="0" w:line="5" w:lineRule="exact"/>
        <w:rPr>
          <w:rFonts w:ascii="Times New Roman" w:cs="Times New Roman" w:eastAsia="Times New Roman" w:hAnsi="Times New Roman"/>
          <w:sz w:val="21"/>
          <w:szCs w:val="21"/>
          <w:color w:val="auto"/>
        </w:rPr>
      </w:pPr>
    </w:p>
    <w:p>
      <w:pPr>
        <w:jc w:val="both"/>
        <w:spacing w:after="0" w:line="23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above, a “</w:t>
      </w:r>
      <w:r>
        <w:rPr>
          <w:rFonts w:ascii="Times New Roman" w:cs="Times New Roman" w:eastAsia="Times New Roman" w:hAnsi="Times New Roman"/>
          <w:sz w:val="22"/>
          <w:szCs w:val="22"/>
          <w:b w:val="1"/>
          <w:bCs w:val="1"/>
          <w:color w:val="auto"/>
        </w:rPr>
        <w:t>Delivery Failure</w:t>
      </w:r>
      <w:r>
        <w:rPr>
          <w:rFonts w:ascii="Times New Roman" w:cs="Times New Roman" w:eastAsia="Times New Roman" w:hAnsi="Times New Roman"/>
          <w:sz w:val="22"/>
          <w:szCs w:val="22"/>
          <w:color w:val="auto"/>
        </w:rPr>
        <w:t>”), then, in addition to all other remedies available to the Holder, (X) the Company shall pay in cash to the Holder on each day after the Share Delivery Date and during such Delivery Failure an amount equal to 1.5% of the product of (A) the sum of the number of shares of Common Stock not issued to the Holder on or prior to the Share Delivery Date and to which the Holder is entitled, multiplied by (B) any trading price of the Common Stock selected by the Holder in writing as in effect at any time during the period beginning on the applicable Exercise Date and ending on the</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 w:name="page8"/>
    <w:bookmarkEnd w:id="7"/>
    <w:p>
      <w:pPr>
        <w:jc w:val="both"/>
        <w:spacing w:after="0" w:line="242" w:lineRule="auto"/>
        <w:rPr>
          <w:sz w:val="20"/>
          <w:szCs w:val="20"/>
          <w:color w:val="auto"/>
        </w:rPr>
      </w:pPr>
      <w:r>
        <w:rPr>
          <w:rFonts w:ascii="Times New Roman" w:cs="Times New Roman" w:eastAsia="Times New Roman" w:hAnsi="Times New Roman"/>
          <w:sz w:val="21"/>
          <w:szCs w:val="21"/>
          <w:color w:val="auto"/>
        </w:rPr>
        <w:t>applicable Share Delivery Date,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1(c) or otherwise. In addition to the foregoing, if on or prior to the Share Delivery Date either (I) a Delivery Failure occurs or (II) a Notice Failure occurs, and if on or after such Share Delivery Date the Holder acquires (in an open market transaction, stock loan or otherwise) shares of Common Stock corresponding to all or any portion of the number of shares of Common Stock issuable upon such exercise that the Holder is entitled to receive from the Company and has not received from the Company in connection with such Delivery Failure or Notice Failure, as applicable (a “</w:t>
      </w:r>
      <w:r>
        <w:rPr>
          <w:rFonts w:ascii="Times New Roman" w:cs="Times New Roman" w:eastAsia="Times New Roman" w:hAnsi="Times New Roman"/>
          <w:sz w:val="21"/>
          <w:szCs w:val="21"/>
          <w:b w:val="1"/>
          <w:bCs w:val="1"/>
          <w:color w:val="auto"/>
        </w:rPr>
        <w:t>Buy-In</w:t>
      </w:r>
      <w:r>
        <w:rPr>
          <w:rFonts w:ascii="Times New Roman" w:cs="Times New Roman" w:eastAsia="Times New Roman" w:hAnsi="Times New Roman"/>
          <w:sz w:val="21"/>
          <w:szCs w:val="21"/>
          <w:color w:val="auto"/>
        </w:rPr>
        <w:t>”), then, in addition to all other remedies available to the Holder, the Company shall, within two (2) Business Days after the Holder’s request and in the Holder’s discretion, either (i) pay cash to the Holder in an amount equal to the Holder’s total purchase price (including brokerage commissions, stock loan costs and other out-of-pocket expenses, if any) for the shares of Common Stock so acquired (including, without limitation, by any other Person in respect, or on behalf, of the Holder) (the “</w:t>
      </w:r>
      <w:r>
        <w:rPr>
          <w:rFonts w:ascii="Times New Roman" w:cs="Times New Roman" w:eastAsia="Times New Roman" w:hAnsi="Times New Roman"/>
          <w:sz w:val="21"/>
          <w:szCs w:val="21"/>
          <w:b w:val="1"/>
          <w:bCs w:val="1"/>
          <w:color w:val="auto"/>
        </w:rPr>
        <w:t>Buy-In Price</w:t>
      </w:r>
      <w:r>
        <w:rPr>
          <w:rFonts w:ascii="Times New Roman" w:cs="Times New Roman" w:eastAsia="Times New Roman" w:hAnsi="Times New Roman"/>
          <w:sz w:val="21"/>
          <w:szCs w:val="21"/>
          <w:color w:val="auto"/>
        </w:rPr>
        <w:t>”), at which point the Company’s obligation to so issue and deliver such certificate (and to issue such shares of Common Stock) or credit the balance 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certificates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 (A) such number of Warrant Shares multiplied by (B) the lowest Closing Sale Price of the Common Stock on any Trading Day during the period commencing on the date of the applicable Exercise Notice and ending on the date of such issuance and payment under this clause (ii) (the “</w:t>
      </w:r>
      <w:r>
        <w:rPr>
          <w:rFonts w:ascii="Times New Roman" w:cs="Times New Roman" w:eastAsia="Times New Roman" w:hAnsi="Times New Roman"/>
          <w:sz w:val="21"/>
          <w:szCs w:val="21"/>
          <w:b w:val="1"/>
          <w:bCs w:val="1"/>
          <w:color w:val="auto"/>
        </w:rPr>
        <w:t>Buy-In Payment Amount</w:t>
      </w:r>
      <w:r>
        <w:rPr>
          <w:rFonts w:ascii="Times New Roman" w:cs="Times New Roman" w:eastAsia="Times New Roman" w:hAnsi="Times New Roman"/>
          <w:sz w:val="21"/>
          <w:szCs w:val="21"/>
          <w:color w:val="auto"/>
        </w:rPr>
        <w:t>”).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 While this Warrant is outstanding, the Company shall cause its transfer agent to participate in FAST. In addition to the foregoing rights, (i) if the Company fails to deliver the applicable number of Warrant Shares upon an exercise pursuant to Section 1 by the applicable Share Delivery Date, then the Holder shall have the right to rescind such exercise in whole or in part and retain and/or have the Company return, as the case may be, any portion of this Warrant that has not been exercised pursuant to such Exercise Notice; provided that the rescission of an exercise shall not affect the Company’s obligation to make any payments that have accrued prior to the date of such notice pursuant to this Section 1(c) or otherwise, and (ii) if a registration statement covering the issuance or resale of the Warrant Shares that are subject to an Exercise Notice is not available for the issuance or resale, as applicable, of such Warrant Shares and the Holder has submitted an Exercise Notice prior to receiving notice of the non-availability of such registration statement and the Company has not already delivered the Warrant Shares underlying such Exercise Notice electronically without any restrictive legend by crediting such aggregate number of Warrant Shares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 w:name="page9"/>
    <w:bookmarkEnd w:id="8"/>
    <w:p>
      <w:pPr>
        <w:jc w:val="both"/>
        <w:spacing w:after="0" w:line="236" w:lineRule="auto"/>
        <w:rPr>
          <w:sz w:val="20"/>
          <w:szCs w:val="20"/>
          <w:color w:val="auto"/>
        </w:rPr>
      </w:pPr>
      <w:r>
        <w:rPr>
          <w:rFonts w:ascii="Times New Roman" w:cs="Times New Roman" w:eastAsia="Times New Roman" w:hAnsi="Times New Roman"/>
          <w:sz w:val="22"/>
          <w:szCs w:val="22"/>
          <w:color w:val="auto"/>
        </w:rPr>
        <w:t>to which the Holder is entitled pursuant to such exercise to the Holder’s or its designee’s balance account with DTC through its Deposit / Withdrawal At Custodian system, the Holder shall have the option, by delivery of notice to the Company, to (x) rescind such Exercise Notice in whole or in part and retain or have returned, as the case may be, any portion of this Warrant that has not been exercised pursuant to such Exercise Notice; provided that the rescission of an Exercise Notice shall not affect the Company’s obligation to make any payments that have accrued prior to the date of such notice pursuant to this Section 1(c) or otherwise, and/or (y) switch some or all of such Exercise Notice from a cash exercise to a Cashless Exercise.</w:t>
      </w:r>
    </w:p>
    <w:p>
      <w:pPr>
        <w:spacing w:after="0" w:line="181" w:lineRule="exact"/>
        <w:rPr>
          <w:sz w:val="20"/>
          <w:szCs w:val="20"/>
          <w:color w:val="auto"/>
        </w:rPr>
      </w:pPr>
    </w:p>
    <w:p>
      <w:pPr>
        <w:jc w:val="both"/>
        <w:ind w:firstLine="757"/>
        <w:spacing w:after="0" w:line="235" w:lineRule="auto"/>
        <w:tabs>
          <w:tab w:leader="none" w:pos="101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Cashless Exercise</w:t>
      </w:r>
      <w:r>
        <w:rPr>
          <w:rFonts w:ascii="Times New Roman" w:cs="Times New Roman" w:eastAsia="Times New Roman" w:hAnsi="Times New Roman"/>
          <w:sz w:val="22"/>
          <w:szCs w:val="22"/>
          <w:color w:val="auto"/>
        </w:rPr>
        <w:t>. Notwithstanding anything contained herein to the contrary (other than Section 1(f) below), at any time after the six-month anniversary of the Issuance Date, if at the time of exercise hereof a registration statement is not effective (or the prospectus contained therein is not available for use) for the resale by the Holder (or issuance to the Holder) of all of the Warrant Shares, then the Holder may, in its sole discretion, exercise this Warrant in whole or in part and, in lieu of making the cash payment otherwise contemplated to be made to the Company upon such exercise in payment of the Aggregate Exercise Price, elect instead to receive upon such exercise the “Net Number” of Warrant Shares determined according to the following formula (a “</w:t>
      </w:r>
      <w:r>
        <w:rPr>
          <w:rFonts w:ascii="Times New Roman" w:cs="Times New Roman" w:eastAsia="Times New Roman" w:hAnsi="Times New Roman"/>
          <w:sz w:val="22"/>
          <w:szCs w:val="22"/>
          <w:b w:val="1"/>
          <w:bCs w:val="1"/>
          <w:color w:val="auto"/>
        </w:rPr>
        <w:t>Cashless Exercise</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 xml:space="preserve">Net Number = </w:t>
      </w:r>
      <w:r>
        <w:rPr>
          <w:rFonts w:ascii="Times New Roman" w:cs="Times New Roman" w:eastAsia="Times New Roman" w:hAnsi="Times New Roman"/>
          <w:sz w:val="22"/>
          <w:szCs w:val="22"/>
          <w:u w:val="single" w:color="auto"/>
          <w:color w:val="auto"/>
        </w:rPr>
        <w:t>(A x B) - (A x C)</w:t>
      </w:r>
    </w:p>
    <w:p>
      <w:pPr>
        <w:spacing w:after="0" w:line="1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B</w:t>
      </w:r>
    </w:p>
    <w:p>
      <w:pPr>
        <w:spacing w:after="0" w:line="18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For purposes of the foregoing formula:</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A= the total number of shares with respect to which this Warrant is then being exercised.</w:t>
      </w:r>
    </w:p>
    <w:p>
      <w:pPr>
        <w:spacing w:after="0" w:line="206" w:lineRule="exact"/>
        <w:rPr>
          <w:sz w:val="20"/>
          <w:szCs w:val="20"/>
          <w:color w:val="auto"/>
        </w:rPr>
      </w:pPr>
    </w:p>
    <w:p>
      <w:pPr>
        <w:jc w:val="both"/>
        <w:ind w:left="1500"/>
        <w:spacing w:after="0" w:line="247" w:lineRule="auto"/>
        <w:rPr>
          <w:sz w:val="20"/>
          <w:szCs w:val="20"/>
          <w:color w:val="auto"/>
        </w:rPr>
      </w:pPr>
      <w:r>
        <w:rPr>
          <w:rFonts w:ascii="Times New Roman" w:cs="Times New Roman" w:eastAsia="Times New Roman" w:hAnsi="Times New Roman"/>
          <w:sz w:val="21"/>
          <w:szCs w:val="21"/>
          <w:color w:val="auto"/>
        </w:rPr>
        <w:t>B = as elected by the Holder: (i) the VWAP of the shares of Common Stock on the Trading Day immediately preceding the date of the applicable Exercise Notice if such Exercise Notice is (1) both executed and delivered pursuant to Section 1(a) hereof on a day that is not a Trading Day or (2) both executed and delivered pursuant to Section 1(a) hereof on a Trading Day prior to the opening of “regular trading hours” (as defined in Rule 600(b)</w:t>
      </w:r>
    </w:p>
    <w:p>
      <w:pPr>
        <w:spacing w:after="0" w:line="2" w:lineRule="exact"/>
        <w:rPr>
          <w:sz w:val="20"/>
          <w:szCs w:val="20"/>
          <w:color w:val="auto"/>
        </w:rPr>
      </w:pPr>
    </w:p>
    <w:p>
      <w:pPr>
        <w:jc w:val="both"/>
        <w:ind w:left="1500" w:firstLine="5"/>
        <w:spacing w:after="0" w:line="232" w:lineRule="auto"/>
        <w:tabs>
          <w:tab w:leader="none" w:pos="192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Regulation NMS promulgated under the federal securities laws) on such Trading Day, (ii) at the option of the Holder, either (y) the VWAP on the Trading Day immediately preceding the date of the applicable Exercise Notice or (z) the Bid Price of the shares of Common Stock as of the time of the Holder’s execution of the applicable Exercise Notice if such Exercise Notice is executed during “regular trading hours” on a Trading Day and is delivered within two (2) hours thereafter pursuant to Section 1(a) hereof, or (iii) the Closing Sale Price of the Common Stock on the date of the applicable Exercise Notice if the date of such Exercise Notice is a Trading Day and such Exercise Notice is both executed and delivered pursuant to Section 1(a) hereof after the close of “regular trading hours” on such Trading Day.</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C = the Exercise Price then in effect for the applicable Warrant Shares at the time of such exercise.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 w:name="page10"/>
    <w:bookmarkEnd w:id="9"/>
    <w:p>
      <w:pPr>
        <w:jc w:val="both"/>
        <w:ind w:firstLine="1497"/>
        <w:spacing w:after="0" w:line="251" w:lineRule="auto"/>
        <w:rPr>
          <w:sz w:val="20"/>
          <w:szCs w:val="20"/>
          <w:color w:val="auto"/>
        </w:rPr>
      </w:pPr>
      <w:r>
        <w:rPr>
          <w:rFonts w:ascii="Times New Roman" w:cs="Times New Roman" w:eastAsia="Times New Roman" w:hAnsi="Times New Roman"/>
          <w:sz w:val="21"/>
          <w:szCs w:val="21"/>
          <w:color w:val="auto"/>
        </w:rPr>
        <w:t>If the Warrant Shares are issued in a Cashless Exercise, the parties acknowledge and agree that in accordance with Section 3(a)(9) of the 1933 Act, the Warrant Shares take on the registered characteristics of the Warrants being exercised. For purposes of Rule 144(d) promulgated under the 1933 Act, as in effect on the Issuance Date, it is intended that the Warrant Shares issued in a Cashless Exercise shall be deemed to have been acquired by the Holder, and the holding period for the Warrant Shares shall be deemed to have commenced, on the date this Warrant was originally issued pursuant to the Warrant Agreement.</w:t>
      </w:r>
    </w:p>
    <w:p>
      <w:pPr>
        <w:spacing w:after="0" w:line="168" w:lineRule="exact"/>
        <w:rPr>
          <w:sz w:val="20"/>
          <w:szCs w:val="20"/>
          <w:color w:val="auto"/>
        </w:rPr>
      </w:pPr>
    </w:p>
    <w:p>
      <w:pPr>
        <w:jc w:val="both"/>
        <w:ind w:firstLine="757"/>
        <w:spacing w:after="0" w:line="244" w:lineRule="auto"/>
        <w:tabs>
          <w:tab w:leader="none" w:pos="1018"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Disputes</w:t>
      </w:r>
      <w:r>
        <w:rPr>
          <w:rFonts w:ascii="Times New Roman" w:cs="Times New Roman" w:eastAsia="Times New Roman" w:hAnsi="Times New Roman"/>
          <w:sz w:val="22"/>
          <w:szCs w:val="22"/>
          <w:color w:val="auto"/>
        </w:rPr>
        <w:t>.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15.</w:t>
      </w:r>
    </w:p>
    <w:p>
      <w:pPr>
        <w:spacing w:after="0" w:line="173" w:lineRule="exact"/>
        <w:rPr>
          <w:rFonts w:ascii="Times New Roman" w:cs="Times New Roman" w:eastAsia="Times New Roman" w:hAnsi="Times New Roman"/>
          <w:sz w:val="22"/>
          <w:szCs w:val="22"/>
          <w:color w:val="auto"/>
        </w:rPr>
      </w:pPr>
    </w:p>
    <w:p>
      <w:pPr>
        <w:jc w:val="both"/>
        <w:ind w:firstLine="757"/>
        <w:spacing w:after="0" w:line="242" w:lineRule="auto"/>
        <w:tabs>
          <w:tab w:leader="none" w:pos="1018" w:val="left"/>
        </w:tabs>
        <w:numPr>
          <w:ilvl w:val="1"/>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Limitations on Exercises</w:t>
      </w:r>
      <w:r>
        <w:rPr>
          <w:rFonts w:ascii="Times New Roman" w:cs="Times New Roman" w:eastAsia="Times New Roman" w:hAnsi="Times New Roman"/>
          <w:sz w:val="21"/>
          <w:szCs w:val="21"/>
          <w:color w:val="auto"/>
        </w:rPr>
        <w:t>.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 (the “</w:t>
      </w:r>
      <w:r>
        <w:rPr>
          <w:rFonts w:ascii="Times New Roman" w:cs="Times New Roman" w:eastAsia="Times New Roman" w:hAnsi="Times New Roman"/>
          <w:sz w:val="21"/>
          <w:szCs w:val="21"/>
          <w:b w:val="1"/>
          <w:bCs w:val="1"/>
          <w:color w:val="auto"/>
        </w:rPr>
        <w:t>Maximum Percentage</w:t>
      </w:r>
      <w:r>
        <w:rPr>
          <w:rFonts w:ascii="Times New Roman" w:cs="Times New Roman" w:eastAsia="Times New Roman" w:hAnsi="Times New Roman"/>
          <w:sz w:val="21"/>
          <w:szCs w:val="21"/>
          <w:color w:val="auto"/>
        </w:rPr>
        <w:t>”) of the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1(f). For purposes of this Section 1(f), beneficial ownership shall be calculated in accordance with Section 13(d) of the 1934 Act. For purposes of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 on Form 8-K or other public filing with the SEC, as the case may be, (y) a more recent public announcement by the Company or (z) any other written notice by the Company or the Transfer Agent, if any, setting forth the number of shares of Common Stock outstanding (the “</w:t>
      </w:r>
      <w:r>
        <w:rPr>
          <w:rFonts w:ascii="Times New Roman" w:cs="Times New Roman" w:eastAsia="Times New Roman" w:hAnsi="Times New Roman"/>
          <w:sz w:val="21"/>
          <w:szCs w:val="21"/>
          <w:b w:val="1"/>
          <w:bCs w:val="1"/>
          <w:color w:val="auto"/>
        </w:rPr>
        <w:t>Reported Outstanding Share Number</w:t>
      </w:r>
      <w:r>
        <w:rPr>
          <w:rFonts w:ascii="Times New Roman" w:cs="Times New Roman" w:eastAsia="Times New Roman" w:hAnsi="Times New Roman"/>
          <w:sz w:val="21"/>
          <w:szCs w:val="21"/>
          <w:color w:val="auto"/>
        </w:rPr>
        <w:t>”). If the Company receives an Exercise Notice from the Holder at a time when the actual number of outstanding shares of Common Stock is less than the Reported Outstanding Share Number, the Company shall</w:t>
      </w:r>
    </w:p>
    <w:p>
      <w:pPr>
        <w:spacing w:after="0" w:line="13" w:lineRule="exact"/>
        <w:rPr>
          <w:rFonts w:ascii="Times New Roman" w:cs="Times New Roman" w:eastAsia="Times New Roman" w:hAnsi="Times New Roman"/>
          <w:sz w:val="21"/>
          <w:szCs w:val="21"/>
          <w:color w:val="auto"/>
        </w:rPr>
      </w:pPr>
    </w:p>
    <w:p>
      <w:pPr>
        <w:jc w:val="both"/>
        <w:ind w:firstLine="8"/>
        <w:spacing w:after="0" w:line="233" w:lineRule="auto"/>
        <w:tabs>
          <w:tab w:leader="none" w:pos="26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notify the Holder in writing of the number of shares of Common Stock then outstanding and, to the extent that such Exercise Notice would otherwise cause the Holder’s beneficial ownership, as determined pursuant to this Section 1(f), to exceed the Maximum Percentage, the Holder must notify the Company of a reduced number of Warrant Shares to be acquired pursuant to such Exercise Notice (the number of shares by which such purchase is reduced, the “</w:t>
      </w:r>
      <w:r>
        <w:rPr>
          <w:rFonts w:ascii="Times New Roman" w:cs="Times New Roman" w:eastAsia="Times New Roman" w:hAnsi="Times New Roman"/>
          <w:sz w:val="22"/>
          <w:szCs w:val="22"/>
          <w:b w:val="1"/>
          <w:bCs w:val="1"/>
          <w:color w:val="auto"/>
        </w:rPr>
        <w:t>Reduction Shares</w:t>
      </w:r>
      <w:r>
        <w:rPr>
          <w:rFonts w:ascii="Times New Roman" w:cs="Times New Roman" w:eastAsia="Times New Roman" w:hAnsi="Times New Roman"/>
          <w:sz w:val="22"/>
          <w:szCs w:val="22"/>
          <w:color w:val="auto"/>
        </w:rPr>
        <w:t>”) and (ii) as soon as reasonably practicable, the Company shall return to the Holder any exercise price paid by the</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 w:name="page11"/>
    <w:bookmarkEnd w:id="10"/>
    <w:p>
      <w:pPr>
        <w:jc w:val="both"/>
        <w:spacing w:after="0" w:line="232" w:lineRule="auto"/>
        <w:rPr>
          <w:sz w:val="20"/>
          <w:szCs w:val="20"/>
          <w:color w:val="auto"/>
        </w:rPr>
      </w:pPr>
      <w:r>
        <w:rPr>
          <w:rFonts w:ascii="Times New Roman" w:cs="Times New Roman" w:eastAsia="Times New Roman" w:hAnsi="Times New Roman"/>
          <w:sz w:val="22"/>
          <w:szCs w:val="22"/>
          <w:color w:val="auto"/>
        </w:rPr>
        <w:t>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shares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1934 Act), the number of shares so issued by which the Holder’s and the other Attribution Parties’ aggregate beneficial ownership exceeds the Maximum Percentage (the “</w:t>
      </w:r>
      <w:r>
        <w:rPr>
          <w:rFonts w:ascii="Times New Roman" w:cs="Times New Roman" w:eastAsia="Times New Roman" w:hAnsi="Times New Roman"/>
          <w:sz w:val="22"/>
          <w:szCs w:val="22"/>
          <w:b w:val="1"/>
          <w:bCs w:val="1"/>
          <w:color w:val="auto"/>
        </w:rPr>
        <w:t>Excess Shares</w:t>
      </w:r>
      <w:r>
        <w:rPr>
          <w:rFonts w:ascii="Times New Roman" w:cs="Times New Roman" w:eastAsia="Times New Roman" w:hAnsi="Times New Roman"/>
          <w:sz w:val="22"/>
          <w:szCs w:val="22"/>
          <w:color w:val="auto"/>
        </w:rPr>
        <w:t xml:space="preserve">”) shall be deemed null and void and shall be cancelled </w:t>
      </w:r>
      <w:r>
        <w:rPr>
          <w:rFonts w:ascii="Times New Roman" w:cs="Times New Roman" w:eastAsia="Times New Roman" w:hAnsi="Times New Roman"/>
          <w:sz w:val="22"/>
          <w:szCs w:val="22"/>
          <w:i w:val="1"/>
          <w:iCs w:val="1"/>
          <w:color w:val="auto"/>
        </w:rPr>
        <w:t>ab initio</w:t>
      </w:r>
      <w:r>
        <w:rPr>
          <w:rFonts w:ascii="Times New Roman" w:cs="Times New Roman" w:eastAsia="Times New Roman" w:hAnsi="Times New Roman"/>
          <w:sz w:val="22"/>
          <w:szCs w:val="22"/>
          <w:color w:val="auto"/>
        </w:rPr>
        <w:t>,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(with such increase not effective until the sixty-first (61</w:t>
      </w:r>
      <w:r>
        <w:rPr>
          <w:rFonts w:ascii="Times New Roman" w:cs="Times New Roman" w:eastAsia="Times New Roman" w:hAnsi="Times New Roman"/>
          <w:sz w:val="14"/>
          <w:szCs w:val="14"/>
          <w:color w:val="auto"/>
        </w:rPr>
        <w:t>st</w:t>
      </w:r>
      <w:r>
        <w:rPr>
          <w:rFonts w:ascii="Times New Roman" w:cs="Times New Roman" w:eastAsia="Times New Roman" w:hAnsi="Times New Roman"/>
          <w:sz w:val="22"/>
          <w:szCs w:val="22"/>
          <w:color w:val="auto"/>
        </w:rPr>
        <w:t>) day after delivery of such notice) or decrease the Maximum Percentage to any other percentage not in excess of 9.99% as specified in such notice; provided that (i) any such increase in the Maximum Percentage will not be effective until the sixty-first (61</w:t>
      </w:r>
      <w:r>
        <w:rPr>
          <w:rFonts w:ascii="Times New Roman" w:cs="Times New Roman" w:eastAsia="Times New Roman" w:hAnsi="Times New Roman"/>
          <w:sz w:val="14"/>
          <w:szCs w:val="14"/>
          <w:color w:val="auto"/>
        </w:rPr>
        <w:t>st</w:t>
      </w:r>
      <w:r>
        <w:rPr>
          <w:rFonts w:ascii="Times New Roman" w:cs="Times New Roman" w:eastAsia="Times New Roman" w:hAnsi="Times New Roman"/>
          <w:sz w:val="22"/>
          <w:szCs w:val="22"/>
          <w:color w:val="auto"/>
        </w:rPr>
        <w:t>) day after such notice is delivered to the Company and (ii) any such increase or decrease will apply only to the Holder and the other Attribution Parties. For purposes of clarity, the shares of Common Stock issuable pursuant to the terms of this Warrant in excess of the Maximum Percentage shall not be deemed to be beneficially owned by the Holder for any purpose including for purposes of Section 13(d) or Rule 16a-1(a)(1) of the 1934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1(f) to the extent necessary to correct this paragraph or any portion of this paragraph which may be defective or inconsistent with the intended beneficial ownership limitation contained in this Section 1(f) or to make changes or supplements necessary or desirable to properly give effect to such limitation. The limitation contained in this paragraph may not be waived, modified or amended and shall apply to a successor holder of this Warrant.</w:t>
      </w:r>
    </w:p>
    <w:p>
      <w:pPr>
        <w:spacing w:after="0" w:line="177" w:lineRule="exact"/>
        <w:rPr>
          <w:sz w:val="20"/>
          <w:szCs w:val="20"/>
          <w:color w:val="auto"/>
        </w:rPr>
      </w:pPr>
    </w:p>
    <w:p>
      <w:pPr>
        <w:ind w:left="1020" w:hanging="263"/>
        <w:spacing w:after="0"/>
        <w:tabs>
          <w:tab w:leader="none" w:pos="10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Reservation of Shares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46" w:lineRule="auto"/>
        <w:tabs>
          <w:tab w:leader="none" w:pos="2048" w:val="left"/>
        </w:tabs>
        <w:numPr>
          <w:ilvl w:val="1"/>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Required Reserve Amount</w:t>
      </w:r>
      <w:r>
        <w:rPr>
          <w:rFonts w:ascii="Times New Roman" w:cs="Times New Roman" w:eastAsia="Times New Roman" w:hAnsi="Times New Roman"/>
          <w:sz w:val="21"/>
          <w:szCs w:val="21"/>
          <w:color w:val="auto"/>
        </w:rPr>
        <w:t>. So long as this Warrant remains outstanding, the Company shall at all times keep reserved for issuance under this Warrant a number of shares of Common Stock at least equal to 100% of the maximum number of shares of Common Stock as shall be necessary to satisfy the Company’s obligation to issue shares of Common Stock under this Warrant (without regard to any limitations on exercise) (the “</w:t>
      </w:r>
      <w:r>
        <w:rPr>
          <w:rFonts w:ascii="Times New Roman" w:cs="Times New Roman" w:eastAsia="Times New Roman" w:hAnsi="Times New Roman"/>
          <w:sz w:val="21"/>
          <w:szCs w:val="21"/>
          <w:b w:val="1"/>
          <w:bCs w:val="1"/>
          <w:color w:val="auto"/>
        </w:rPr>
        <w:t>Required Reserve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Amount</w:t>
      </w:r>
      <w:r>
        <w:rPr>
          <w:rFonts w:ascii="Times New Roman" w:cs="Times New Roman" w:eastAsia="Times New Roman" w:hAnsi="Times New Roman"/>
          <w:sz w:val="21"/>
          <w:szCs w:val="21"/>
          <w:color w:val="auto"/>
        </w:rPr>
        <w:t>”); provided that at no time shall the number of shares of Common Stock reserved pursuant to this Section 1(g)</w:t>
      </w:r>
    </w:p>
    <w:p>
      <w:pPr>
        <w:spacing w:after="0" w:line="1" w:lineRule="exact"/>
        <w:rPr>
          <w:rFonts w:ascii="Times New Roman" w:cs="Times New Roman" w:eastAsia="Times New Roman" w:hAnsi="Times New Roman"/>
          <w:sz w:val="21"/>
          <w:szCs w:val="21"/>
          <w:color w:val="auto"/>
        </w:rPr>
      </w:pPr>
    </w:p>
    <w:p>
      <w:pPr>
        <w:jc w:val="both"/>
        <w:ind w:left="760" w:hanging="3"/>
        <w:spacing w:after="0" w:line="234" w:lineRule="auto"/>
        <w:tabs>
          <w:tab w:leader="none" w:pos="1031"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reduced other than in connection with any exercise or redemption of the Warrant or such other event covered by Section 2(a) below. In the event that the Holder shall sell or otherwise transfer any portion of the Warrant, each transferee shall be allocated a pro rata portion of the Required Reserve Amount. Any shares of Common Stock reserved and allocated to any Person which ceases</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 w:name="page12"/>
    <w:bookmarkEnd w:id="11"/>
    <w:p>
      <w:pPr>
        <w:jc w:val="both"/>
        <w:ind w:left="760"/>
        <w:spacing w:after="0" w:line="244" w:lineRule="auto"/>
        <w:rPr>
          <w:sz w:val="20"/>
          <w:szCs w:val="20"/>
          <w:color w:val="auto"/>
        </w:rPr>
      </w:pPr>
      <w:r>
        <w:rPr>
          <w:rFonts w:ascii="Times New Roman" w:cs="Times New Roman" w:eastAsia="Times New Roman" w:hAnsi="Times New Roman"/>
          <w:sz w:val="22"/>
          <w:szCs w:val="22"/>
          <w:color w:val="auto"/>
        </w:rPr>
        <w:t>to hold a portion of the Warrant shall be allocated to the remaining holders, pro rata based on the number of shares of Common Stock issuable upon exercise of such portion of the Warrant then held by such holders (without regard to any limitations on exercise).</w:t>
      </w:r>
    </w:p>
    <w:p>
      <w:pPr>
        <w:spacing w:after="0" w:line="173" w:lineRule="exact"/>
        <w:rPr>
          <w:sz w:val="20"/>
          <w:szCs w:val="20"/>
          <w:color w:val="auto"/>
        </w:rPr>
      </w:pPr>
    </w:p>
    <w:p>
      <w:pPr>
        <w:jc w:val="both"/>
        <w:ind w:left="760" w:firstLine="745"/>
        <w:spacing w:after="0" w:line="255" w:lineRule="auto"/>
        <w:tabs>
          <w:tab w:leader="none" w:pos="2048"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Insufficient Authorized Shares</w:t>
      </w:r>
      <w:r>
        <w:rPr>
          <w:rFonts w:ascii="Times New Roman" w:cs="Times New Roman" w:eastAsia="Times New Roman" w:hAnsi="Times New Roman"/>
          <w:sz w:val="20"/>
          <w:szCs w:val="20"/>
          <w:color w:val="auto"/>
        </w:rPr>
        <w:t>. If, notwithstanding Section 1(g)(i) above, and not in limitation thereof, at any time while the Warrant remains outstanding, the Company does not have a sufficient number of authorized and unreserved shares of Common Stock to satisfy its obligation to reserve the Required Reserve Amount (an “</w:t>
      </w:r>
      <w:r>
        <w:rPr>
          <w:rFonts w:ascii="Times New Roman" w:cs="Times New Roman" w:eastAsia="Times New Roman" w:hAnsi="Times New Roman"/>
          <w:sz w:val="20"/>
          <w:szCs w:val="20"/>
          <w:b w:val="1"/>
          <w:bCs w:val="1"/>
          <w:color w:val="auto"/>
        </w:rPr>
        <w:t>Authorized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Share Failure</w:t>
      </w:r>
      <w:r>
        <w:rPr>
          <w:rFonts w:ascii="Times New Roman" w:cs="Times New Roman" w:eastAsia="Times New Roman" w:hAnsi="Times New Roman"/>
          <w:sz w:val="20"/>
          <w:szCs w:val="20"/>
          <w:color w:val="auto"/>
        </w:rPr>
        <w:t>”), then the Company shall promptly take all action reasonably necessary to increase the Company’s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authorized shares of Common Stock to an amount sufficient to allow the Company to reserve the Required Reserve Amount for the outstanding Warrant. Without limiting the generality of the foregoing sentence, as soon as practicable after the date of the occurrence of an Authorized Share Failure, but in no event later than sixty (60) days after the occurrence of such Authorized Share Failure, the Company shall file a preliminary proxy statement on Schedule 14A noticing a meeting of its stockholders to be held no later than the sixtieth (60</w:t>
      </w:r>
      <w:r>
        <w:rPr>
          <w:rFonts w:ascii="Times New Roman" w:cs="Times New Roman" w:eastAsia="Times New Roman" w:hAnsi="Times New Roman"/>
          <w:sz w:val="13"/>
          <w:szCs w:val="13"/>
          <w:color w:val="auto"/>
        </w:rPr>
        <w:t>th</w:t>
      </w:r>
      <w:r>
        <w:rPr>
          <w:rFonts w:ascii="Times New Roman" w:cs="Times New Roman" w:eastAsia="Times New Roman" w:hAnsi="Times New Roman"/>
          <w:sz w:val="20"/>
          <w:szCs w:val="20"/>
          <w:color w:val="auto"/>
        </w:rPr>
        <w:t>) calendar day after the filing of such proxy statement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 Notwithstanding the foregoing, if at any such time of an Authorized Share Failure, the Company is able to obtain the written consent of a majority of the shares of its issued and outstanding shares of Common Stock to approve the increase in the number of authorized shares of Common Stock, the Company may satisfy this obligation by obtaining such consent and submitting for filing with the SEC an Information Statement on Schedule 14C. In the event that the Company is prohibited from issuing shares of Common Stock upon an exercise of this Warrant due to the failure by the Company to have sufficient shares of Common Stock available out of the authorized but unissued shares of Common Stock (such unavailable number of shares of Common Stock, the “</w:t>
      </w:r>
      <w:r>
        <w:rPr>
          <w:rFonts w:ascii="Times New Roman" w:cs="Times New Roman" w:eastAsia="Times New Roman" w:hAnsi="Times New Roman"/>
          <w:sz w:val="20"/>
          <w:szCs w:val="20"/>
          <w:b w:val="1"/>
          <w:bCs w:val="1"/>
          <w:color w:val="auto"/>
        </w:rPr>
        <w:t>Authorization Failure Shares</w:t>
      </w:r>
      <w:r>
        <w:rPr>
          <w:rFonts w:ascii="Times New Roman" w:cs="Times New Roman" w:eastAsia="Times New Roman" w:hAnsi="Times New Roman"/>
          <w:sz w:val="20"/>
          <w:szCs w:val="20"/>
          <w:color w:val="auto"/>
        </w:rPr>
        <w:t>”), in lieu of delivering such Authorization Failure Shares to the Holder, the Company shall pay cash in exchange for the cancellation of such portion of this Warrant exercisable into such Authorization Failure Shares at a price equal to the sum of (i) the product of (x) such number of Authorization Failure Shares and (y) the greatest Closing Sale Price of the Common Stock on any Trading Day during the period commencing on the date the Holder delivers the applicable Exercise Notice with respect to such Authorization Failure Shares to the Company and ending on the date of such issuance and payment under this Section 1(g); and (ii) to the extent the Holder purchases (in an open market transaction or otherwise) shares of Common Stock to deliver in satisfaction of a sale by the Holder of Authorization Failure Shares, any Buy-In Payment Amount, brokerage commissions and other out-of-pocket expenses, if any, of the Holder incurred in connection therewith. Nothing contained in this Section 1(g) shall limit any obligations of the Company under any provision of the Warrant Agreement.</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65" w:lineRule="exact"/>
        <w:rPr>
          <w:rFonts w:ascii="Times New Roman" w:cs="Times New Roman" w:eastAsia="Times New Roman" w:hAnsi="Times New Roman"/>
          <w:sz w:val="20"/>
          <w:szCs w:val="20"/>
          <w:color w:val="auto"/>
        </w:rPr>
      </w:pPr>
    </w:p>
    <w:p>
      <w:pPr>
        <w:jc w:val="both"/>
        <w:ind w:firstLine="757"/>
        <w:spacing w:after="0" w:line="244" w:lineRule="auto"/>
        <w:tabs>
          <w:tab w:leader="none" w:pos="101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Fractional Shares</w:t>
      </w:r>
      <w:r>
        <w:rPr>
          <w:rFonts w:ascii="Times New Roman" w:cs="Times New Roman" w:eastAsia="Times New Roman" w:hAnsi="Times New Roman"/>
          <w:sz w:val="22"/>
          <w:szCs w:val="22"/>
          <w:color w:val="auto"/>
        </w:rPr>
        <w:t>. The Company shall not be required to issue a fractional Warrant Share upon exercise of any Warrant. As to any fraction of a Warrant Share that the Holder would otherwise be entitled to purchase upon such exercise or otherwise, the Company shall pay to such</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 w:name="page13"/>
    <w:bookmarkEnd w:id="12"/>
    <w:p>
      <w:pPr>
        <w:spacing w:after="0" w:line="258" w:lineRule="auto"/>
        <w:rPr>
          <w:sz w:val="20"/>
          <w:szCs w:val="20"/>
          <w:color w:val="auto"/>
        </w:rPr>
      </w:pPr>
      <w:r>
        <w:rPr>
          <w:rFonts w:ascii="Times New Roman" w:cs="Times New Roman" w:eastAsia="Times New Roman" w:hAnsi="Times New Roman"/>
          <w:sz w:val="22"/>
          <w:szCs w:val="22"/>
          <w:color w:val="auto"/>
        </w:rPr>
        <w:t>Holder an amount in cash (by delivery of a certified or official bank check or by wire transfer of immediately available funds) equal to the product of (i) such fraction multiplied by (ii) the Market Price of one Warrant Share on the Exercise Date.</w:t>
      </w:r>
    </w:p>
    <w:p>
      <w:pPr>
        <w:spacing w:after="0" w:line="158" w:lineRule="exact"/>
        <w:rPr>
          <w:sz w:val="20"/>
          <w:szCs w:val="20"/>
          <w:color w:val="auto"/>
        </w:rPr>
      </w:pPr>
    </w:p>
    <w:p>
      <w:pPr>
        <w:ind w:firstLine="8"/>
        <w:spacing w:after="0" w:line="270" w:lineRule="auto"/>
        <w:tabs>
          <w:tab w:leader="none" w:pos="509"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ADJUSTMENT OF EXERCISE PRICE AND NUMBER OF WARRANT SHARES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The Exercise Price and number of Warrant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Shares issuable upon exercise of this Warrant are subject to adjustment from time to time as set forth in this Section 2.</w:t>
      </w:r>
    </w:p>
    <w:p>
      <w:pPr>
        <w:spacing w:after="0" w:line="145" w:lineRule="exact"/>
        <w:rPr>
          <w:rFonts w:ascii="Times New Roman" w:cs="Times New Roman" w:eastAsia="Times New Roman" w:hAnsi="Times New Roman"/>
          <w:sz w:val="22"/>
          <w:szCs w:val="22"/>
          <w:color w:val="auto"/>
        </w:rPr>
      </w:pPr>
    </w:p>
    <w:p>
      <w:pPr>
        <w:jc w:val="both"/>
        <w:ind w:firstLine="757"/>
        <w:spacing w:after="0" w:line="233" w:lineRule="auto"/>
        <w:tabs>
          <w:tab w:leader="none" w:pos="1018"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Dividends and Splits</w:t>
      </w:r>
      <w:r>
        <w:rPr>
          <w:rFonts w:ascii="Times New Roman" w:cs="Times New Roman" w:eastAsia="Times New Roman" w:hAnsi="Times New Roman"/>
          <w:sz w:val="22"/>
          <w:szCs w:val="22"/>
          <w:color w:val="auto"/>
        </w:rPr>
        <w:t>. Without limiting any provision of Section 3 or Section 4, if the Company, at any time on or after the Issuance Date, (i) pays a stock dividend on one or more classes of its then outstanding shares of Common Stock or otherwise makes a distribution on any class of capital stock that is payable in shares of Common Stock, (ii) subdivides (by any stock split, stock dividend, recapitalization or otherwise) one or more classes of its then outstanding shares of Common Stock into a larger number of shares or (iii) combines (by combination, reverse stock split or otherwise) one or more classes of its then outstanding shares of Common Stock into a smaller number of shares, then in each such case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Any adjustment made pursuant to clause (i) of this paragraph shall become effective immediately after the record date for the determination of stockholders entitled to receive such dividend or distribution, and any adjustment pursuant to clause (ii) or (iii) of this paragraph shall become effective immediately 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w:t>
      </w:r>
    </w:p>
    <w:p>
      <w:pPr>
        <w:spacing w:after="0" w:line="182" w:lineRule="exact"/>
        <w:rPr>
          <w:rFonts w:ascii="Times New Roman" w:cs="Times New Roman" w:eastAsia="Times New Roman" w:hAnsi="Times New Roman"/>
          <w:sz w:val="22"/>
          <w:szCs w:val="22"/>
          <w:color w:val="auto"/>
        </w:rPr>
      </w:pPr>
    </w:p>
    <w:p>
      <w:pPr>
        <w:jc w:val="both"/>
        <w:ind w:firstLine="757"/>
        <w:spacing w:after="0" w:line="234" w:lineRule="auto"/>
        <w:tabs>
          <w:tab w:leader="none" w:pos="1018"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 Upon Issuance of Shares of Common Stock</w:t>
      </w:r>
      <w:r>
        <w:rPr>
          <w:rFonts w:ascii="Times New Roman" w:cs="Times New Roman" w:eastAsia="Times New Roman" w:hAnsi="Times New Roman"/>
          <w:sz w:val="22"/>
          <w:szCs w:val="22"/>
          <w:color w:val="auto"/>
        </w:rPr>
        <w:t>. If and whenever on or after the Issuance Date, the Company grants, issues or sells (or enters into any agreement to grant, issue or sell), or in accordance with this Section 2 is deemed to have granted, issued or sold, any shares of Common Stock (including the issuance or sale of shares of Common Stock owned or held by or for the account of the Company, but excluding any Excluded Securities granted issued or sold or deemed to have been granted issued or sold) for a consideration per share (the “</w:t>
      </w:r>
      <w:r>
        <w:rPr>
          <w:rFonts w:ascii="Times New Roman" w:cs="Times New Roman" w:eastAsia="Times New Roman" w:hAnsi="Times New Roman"/>
          <w:sz w:val="22"/>
          <w:szCs w:val="22"/>
          <w:b w:val="1"/>
          <w:bCs w:val="1"/>
          <w:color w:val="auto"/>
        </w:rPr>
        <w:t>New Issuance Price</w:t>
      </w:r>
      <w:r>
        <w:rPr>
          <w:rFonts w:ascii="Times New Roman" w:cs="Times New Roman" w:eastAsia="Times New Roman" w:hAnsi="Times New Roman"/>
          <w:sz w:val="22"/>
          <w:szCs w:val="22"/>
          <w:color w:val="auto"/>
        </w:rPr>
        <w:t>”) less than a price equal to the Exercise Price in effect immediately prior to such granting, issuance or sale or deemed granting, issuance or sale (such Exercise Price then in effect is referred to herein as the “</w:t>
      </w:r>
      <w:r>
        <w:rPr>
          <w:rFonts w:ascii="Times New Roman" w:cs="Times New Roman" w:eastAsia="Times New Roman" w:hAnsi="Times New Roman"/>
          <w:sz w:val="22"/>
          <w:szCs w:val="22"/>
          <w:b w:val="1"/>
          <w:bCs w:val="1"/>
          <w:color w:val="auto"/>
        </w:rPr>
        <w:t>Applicable Price</w:t>
      </w:r>
      <w:r>
        <w:rPr>
          <w:rFonts w:ascii="Times New Roman" w:cs="Times New Roman" w:eastAsia="Times New Roman" w:hAnsi="Times New Roman"/>
          <w:sz w:val="22"/>
          <w:szCs w:val="22"/>
          <w:color w:val="auto"/>
        </w:rPr>
        <w:t>”) (the foregoing a “</w:t>
      </w:r>
      <w:r>
        <w:rPr>
          <w:rFonts w:ascii="Times New Roman" w:cs="Times New Roman" w:eastAsia="Times New Roman" w:hAnsi="Times New Roman"/>
          <w:sz w:val="22"/>
          <w:szCs w:val="22"/>
          <w:b w:val="1"/>
          <w:bCs w:val="1"/>
          <w:color w:val="auto"/>
        </w:rPr>
        <w:t>Dilutive Issuance</w:t>
      </w:r>
      <w:r>
        <w:rPr>
          <w:rFonts w:ascii="Times New Roman" w:cs="Times New Roman" w:eastAsia="Times New Roman" w:hAnsi="Times New Roman"/>
          <w:sz w:val="22"/>
          <w:szCs w:val="22"/>
          <w:color w:val="auto"/>
        </w:rPr>
        <w:t>”), then immediately after such Dilutive Issuance, the Exercise Price then in effect shall be reduced to an amount equal to the greater of (x) the Floor Price and (y) the New Issuance Price. For all purposes of the foregoing (including, without limitation, determining the adjusted Exercise Price and the New Issuance Price under this Section 2(b)), the following shall be applicable:</w:t>
      </w:r>
    </w:p>
    <w:p>
      <w:pPr>
        <w:spacing w:after="0" w:line="179" w:lineRule="exact"/>
        <w:rPr>
          <w:rFonts w:ascii="Times New Roman" w:cs="Times New Roman" w:eastAsia="Times New Roman" w:hAnsi="Times New Roman"/>
          <w:sz w:val="22"/>
          <w:szCs w:val="22"/>
          <w:color w:val="auto"/>
        </w:rPr>
      </w:pPr>
    </w:p>
    <w:p>
      <w:pPr>
        <w:jc w:val="both"/>
        <w:ind w:left="760" w:firstLine="745"/>
        <w:spacing w:after="0" w:line="236" w:lineRule="auto"/>
        <w:tabs>
          <w:tab w:leader="none" w:pos="2048" w:val="left"/>
        </w:tabs>
        <w:numPr>
          <w:ilvl w:val="2"/>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of Options</w:t>
      </w:r>
      <w:r>
        <w:rPr>
          <w:rFonts w:ascii="Times New Roman" w:cs="Times New Roman" w:eastAsia="Times New Roman" w:hAnsi="Times New Roman"/>
          <w:sz w:val="22"/>
          <w:szCs w:val="22"/>
          <w:color w:val="auto"/>
        </w:rPr>
        <w:t>. If the Company in any manner grants, issues or sells (or enters into any agreement to grant, issue or sell) any Options and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is less than the Applicable Price, then such share of Common Stock shall be deemed to be outstanding and to have been issued and sold by the Company at the time of the granting, issuance or sale</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 w:name="page14"/>
    <w:bookmarkEnd w:id="13"/>
    <w:p>
      <w:pPr>
        <w:jc w:val="both"/>
        <w:ind w:left="3"/>
        <w:spacing w:after="0" w:line="247" w:lineRule="auto"/>
        <w:rPr>
          <w:sz w:val="20"/>
          <w:szCs w:val="20"/>
          <w:color w:val="auto"/>
        </w:rPr>
      </w:pPr>
      <w:r>
        <w:rPr>
          <w:rFonts w:ascii="Times New Roman" w:cs="Times New Roman" w:eastAsia="Times New Roman" w:hAnsi="Times New Roman"/>
          <w:sz w:val="21"/>
          <w:szCs w:val="21"/>
          <w:color w:val="auto"/>
        </w:rPr>
        <w:t>(or the time of execution of such agreement to grant, issue or sell, as applicable) of such Option for such price per share. For purposes of this Section 2(b)(i), the “lowest price per share for which one share of Common Stock is at any time issuable upon the exercise of any such Options or upon conversion, exercise or exchange of any Convertible Securities issuable upon exercise of any such Option or otherwise pursuant to the terms thereof” shall be equal to (1) the lower of</w:t>
      </w:r>
    </w:p>
    <w:p>
      <w:pPr>
        <w:spacing w:after="0" w:line="2" w:lineRule="exact"/>
        <w:rPr>
          <w:sz w:val="20"/>
          <w:szCs w:val="20"/>
          <w:color w:val="auto"/>
        </w:rPr>
      </w:pPr>
    </w:p>
    <w:p>
      <w:pPr>
        <w:jc w:val="both"/>
        <w:ind w:left="3" w:hanging="3"/>
        <w:spacing w:after="0" w:line="242" w:lineRule="auto"/>
        <w:tabs>
          <w:tab w:leader="none" w:pos="322"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sum of the lowest amounts of consideration (if any) received or receivable by the Company with respect to any one share of Common Stock upon the granting, issuance or sale (or pursuant to the agreement to grant, issue or sell, as applicable) of such Option, upon exercise of such Option and upon conversion, exercise or exchange of any Convertible Security issuable upon exercise of such Option or otherwise pursuant to the terms thereof and (y) the lowest exercise price set forth in such Option for which one share of Common Stock is issuable (or may become issuable assuming all possible market conditions) upon the exercise of any such Options or upon conversion, exercise or exchange of any Convertible Securities issuable upon exercise of any such Option or otherwise pursuant to the terms thereof minus (2) the sum of all amounts paid or payable to the holder of such Option (or any other Person) upon the granting, issuance or sale (or the agreement to grant, issue or sell, as applicable) of such Option, upon exercise of such Option and upon conversion, exercise or exchange of any Convertible Security issuable upon exercise of such Option or otherwise pursuant to the terms thereof plus the value of any other consideration received or receivable by, or benefit conferred on, the holder of such Option (or any other Person). Except as contemplated below, no further adjustment of the Exercise Price shall be made upon the actual issuance of such shares of Common Stock or of such Convertible Securities upon the exercise of such Options or otherwise pursuant to the terms of or upon the actual issuance of such shares of Common Stock upon conversion, exercise or exchange of such Convertible Securities.</w:t>
      </w:r>
    </w:p>
    <w:p>
      <w:pPr>
        <w:spacing w:after="0" w:line="184" w:lineRule="exact"/>
        <w:rPr>
          <w:rFonts w:ascii="Times New Roman" w:cs="Times New Roman" w:eastAsia="Times New Roman" w:hAnsi="Times New Roman"/>
          <w:sz w:val="21"/>
          <w:szCs w:val="21"/>
          <w:color w:val="auto"/>
        </w:rPr>
      </w:pPr>
    </w:p>
    <w:p>
      <w:pPr>
        <w:jc w:val="both"/>
        <w:ind w:left="3" w:firstLine="745"/>
        <w:spacing w:after="0" w:line="232" w:lineRule="auto"/>
        <w:tabs>
          <w:tab w:leader="none" w:pos="1291"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of Convertible Securities</w:t>
      </w:r>
      <w:r>
        <w:rPr>
          <w:rFonts w:ascii="Times New Roman" w:cs="Times New Roman" w:eastAsia="Times New Roman" w:hAnsi="Times New Roman"/>
          <w:sz w:val="22"/>
          <w:szCs w:val="22"/>
          <w:color w:val="auto"/>
        </w:rPr>
        <w:t>. If the Company in any manner issues or sells (or enters into any agreement to issue or sell) any Convertible Securities and the lowest price per share for which one share of Common Stock is at any time issuable upon the conversion, exercise or exchange thereof or otherwise pursuant to the terms thereof is less than the Applicable Price, then such share of Common Stock shall be deemed to be outstanding and to have been issued and sold by the Company at the time of the issuance or sale (or the time of execution of such agreement to issue or sell, as applicable) of such Convertible Securities for such price per share. For the purposes of this Section 2(b)(ii), the “lowest price per share for which one share of Common Stock is at any time issuable upon the conversion, exercise or exchange thereof or otherwise pursuant to the terms thereof” shall be equal to (1) the lower of (x) the sum of the lowest amounts of consideration (if any) received or receivable by the Company with respect to one share of Common Stock upon the issuance or sale (or pursuant to the agreement to issue or sell, as applicable) of the Convertible Security and upon conversion, exercise or exchange of such Convertible Security or otherwise pursuant to the terms thereof and (y) the lowest conversion price set forth in such Convertible Security for which one share of Common Stock is issuable (or may become issuable assuming all possible market conditions) upon conversion, exercise or exchange thereof or otherwise pursuant to the terms thereof minus (2) the sum of all amounts paid or payable to the holder of such Convertible Security (or any other Person) upon the issuance or sale (or the agreement to issue or sell, as applicable) of such Convertible Security plus the value of any other consideration received or</w:t>
      </w:r>
    </w:p>
    <w:p>
      <w:pPr>
        <w:spacing w:after="0" w:line="353" w:lineRule="exact"/>
        <w:rPr>
          <w:sz w:val="20"/>
          <w:szCs w:val="20"/>
          <w:color w:val="auto"/>
        </w:rPr>
      </w:pPr>
    </w:p>
    <w:p>
      <w:pPr>
        <w:ind w:left="4763"/>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632460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8" w:right="339" w:bottom="1440" w:gutter="0" w:footer="0" w:header="0"/>
        </w:sectPr>
      </w:pPr>
    </w:p>
    <w:bookmarkStart w:id="14" w:name="page15"/>
    <w:bookmarkEnd w:id="14"/>
    <w:p>
      <w:pPr>
        <w:jc w:val="both"/>
        <w:spacing w:after="0" w:line="236" w:lineRule="auto"/>
        <w:rPr>
          <w:sz w:val="20"/>
          <w:szCs w:val="20"/>
          <w:color w:val="auto"/>
        </w:rPr>
      </w:pPr>
      <w:r>
        <w:rPr>
          <w:rFonts w:ascii="Times New Roman" w:cs="Times New Roman" w:eastAsia="Times New Roman" w:hAnsi="Times New Roman"/>
          <w:sz w:val="22"/>
          <w:szCs w:val="22"/>
          <w:color w:val="auto"/>
        </w:rPr>
        <w:t>receivable by, or benefit conferred on, the holder of such Convertible Security (or any other Person). Except as contemplated below, no further adjustment of the Exercise Price shall be made upon the actual issuance of such shares of Common Stock upon conversion, exercise or exchange of such Convertible Securities or otherwise pursuant to the terms thereof, and if any such issuance or sale of such Convertible Securities is made upon exercise of any Options for which adjustment of this Warrant has been or is to be made pursuant to other provisions of this Section 2(b), except as contemplated below, no further adjustment of the Exercise Price shall be made by reason of such issuance or sale.</w:t>
      </w:r>
    </w:p>
    <w:p>
      <w:pPr>
        <w:spacing w:after="0" w:line="181" w:lineRule="exact"/>
        <w:rPr>
          <w:sz w:val="20"/>
          <w:szCs w:val="20"/>
          <w:color w:val="auto"/>
        </w:rPr>
      </w:pPr>
    </w:p>
    <w:p>
      <w:pPr>
        <w:jc w:val="both"/>
        <w:ind w:firstLine="745"/>
        <w:spacing w:after="0" w:line="233" w:lineRule="auto"/>
        <w:tabs>
          <w:tab w:leader="none" w:pos="1288"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Option Price or Rate of Conversion</w:t>
      </w:r>
      <w:r>
        <w:rPr>
          <w:rFonts w:ascii="Times New Roman" w:cs="Times New Roman" w:eastAsia="Times New Roman" w:hAnsi="Times New Roman"/>
          <w:sz w:val="22"/>
          <w:szCs w:val="22"/>
          <w:color w:val="auto"/>
        </w:rPr>
        <w:t>.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(other than proportional changes in conversion or exercise prices, as applicable, in connection with an event referred to in Section 2(a)), the Exercise Price in effect at the time of such increase or decrease shall be adjusted to the Exercise Price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2(b)(iii), if the terms of any Option or Convertible Security (including, without limitation, any Option or Convertible Security that was outstanding as of the Issuance Date)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2(b) shall be made if such adjustment would result in an increase of the Exercise Price then in effect.</w:t>
      </w:r>
    </w:p>
    <w:p>
      <w:pPr>
        <w:spacing w:after="0" w:line="179" w:lineRule="exact"/>
        <w:rPr>
          <w:rFonts w:ascii="Times New Roman" w:cs="Times New Roman" w:eastAsia="Times New Roman" w:hAnsi="Times New Roman"/>
          <w:sz w:val="22"/>
          <w:szCs w:val="22"/>
          <w:color w:val="auto"/>
        </w:rPr>
      </w:pPr>
    </w:p>
    <w:p>
      <w:pPr>
        <w:jc w:val="both"/>
        <w:ind w:firstLine="745"/>
        <w:spacing w:after="0" w:line="233" w:lineRule="auto"/>
        <w:tabs>
          <w:tab w:leader="none" w:pos="1288"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Calculation of Consideration Received</w:t>
      </w:r>
      <w:r>
        <w:rPr>
          <w:rFonts w:ascii="Times New Roman" w:cs="Times New Roman" w:eastAsia="Times New Roman" w:hAnsi="Times New Roman"/>
          <w:sz w:val="22"/>
          <w:szCs w:val="22"/>
          <w:color w:val="auto"/>
        </w:rPr>
        <w:t>. If any Option and/or Convertible Security is issued in connection with the issuance or sale or deemed issuance or sale of any other securities of the Company (as determined by the Holder, the “</w:t>
      </w:r>
      <w:r>
        <w:rPr>
          <w:rFonts w:ascii="Times New Roman" w:cs="Times New Roman" w:eastAsia="Times New Roman" w:hAnsi="Times New Roman"/>
          <w:sz w:val="22"/>
          <w:szCs w:val="22"/>
          <w:b w:val="1"/>
          <w:bCs w:val="1"/>
          <w:color w:val="auto"/>
        </w:rPr>
        <w:t>Primary Security</w:t>
      </w:r>
      <w:r>
        <w:rPr>
          <w:rFonts w:ascii="Times New Roman" w:cs="Times New Roman" w:eastAsia="Times New Roman" w:hAnsi="Times New Roman"/>
          <w:sz w:val="22"/>
          <w:szCs w:val="22"/>
          <w:color w:val="auto"/>
        </w:rPr>
        <w:t>”, and such Option and/or Convertible Security, the “</w:t>
      </w:r>
      <w:r>
        <w:rPr>
          <w:rFonts w:ascii="Times New Roman" w:cs="Times New Roman" w:eastAsia="Times New Roman" w:hAnsi="Times New Roman"/>
          <w:sz w:val="22"/>
          <w:szCs w:val="22"/>
          <w:b w:val="1"/>
          <w:bCs w:val="1"/>
          <w:color w:val="auto"/>
        </w:rPr>
        <w:t>Secondary Securities</w:t>
      </w:r>
      <w:r>
        <w:rPr>
          <w:rFonts w:ascii="Times New Roman" w:cs="Times New Roman" w:eastAsia="Times New Roman" w:hAnsi="Times New Roman"/>
          <w:sz w:val="22"/>
          <w:szCs w:val="22"/>
          <w:color w:val="auto"/>
        </w:rPr>
        <w:t>”), together comprising one integrated transaction, (or one or more transactions if such issuances or sales or deemed issuances or sales of securities of the Company either (A) have at least one investor or purchaser in common, (B) are consummated in reasonable proximity to each other and/or (C) are consummated under the same plan of financing) the aggregate consideration per share of Common Stock with respect to such Primary Security shall be deemed to be equal to the difference of (x) the lowest price per share for which one share of Common Stock was issued (or was deemed to be issued pursuant to Section 2(b)(i) or 2(b)(ii) above, as applicable) in such integrated transaction solely with respect to such Primary Security, minus (y) with respect to such Secondary Securities, the sum of (I) the Black Scholes Consideration Value of each such Option, if any, and (II) the fair market value (as determined by the Holder) of such Convertible Security, if any, in each case, as determined on a per share basis in accordance with this Section 2(b)(iv). If any shares of Common Stock, Options or Convertible Securities are issued or sold or deemed to have been issued or sold for cash, the consideration received therefor (for the purpose of determining the consideration paid for such Common Stock, Option or Convertible</w:t>
      </w:r>
    </w:p>
    <w:p>
      <w:pPr>
        <w:spacing w:after="0" w:line="33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632460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15" w:name="page16"/>
    <w:bookmarkEnd w:id="15"/>
    <w:p>
      <w:pPr>
        <w:jc w:val="both"/>
        <w:ind w:left="760"/>
        <w:spacing w:after="0" w:line="243" w:lineRule="auto"/>
        <w:rPr>
          <w:sz w:val="20"/>
          <w:szCs w:val="20"/>
          <w:color w:val="auto"/>
        </w:rPr>
      </w:pPr>
      <w:r>
        <w:rPr>
          <w:rFonts w:ascii="Times New Roman" w:cs="Times New Roman" w:eastAsia="Times New Roman" w:hAnsi="Times New Roman"/>
          <w:sz w:val="21"/>
          <w:szCs w:val="21"/>
          <w:color w:val="auto"/>
        </w:rPr>
        <w:t>Security, but not for the purpose of the calculation of the Black Scholes Consideration Value) will be deemed to be the net amount of consideration received by the Company therefor. If any shares of Common Stock, Options or Convertible Securities are issued or sold for a consideration other than cash, the amount of such consideration received by the Company (for the purpose of determining the consideration paid for such Common Stock, Option or Convertible Security, but not for the purpose of the calculation of the Black Scholes Consideration Value)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(for the purpose of determining the consideration paid for such Common Stock, Option or Convertible Security, but not for the purpose of the calculation of the Black Scholes Consideration Value)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ten (10) days after the occurrence of an event requiring valuation (the “</w:t>
      </w:r>
      <w:r>
        <w:rPr>
          <w:rFonts w:ascii="Times New Roman" w:cs="Times New Roman" w:eastAsia="Times New Roman" w:hAnsi="Times New Roman"/>
          <w:sz w:val="21"/>
          <w:szCs w:val="21"/>
          <w:b w:val="1"/>
          <w:bCs w:val="1"/>
          <w:color w:val="auto"/>
        </w:rPr>
        <w:t>Valuation Event</w:t>
      </w:r>
      <w:r>
        <w:rPr>
          <w:rFonts w:ascii="Times New Roman" w:cs="Times New Roman" w:eastAsia="Times New Roman" w:hAnsi="Times New Roman"/>
          <w:sz w:val="21"/>
          <w:szCs w:val="21"/>
          <w:color w:val="auto"/>
        </w:rPr>
        <w:t>”), the fair value of such consideration will be determined within five</w:t>
      </w:r>
    </w:p>
    <w:p>
      <w:pPr>
        <w:jc w:val="both"/>
        <w:ind w:left="760" w:hanging="3"/>
        <w:spacing w:after="0" w:line="235" w:lineRule="auto"/>
        <w:tabs>
          <w:tab w:leader="none" w:pos="1102"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Trading Days after the tenth (10th)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spacing w:after="0" w:line="178"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21"/>
          <w:szCs w:val="21"/>
          <w:color w:val="auto"/>
        </w:rPr>
        <w:t xml:space="preserve">(c) </w:t>
      </w:r>
      <w:r>
        <w:rPr>
          <w:rFonts w:ascii="Times New Roman" w:cs="Times New Roman" w:eastAsia="Times New Roman" w:hAnsi="Times New Roman"/>
          <w:sz w:val="21"/>
          <w:szCs w:val="21"/>
          <w:u w:val="single" w:color="auto"/>
          <w:color w:val="auto"/>
        </w:rPr>
        <w:t>Record Date</w:t>
      </w:r>
      <w:r>
        <w:rPr>
          <w:rFonts w:ascii="Times New Roman" w:cs="Times New Roman" w:eastAsia="Times New Roman" w:hAnsi="Times New Roman"/>
          <w:sz w:val="21"/>
          <w:szCs w:val="21"/>
          <w:color w:val="auto"/>
        </w:rPr>
        <w:t>. If the Company takes a record of the holders of shares of Common Stock for the purpose of entitling them (A) to receive a dividend or other distribution payable in shares of Common Stock, Options or in Convertible Securities or</w:t>
      </w:r>
    </w:p>
    <w:p>
      <w:pPr>
        <w:spacing w:after="0" w:line="1" w:lineRule="exact"/>
        <w:rPr>
          <w:sz w:val="20"/>
          <w:szCs w:val="20"/>
          <w:color w:val="auto"/>
        </w:rPr>
      </w:pPr>
    </w:p>
    <w:p>
      <w:pPr>
        <w:jc w:val="both"/>
        <w:ind w:firstLine="8"/>
        <w:spacing w:after="0" w:line="234" w:lineRule="auto"/>
        <w:tabs>
          <w:tab w:leader="none" w:pos="37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spacing w:after="0" w:line="177" w:lineRule="exact"/>
        <w:rPr>
          <w:rFonts w:ascii="Times New Roman" w:cs="Times New Roman" w:eastAsia="Times New Roman" w:hAnsi="Times New Roman"/>
          <w:sz w:val="22"/>
          <w:szCs w:val="22"/>
          <w:color w:val="auto"/>
        </w:rPr>
      </w:pPr>
    </w:p>
    <w:p>
      <w:pPr>
        <w:jc w:val="both"/>
        <w:ind w:firstLine="757"/>
        <w:spacing w:after="0" w:line="238" w:lineRule="auto"/>
        <w:tabs>
          <w:tab w:leader="none" w:pos="1018"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Number of Warrant Shares</w:t>
      </w:r>
      <w:r>
        <w:rPr>
          <w:rFonts w:ascii="Times New Roman" w:cs="Times New Roman" w:eastAsia="Times New Roman" w:hAnsi="Times New Roman"/>
          <w:sz w:val="22"/>
          <w:szCs w:val="22"/>
          <w:color w:val="auto"/>
        </w:rPr>
        <w:t>. Simultaneously with any adjustment to the Exercise Price pursuant to Section 2(a) above,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w:t>
      </w:r>
    </w:p>
    <w:p>
      <w:pPr>
        <w:spacing w:after="0" w:line="176" w:lineRule="exact"/>
        <w:rPr>
          <w:rFonts w:ascii="Times New Roman" w:cs="Times New Roman" w:eastAsia="Times New Roman" w:hAnsi="Times New Roman"/>
          <w:sz w:val="22"/>
          <w:szCs w:val="22"/>
          <w:color w:val="auto"/>
        </w:rPr>
      </w:pPr>
    </w:p>
    <w:p>
      <w:pPr>
        <w:jc w:val="both"/>
        <w:ind w:firstLine="757"/>
        <w:spacing w:after="0" w:line="239" w:lineRule="auto"/>
        <w:tabs>
          <w:tab w:leader="none" w:pos="1018"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Calculations</w:t>
      </w:r>
      <w:r>
        <w:rPr>
          <w:rFonts w:ascii="Times New Roman" w:cs="Times New Roman" w:eastAsia="Times New Roman" w:hAnsi="Times New Roman"/>
          <w:sz w:val="22"/>
          <w:szCs w:val="22"/>
          <w:color w:val="auto"/>
        </w:rPr>
        <w:t>. All calculations under this Section 2 shall be made by rounding to the nearest cent or the nearest 1/100</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of a share, as applicable. The number of shares of Common Stock outstanding at any given time shall not include shares owned or held by or for the account of the Company, and the disposition of any such shares shall be considered an issuance or sale of Common Stock.</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 w:name="page17"/>
    <w:bookmarkEnd w:id="16"/>
    <w:p>
      <w:pPr>
        <w:jc w:val="both"/>
        <w:ind w:firstLine="757"/>
        <w:spacing w:after="0" w:line="244" w:lineRule="auto"/>
        <w:tabs>
          <w:tab w:leader="none" w:pos="1018"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Voluntary Adjustment By Company</w:t>
      </w:r>
      <w:r>
        <w:rPr>
          <w:rFonts w:ascii="Times New Roman" w:cs="Times New Roman" w:eastAsia="Times New Roman" w:hAnsi="Times New Roman"/>
          <w:sz w:val="22"/>
          <w:szCs w:val="22"/>
          <w:color w:val="auto"/>
        </w:rPr>
        <w:t>. Subject to the rules and regulations of the Principal Market, the Company may at any time during the term of this Warrant, with the prior written consent of the Holder, reduce the then current Exercise Price to any amount and for any period of time deemed appropriate by the board of directors of the Company.</w:t>
      </w:r>
    </w:p>
    <w:p>
      <w:pPr>
        <w:spacing w:after="0" w:line="173" w:lineRule="exact"/>
        <w:rPr>
          <w:rFonts w:ascii="Times New Roman" w:cs="Times New Roman" w:eastAsia="Times New Roman" w:hAnsi="Times New Roman"/>
          <w:sz w:val="22"/>
          <w:szCs w:val="22"/>
          <w:color w:val="auto"/>
        </w:rPr>
      </w:pPr>
    </w:p>
    <w:p>
      <w:pPr>
        <w:jc w:val="both"/>
        <w:ind w:firstLine="8"/>
        <w:spacing w:after="0" w:line="232" w:lineRule="auto"/>
        <w:tabs>
          <w:tab w:leader="none" w:pos="509"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UPON DISTRIBUTION OF ASSETS</w:t>
      </w:r>
      <w:r>
        <w:rPr>
          <w:rFonts w:ascii="Times New Roman" w:cs="Times New Roman" w:eastAsia="Times New Roman" w:hAnsi="Times New Roman"/>
          <w:sz w:val="22"/>
          <w:szCs w:val="22"/>
          <w:color w:val="auto"/>
        </w:rPr>
        <w:t>. In addition to any adjustments pursuant to Section 2 above or Section 4(a) below,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Times New Roman" w:cs="Times New Roman" w:eastAsia="Times New Roman" w:hAnsi="Times New Roman"/>
          <w:sz w:val="22"/>
          <w:szCs w:val="22"/>
          <w:b w:val="1"/>
          <w:bCs w:val="1"/>
          <w:color w:val="auto"/>
        </w:rPr>
        <w:t>Distribution</w:t>
      </w:r>
      <w:r>
        <w:rPr>
          <w:rFonts w:ascii="Times New Roman" w:cs="Times New Roman" w:eastAsia="Times New Roman" w:hAnsi="Times New Roman"/>
          <w:sz w:val="22"/>
          <w:szCs w:val="22"/>
          <w:color w:val="auto"/>
        </w:rPr>
        <w:t>”), at any time after the issuance of this Warrant, then, in each such case, the Holder shall, upon each exercise of this Warrant be entitled to participate in such Distribution to the same extent that the Holder would have participated therein if the Holder had held the number of shares of Common Stock the Holder acquired upon each such exercise of this Warrant (or, if elected in writing by the Company, the Holder shall be entitled to such Distributions which the Holder could have acquired if the Holder had held the number of shares of Common Stock acquirable upon complete such exercise of this Warrant without taking into account any limitations or restrictions on the exercisability of this Warrant and assuming for such purpose that this Warrant was exercised at the Exercise Price as of the applicable record date) immediately before the date on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and the other Attribution Parties exceeding the Maximum Percentage, then the Holder shall not be entitled to participate in such Distribution in excess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82"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PURCHASE RIGHTS; FUNDAMENTAL TRANSACTIONS.</w:t>
      </w:r>
    </w:p>
    <w:p>
      <w:pPr>
        <w:spacing w:after="0" w:line="206" w:lineRule="exact"/>
        <w:rPr>
          <w:rFonts w:ascii="Times New Roman" w:cs="Times New Roman" w:eastAsia="Times New Roman" w:hAnsi="Times New Roman"/>
          <w:sz w:val="22"/>
          <w:szCs w:val="22"/>
          <w:color w:val="auto"/>
        </w:rPr>
      </w:pPr>
    </w:p>
    <w:p>
      <w:pPr>
        <w:jc w:val="both"/>
        <w:ind w:firstLine="757"/>
        <w:spacing w:after="0" w:line="234" w:lineRule="auto"/>
        <w:tabs>
          <w:tab w:leader="none" w:pos="1018"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Purchase Rights</w:t>
      </w:r>
      <w:r>
        <w:rPr>
          <w:rFonts w:ascii="Times New Roman" w:cs="Times New Roman" w:eastAsia="Times New Roman" w:hAnsi="Times New Roman"/>
          <w:sz w:val="22"/>
          <w:szCs w:val="22"/>
          <w:color w:val="auto"/>
        </w:rPr>
        <w:t>. In addition to any adjustments pursuant to Sections 2 or 3 above, if at any time the Company grants, issues or sells any Options, Convertible Securities or rights to purchase stock, warrants, securities or other property pro rata to the record holders of any class of Common Stock (the “</w:t>
      </w:r>
      <w:r>
        <w:rPr>
          <w:rFonts w:ascii="Times New Roman" w:cs="Times New Roman" w:eastAsia="Times New Roman" w:hAnsi="Times New Roman"/>
          <w:sz w:val="22"/>
          <w:szCs w:val="22"/>
          <w:b w:val="1"/>
          <w:bCs w:val="1"/>
          <w:color w:val="auto"/>
        </w:rPr>
        <w:t>Purchase Rights</w:t>
      </w:r>
      <w:r>
        <w:rPr>
          <w:rFonts w:ascii="Times New Roman" w:cs="Times New Roman" w:eastAsia="Times New Roman" w:hAnsi="Times New Roman"/>
          <w:sz w:val="22"/>
          <w:szCs w:val="22"/>
          <w:color w:val="auto"/>
        </w:rPr>
        <w:t>”), then, upon each exercise of the Warrant, the Holder will be entitled to acquire, upon the terms applicable to such Purchase Rights, the aggregate Purchase Rights which the Holder could have acquired if the Holder had held the number of shares of Common Stock the Holder acquired upon each such exercise of this Warrant (or, if elected in writing by the Company, the Holder shall be entitled to acquire, upon the terms applicable to such Purchase Rights, the aggregate Purchase Rights which the Holder could have acquired if the Holder had held the number of Warrant Shares acquirable upon a complete exercise of this Warrant without taking into account any limitations or restrictions on the exercisability of this Warrant and</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 w:name="page18"/>
    <w:bookmarkEnd w:id="17"/>
    <w:p>
      <w:pPr>
        <w:jc w:val="both"/>
        <w:spacing w:after="0" w:line="245" w:lineRule="auto"/>
        <w:rPr>
          <w:sz w:val="20"/>
          <w:szCs w:val="20"/>
          <w:color w:val="auto"/>
        </w:rPr>
      </w:pPr>
      <w:r>
        <w:rPr>
          <w:rFonts w:ascii="Times New Roman" w:cs="Times New Roman" w:eastAsia="Times New Roman" w:hAnsi="Times New Roman"/>
          <w:sz w:val="21"/>
          <w:szCs w:val="21"/>
          <w:color w:val="auto"/>
        </w:rPr>
        <w:t>assuming for such purpose that this Warrant was converted at the Exercise Price as of the applicable record date) immediately before the date on which a record is taken for the grant, issuance or sale of such Purchase Rights, or, if no such record is taken, the date as of which the record holders of shares of Common Stock are to be determined for the grant, issuance or sale of such Purchase Rights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to the same extent as if there had been no such limitation).</w:t>
      </w:r>
    </w:p>
    <w:p>
      <w:pPr>
        <w:spacing w:after="0" w:line="177" w:lineRule="exact"/>
        <w:rPr>
          <w:sz w:val="20"/>
          <w:szCs w:val="20"/>
          <w:color w:val="auto"/>
        </w:rPr>
      </w:pPr>
    </w:p>
    <w:p>
      <w:pPr>
        <w:jc w:val="both"/>
        <w:ind w:firstLine="757"/>
        <w:spacing w:after="0" w:line="232" w:lineRule="auto"/>
        <w:tabs>
          <w:tab w:leader="none" w:pos="101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Fundamental Transactions</w:t>
      </w:r>
      <w:r>
        <w:rPr>
          <w:rFonts w:ascii="Times New Roman" w:cs="Times New Roman" w:eastAsia="Times New Roman" w:hAnsi="Times New Roman"/>
          <w:sz w:val="22"/>
          <w:szCs w:val="22"/>
          <w:color w:val="auto"/>
        </w:rPr>
        <w:t>. The Company shall not enter into or be party to a Fundamental Transaction unless the Successor Entity assumes in writing all of the obligations of the Company under this Warrant and the other Transaction Documents (as defined in the Warrant Agreement) in accordance with the provisions of this Section 4(b)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Upon the consummation of each Fundamental Transaction, the Successor Entity shall succeed to, and be substituted for (so that from and after the date of the applicable Fundamental Transaction, the provisions of this Warrant and the other Transaction Documents referring to the “Company” shall refer instead to the Successor Entity), and may exercise every right and power of the Company and shall expressly assume in writing all of the obligations of the Company under this Warrant and the other Transaction Documents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Fundamental Transaction, such shares of common stock (or its equivalent) of the Successor Entity (including its Parent Entity) which the Holder would have been entitled to receive upon the happening of the applicable Fundamental Transaction had this Warrant been exercised immediately prior to the</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 w:name="page19"/>
    <w:bookmarkEnd w:id="18"/>
    <w:p>
      <w:pPr>
        <w:jc w:val="both"/>
        <w:spacing w:after="0" w:line="239" w:lineRule="auto"/>
        <w:rPr>
          <w:sz w:val="20"/>
          <w:szCs w:val="20"/>
          <w:color w:val="auto"/>
        </w:rPr>
      </w:pPr>
      <w:r>
        <w:rPr>
          <w:rFonts w:ascii="Times New Roman" w:cs="Times New Roman" w:eastAsia="Times New Roman" w:hAnsi="Times New Roman"/>
          <w:sz w:val="22"/>
          <w:szCs w:val="22"/>
          <w:color w:val="auto"/>
        </w:rPr>
        <w:t>applicable Fundamental Transaction (without regard to any limitations on the exercise of this Warrant), as adjusted in accordance with the provisions of this Warrant. Notwithstanding the foregoing, and without limiting Section 1(f) hereof, the Holder may elect, at its sole option, by delivery of written notice to the Company to waive this Section 4(b) to permit the Fundamental Transaction without the assumption of this Warrant.</w:t>
      </w:r>
    </w:p>
    <w:p>
      <w:pPr>
        <w:spacing w:after="0" w:line="180" w:lineRule="exact"/>
        <w:rPr>
          <w:sz w:val="20"/>
          <w:szCs w:val="20"/>
          <w:color w:val="auto"/>
        </w:rPr>
      </w:pPr>
    </w:p>
    <w:p>
      <w:pPr>
        <w:jc w:val="both"/>
        <w:ind w:firstLine="757"/>
        <w:spacing w:after="0" w:line="233" w:lineRule="auto"/>
        <w:tabs>
          <w:tab w:leader="none" w:pos="1018"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Times New Roman" w:cs="Times New Roman" w:eastAsia="Times New Roman" w:hAnsi="Times New Roman"/>
          <w:sz w:val="22"/>
          <w:szCs w:val="22"/>
          <w:b w:val="1"/>
          <w:bCs w:val="1"/>
          <w:color w:val="auto"/>
        </w:rPr>
        <w:t>Corporate Event</w:t>
      </w:r>
      <w:r>
        <w:rPr>
          <w:rFonts w:ascii="Times New Roman" w:cs="Times New Roman" w:eastAsia="Times New Roman" w:hAnsi="Times New Roman"/>
          <w:sz w:val="22"/>
          <w:szCs w:val="22"/>
          <w:color w:val="auto"/>
        </w:rPr>
        <w:t>”),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184" w:lineRule="exact"/>
        <w:rPr>
          <w:rFonts w:ascii="Times New Roman" w:cs="Times New Roman" w:eastAsia="Times New Roman" w:hAnsi="Times New Roman"/>
          <w:sz w:val="22"/>
          <w:szCs w:val="22"/>
          <w:color w:val="auto"/>
        </w:rPr>
      </w:pPr>
    </w:p>
    <w:p>
      <w:pPr>
        <w:jc w:val="both"/>
        <w:ind w:firstLine="757"/>
        <w:spacing w:after="0" w:line="234" w:lineRule="auto"/>
        <w:tabs>
          <w:tab w:leader="none" w:pos="1018"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Black Scholes Value</w:t>
      </w:r>
      <w:r>
        <w:rPr>
          <w:rFonts w:ascii="Times New Roman" w:cs="Times New Roman" w:eastAsia="Times New Roman" w:hAnsi="Times New Roman"/>
          <w:sz w:val="22"/>
          <w:szCs w:val="22"/>
          <w:color w:val="auto"/>
        </w:rPr>
        <w:t>. Notwithstanding the foregoing and the provisions of Section 4(b) above, at the request of the Holder delivered at any time commencing on the earliest to occur of (x) the public disclosure of any Change of Control (as defined in the Notes), (y) the consummation of any Change of Control and (z) the Holder first becoming aware of any Change of Control through the date that is ninety (90) days after the public disclosure of the consummation of such Change of Control by the Company pursuant to a Current Report on Form 8-K filed with the SEC, the Company or the Successor Entity (as the case may be) shall purchase this Warrant from the Holder on the date of such request by paying to the Holder cash in an amount equal to the Black Scholes Value. Payment of such amounts shall be made by the Company (or at the Company’s direction) to the Holder on or prior to the later of (x) the second (2</w:t>
      </w:r>
      <w:r>
        <w:rPr>
          <w:rFonts w:ascii="Times New Roman" w:cs="Times New Roman" w:eastAsia="Times New Roman" w:hAnsi="Times New Roman"/>
          <w:sz w:val="14"/>
          <w:szCs w:val="14"/>
          <w:color w:val="auto"/>
        </w:rPr>
        <w:t>nd</w:t>
      </w:r>
      <w:r>
        <w:rPr>
          <w:rFonts w:ascii="Times New Roman" w:cs="Times New Roman" w:eastAsia="Times New Roman" w:hAnsi="Times New Roman"/>
          <w:sz w:val="22"/>
          <w:szCs w:val="22"/>
          <w:color w:val="auto"/>
        </w:rPr>
        <w:t>) Trading Day after the date of such request and (y) the date of consummation of such Change of Control.</w:t>
      </w:r>
    </w:p>
    <w:p>
      <w:pPr>
        <w:spacing w:after="0" w:line="183" w:lineRule="exact"/>
        <w:rPr>
          <w:rFonts w:ascii="Times New Roman" w:cs="Times New Roman" w:eastAsia="Times New Roman" w:hAnsi="Times New Roman"/>
          <w:sz w:val="22"/>
          <w:szCs w:val="22"/>
          <w:color w:val="auto"/>
        </w:rPr>
      </w:pPr>
    </w:p>
    <w:p>
      <w:pPr>
        <w:jc w:val="both"/>
        <w:ind w:firstLine="757"/>
        <w:spacing w:after="0" w:line="238" w:lineRule="auto"/>
        <w:tabs>
          <w:tab w:leader="none" w:pos="1018"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Application</w:t>
      </w:r>
      <w:r>
        <w:rPr>
          <w:rFonts w:ascii="Times New Roman" w:cs="Times New Roman" w:eastAsia="Times New Roman" w:hAnsi="Times New Roman"/>
          <w:sz w:val="22"/>
          <w:szCs w:val="22"/>
          <w:color w:val="auto"/>
        </w:rPr>
        <w:t>. The provisions of this Section 4 shall apply similarly and equally to successive Fundamental Transactions and Corporate Events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1934 Act and thereafter receivable upon exercise of this Warrant (or any such other warrant)).</w:t>
      </w:r>
    </w:p>
    <w:p>
      <w:pPr>
        <w:spacing w:after="0" w:line="176" w:lineRule="exact"/>
        <w:rPr>
          <w:rFonts w:ascii="Times New Roman" w:cs="Times New Roman" w:eastAsia="Times New Roman" w:hAnsi="Times New Roman"/>
          <w:sz w:val="22"/>
          <w:szCs w:val="22"/>
          <w:color w:val="auto"/>
        </w:rPr>
      </w:pPr>
    </w:p>
    <w:p>
      <w:pPr>
        <w:jc w:val="both"/>
        <w:ind w:firstLine="8"/>
        <w:spacing w:after="0" w:line="239" w:lineRule="auto"/>
        <w:tabs>
          <w:tab w:leader="none" w:pos="509"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NONCIRCUMVENTION</w:t>
      </w:r>
      <w:r>
        <w:rPr>
          <w:rFonts w:ascii="Times New Roman" w:cs="Times New Roman" w:eastAsia="Times New Roman" w:hAnsi="Times New Roman"/>
          <w:sz w:val="22"/>
          <w:szCs w:val="22"/>
          <w:color w:val="auto"/>
        </w:rPr>
        <w:t>. The Company hereby covenants and agrees that the Company will not, by amendment of its Certificate of Incorporation (as defined in the Warrant Agreement), Bylaws (as defined in the Warrant Agreement) or through any reorganization, transfer of assets, consolidation, merger, scheme of arrangement, dissolution, issuance or sale of securities, or any other voluntary action, avoid or seek to avoid the observance or performance of any of the terms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 w:name="page20"/>
    <w:bookmarkEnd w:id="19"/>
    <w:p>
      <w:pPr>
        <w:jc w:val="both"/>
        <w:ind w:firstLine="509"/>
        <w:spacing w:after="0" w:line="234" w:lineRule="auto"/>
        <w:rPr>
          <w:sz w:val="20"/>
          <w:szCs w:val="20"/>
          <w:color w:val="auto"/>
        </w:rPr>
      </w:pPr>
      <w:r>
        <w:rPr>
          <w:rFonts w:ascii="Times New Roman" w:cs="Times New Roman" w:eastAsia="Times New Roman" w:hAnsi="Times New Roman"/>
          <w:sz w:val="22"/>
          <w:szCs w:val="22"/>
          <w:color w:val="auto"/>
        </w:rPr>
        <w:t>of this Warrant, and will at all times in good faith carry out all the provisions of this Warrant and take all action as may be required to protect the rights of the Holder. Without limiting the generality of the foregoing, the Company (a) shall not increase the par value of any shares of Common Stock receivable upon the exercise of this Warrant above the Exercise Price then in effect, and (b) shall take all such actions as may be necessary or appropriate in order that the Company may validly and legally issue fully paid and non-assessable shares of Common Stock upon the exercise of this Warrant. Notwithstanding anything herein to the contrary, if after the sixty (60) calendar day anniversary of the Issuance Date, the Holder is not permitted to exercise this Warrant in full for any reason (other than pursuant to restrictions set forth in Section 1(f) hereof), the Company shall use its best efforts to promptly remedy such failure, including, without limitation, obtaining such consents or approvals as necessary to permit such exercise into shares of Common Stock.</w:t>
      </w:r>
    </w:p>
    <w:p>
      <w:pPr>
        <w:spacing w:after="0" w:line="183" w:lineRule="exact"/>
        <w:rPr>
          <w:sz w:val="20"/>
          <w:szCs w:val="20"/>
          <w:color w:val="auto"/>
        </w:rPr>
      </w:pPr>
    </w:p>
    <w:p>
      <w:pPr>
        <w:jc w:val="both"/>
        <w:ind w:firstLine="8"/>
        <w:spacing w:after="0" w:line="233" w:lineRule="auto"/>
        <w:tabs>
          <w:tab w:leader="none" w:pos="509"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WARRANT HOLDER NOT DEEMED A STOCKHOLDER</w:t>
      </w:r>
      <w:r>
        <w:rPr>
          <w:rFonts w:ascii="Times New Roman" w:cs="Times New Roman" w:eastAsia="Times New Roman" w:hAnsi="Times New Roman"/>
          <w:sz w:val="22"/>
          <w:szCs w:val="22"/>
          <w:color w:val="auto"/>
        </w:rPr>
        <w:t>. Except as otherwise specifically provided herein, the Holder, solely in its capacity as a holder of this Warrant, shall not be entitled to vote or receive dividends or be deemed the holder of share capital of the Company for any purpose, nor shall anything contained in this Warrant be construed to confer upon the Holder, solely in its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 provided, however, that the Company shall not be obligated to provide such notice or information if it is filed with the SEC through EDGAR and available to the public through the EDGAR system.</w:t>
      </w:r>
    </w:p>
    <w:p>
      <w:pPr>
        <w:spacing w:after="0" w:line="179"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REISSUANCE OF WARRANTS.</w:t>
      </w:r>
    </w:p>
    <w:p>
      <w:pPr>
        <w:spacing w:after="0" w:line="206" w:lineRule="exact"/>
        <w:rPr>
          <w:rFonts w:ascii="Times New Roman" w:cs="Times New Roman" w:eastAsia="Times New Roman" w:hAnsi="Times New Roman"/>
          <w:sz w:val="22"/>
          <w:szCs w:val="22"/>
          <w:color w:val="auto"/>
        </w:rPr>
      </w:pPr>
    </w:p>
    <w:p>
      <w:pPr>
        <w:jc w:val="both"/>
        <w:ind w:firstLine="757"/>
        <w:spacing w:after="0" w:line="235" w:lineRule="auto"/>
        <w:tabs>
          <w:tab w:leader="none" w:pos="1018"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of Warrant</w:t>
      </w:r>
      <w:r>
        <w:rPr>
          <w:rFonts w:ascii="Times New Roman" w:cs="Times New Roman" w:eastAsia="Times New Roman" w:hAnsi="Times New Roman"/>
          <w:sz w:val="22"/>
          <w:szCs w:val="22"/>
          <w:color w:val="auto"/>
        </w:rPr>
        <w: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 The Company shall not be obligated to pay any income tax of the Holder which may be payable with respect to any transfer (or deemed transfer) arising in connection with the registration of any certificates for Warrant Shares or Warrants in the name of any Person other than the Holder.</w:t>
      </w:r>
    </w:p>
    <w:p>
      <w:pPr>
        <w:spacing w:after="0" w:line="178" w:lineRule="exact"/>
        <w:rPr>
          <w:rFonts w:ascii="Times New Roman" w:cs="Times New Roman" w:eastAsia="Times New Roman" w:hAnsi="Times New Roman"/>
          <w:sz w:val="22"/>
          <w:szCs w:val="22"/>
          <w:color w:val="auto"/>
        </w:rPr>
      </w:pPr>
    </w:p>
    <w:p>
      <w:pPr>
        <w:jc w:val="both"/>
        <w:ind w:firstLine="757"/>
        <w:spacing w:after="0" w:line="244" w:lineRule="auto"/>
        <w:tabs>
          <w:tab w:leader="none" w:pos="1018"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Lost, Stolen or Mutilated Warrant</w:t>
      </w:r>
      <w:r>
        <w:rPr>
          <w:rFonts w:ascii="Times New Roman" w:cs="Times New Roman" w:eastAsia="Times New Roman" w:hAnsi="Times New Roman"/>
          <w:sz w:val="22"/>
          <w:szCs w:val="22"/>
          <w:color w:val="auto"/>
        </w:rPr>
        <w:t>. Upon receipt by the Company of evidence reasonably satisfactory to the Company of the loss, theft, destruction or mutilation of this Warrant (as to which a written certification and the indemnification contemplated below shall suffice as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 w:name="page21"/>
    <w:bookmarkEnd w:id="20"/>
    <w:p>
      <w:pPr>
        <w:jc w:val="both"/>
        <w:spacing w:after="0" w:line="239" w:lineRule="auto"/>
        <w:rPr>
          <w:sz w:val="20"/>
          <w:szCs w:val="20"/>
          <w:color w:val="auto"/>
        </w:rPr>
      </w:pPr>
      <w:r>
        <w:rPr>
          <w:rFonts w:ascii="Times New Roman" w:cs="Times New Roman" w:eastAsia="Times New Roman" w:hAnsi="Times New Roman"/>
          <w:sz w:val="22"/>
          <w:szCs w:val="22"/>
          <w:color w:val="auto"/>
        </w:rPr>
        <w:t>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180" w:lineRule="exact"/>
        <w:rPr>
          <w:sz w:val="20"/>
          <w:szCs w:val="20"/>
          <w:color w:val="auto"/>
        </w:rPr>
      </w:pPr>
    </w:p>
    <w:p>
      <w:pPr>
        <w:jc w:val="both"/>
        <w:ind w:firstLine="757"/>
        <w:spacing w:after="0" w:line="238" w:lineRule="auto"/>
        <w:tabs>
          <w:tab w:leader="none" w:pos="1018"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Exchangeable for Multiple Warrants</w:t>
      </w:r>
      <w:r>
        <w:rPr>
          <w:rFonts w:ascii="Times New Roman" w:cs="Times New Roman" w:eastAsia="Times New Roman" w:hAnsi="Times New Roman"/>
          <w:sz w:val="22"/>
          <w:szCs w:val="22"/>
          <w:color w:val="auto"/>
        </w:rPr>
        <w:t>.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no warrants for fractional shares of Common Stock shall be given.</w:t>
      </w:r>
    </w:p>
    <w:p>
      <w:pPr>
        <w:spacing w:after="0" w:line="176" w:lineRule="exact"/>
        <w:rPr>
          <w:rFonts w:ascii="Times New Roman" w:cs="Times New Roman" w:eastAsia="Times New Roman" w:hAnsi="Times New Roman"/>
          <w:sz w:val="22"/>
          <w:szCs w:val="22"/>
          <w:color w:val="auto"/>
        </w:rPr>
      </w:pPr>
    </w:p>
    <w:p>
      <w:pPr>
        <w:jc w:val="both"/>
        <w:ind w:firstLine="757"/>
        <w:spacing w:after="0" w:line="235" w:lineRule="auto"/>
        <w:tabs>
          <w:tab w:leader="none" w:pos="1018"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of New Warrants</w:t>
      </w:r>
      <w:r>
        <w:rPr>
          <w:rFonts w:ascii="Times New Roman" w:cs="Times New Roman" w:eastAsia="Times New Roman" w:hAnsi="Times New Roman"/>
          <w:sz w:val="22"/>
          <w:szCs w:val="22"/>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terms, rights and conditions as this Warrant.</w:t>
      </w:r>
    </w:p>
    <w:p>
      <w:pPr>
        <w:spacing w:after="0" w:line="183" w:lineRule="exact"/>
        <w:rPr>
          <w:rFonts w:ascii="Times New Roman" w:cs="Times New Roman" w:eastAsia="Times New Roman" w:hAnsi="Times New Roman"/>
          <w:sz w:val="22"/>
          <w:szCs w:val="22"/>
          <w:color w:val="auto"/>
        </w:rPr>
      </w:pPr>
    </w:p>
    <w:p>
      <w:pPr>
        <w:jc w:val="both"/>
        <w:ind w:firstLine="8"/>
        <w:spacing w:after="0" w:line="232" w:lineRule="auto"/>
        <w:tabs>
          <w:tab w:leader="none" w:pos="509"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Whenever notice is required to be given under this Warrant, unless otherwise provided herein, such notice shall be given in accordance with Section 9(f) of the Warrant Agreement. The Company shall provide the Holder with prompt written notice of all actions taken pursuant to this Warrant (other than the issuance of shares of Common Stock upon exercise in accordance with the terms hereof), including in reasonable detail a description of such action and the reason therefor. Without limiting the generality of the foregoing, the Company will give written notice to the Holder (i) immediately upon each adjustment of the Exercise Price and the number of Warrant Shares, setting forth in reasonable detail, and certifying, the calculation of such adjustment(s), (ii) at least ten (10) days prior to the date on which the Company closes its books or takes a record (A) with respect to any dividend or distribution upon the shares of Common Stock, (B) with respect to any grants, issuances or sales of any Options, Convertible Securities or rights to purchase stock, warrants, securities or other property to holders of shares of Common Stock (other than Excluded Securities) or (C) for determining rights to vote with respect to any Fundamental Transaction, dissolution or liquidation, provided in each case that such information shall be made known to the public prior to or in conjunction with such notice being provided to the Holder, and (iii) at least ten (10) Trading Days prior to the consummation of any Fundamental Transaction, setting forth in reasonable detail any material events with respect to such Fundamental Transaction (unless, solely with respect to the Designated Transactions (as defined in the Notes), such reasonable detail is otherwise previously disclosed in the SEC Documents (as defined in the Warrant Agreement)). To the extent that any notice provided hereunder constitutes, or contains, material, non-public information regarding the Company or any of its Subsidiaries, the Company shall simultaneously file such notice with the SEC (as defined in the Warrant</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1" w:name="page22"/>
    <w:bookmarkEnd w:id="21"/>
    <w:p>
      <w:pPr>
        <w:jc w:val="both"/>
        <w:ind w:firstLine="509"/>
        <w:spacing w:after="0" w:line="235" w:lineRule="auto"/>
        <w:rPr>
          <w:sz w:val="20"/>
          <w:szCs w:val="20"/>
          <w:color w:val="auto"/>
        </w:rPr>
      </w:pPr>
      <w:r>
        <w:rPr>
          <w:rFonts w:ascii="Times New Roman" w:cs="Times New Roman" w:eastAsia="Times New Roman" w:hAnsi="Times New Roman"/>
          <w:sz w:val="22"/>
          <w:szCs w:val="22"/>
          <w:color w:val="auto"/>
        </w:rPr>
        <w:t>Agreement) pursuant to a Current Report on Form 8-K. If the Company or any of its Subsidiaries provides material non-public information to the Holder that is not simultaneously filed in a Current Report on Form 8-K and the Holder has not agreed to receive such material non-public information, the Company hereby covenants and agrees that the Holder shall not have any duty of confidentiality to the Company, any of its Subsidiaries or any of their respective officers, directors, employees, affiliates or agents with respect to, or a duty to any of the foregoing not to trade on the basis of, such material non-public information. It is expressly understood and agreed that the time of execution specified by the Holder in each Exercise Notice shall be definitive and may not be disputed or challenged by the Company.</w:t>
      </w:r>
    </w:p>
    <w:p>
      <w:pPr>
        <w:spacing w:after="0" w:line="183" w:lineRule="exact"/>
        <w:rPr>
          <w:sz w:val="20"/>
          <w:szCs w:val="20"/>
          <w:color w:val="auto"/>
        </w:rPr>
      </w:pPr>
    </w:p>
    <w:p>
      <w:pPr>
        <w:jc w:val="both"/>
        <w:ind w:firstLine="8"/>
        <w:spacing w:after="0" w:line="245" w:lineRule="auto"/>
        <w:tabs>
          <w:tab w:leader="none" w:pos="509"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DISCLOSURE</w:t>
      </w:r>
      <w:r>
        <w:rPr>
          <w:rFonts w:ascii="Times New Roman" w:cs="Times New Roman" w:eastAsia="Times New Roman" w:hAnsi="Times New Roman"/>
          <w:sz w:val="21"/>
          <w:szCs w:val="21"/>
          <w:color w:val="auto"/>
        </w:rPr>
        <w:t>. Upon delivery by the Company to the Holder (or receipt by the Company from the Holder) of any notice in accordance with the terms of this Warrant, unless the Company has in good faith determined that the matters relating to such notice do not constitute material, non-public information relating to the Company or any of its Subsidiaries, the Company shall on or prior to 9:00 am, New York city time on the Business Day immediately following such notice delivery date, publicly disclose such material, non-public information on a Current Report on Form 8-K or otherwise. In the event that the Company believes that a notice contains material, non-public information relating to the Company or any of its Subsidiaries, the Company so shall indicate to the Holder explicitly in writing in such notice (or immediately upon receipt of notice from the Holder, as applicable), and in the absence of any such written indication in such notice (or notification from the Company immediately upon receipt of notice from the Holder), the Holder shall be entitled to presume that information contained in the notice does not constitute material, non-public information relating to the Company or any of its Subsidiaries. Nothing contained in this Section 9 shall limit any obligations of the Company, or any rights of the Holder, under the Warrant Agreement.</w:t>
      </w:r>
    </w:p>
    <w:p>
      <w:pPr>
        <w:spacing w:after="0" w:line="177" w:lineRule="exact"/>
        <w:rPr>
          <w:rFonts w:ascii="Times New Roman" w:cs="Times New Roman" w:eastAsia="Times New Roman" w:hAnsi="Times New Roman"/>
          <w:sz w:val="21"/>
          <w:szCs w:val="21"/>
          <w:color w:val="auto"/>
        </w:rPr>
      </w:pPr>
    </w:p>
    <w:p>
      <w:pPr>
        <w:jc w:val="both"/>
        <w:ind w:firstLine="8"/>
        <w:spacing w:after="0" w:line="248" w:lineRule="auto"/>
        <w:tabs>
          <w:tab w:leader="none" w:pos="509"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ABSENCE OF TRADING AND DISCLOSURE RESTRICTIONS</w:t>
      </w:r>
      <w:r>
        <w:rPr>
          <w:rFonts w:ascii="Times New Roman" w:cs="Times New Roman" w:eastAsia="Times New Roman" w:hAnsi="Times New Roman"/>
          <w:sz w:val="21"/>
          <w:szCs w:val="21"/>
          <w:color w:val="auto"/>
        </w:rPr>
        <w:t>. The Company acknowledges and agrees that the Holder is not a fiduciary or agent of the Company and that the Holder shall have no obligation to (a) maintain the confidentiality of any information provided by the Company or (b) refrain from trading any securities while in possession of such information in the absence of a written non-disclosure agreement signed by an officer of the Holder that explicitly provides for such confidentiality and trading restrictions. In the absence of such an executed, written non-disclosure agreement, the Company acknowledges that the Holder may freely trade in any securities issued by the Company, may possess and use any information provided by the Company in connection with such trading activity, and may disclose any such information to any third party.</w:t>
      </w:r>
    </w:p>
    <w:p>
      <w:pPr>
        <w:spacing w:after="0" w:line="170" w:lineRule="exact"/>
        <w:rPr>
          <w:rFonts w:ascii="Times New Roman" w:cs="Times New Roman" w:eastAsia="Times New Roman" w:hAnsi="Times New Roman"/>
          <w:sz w:val="21"/>
          <w:szCs w:val="21"/>
          <w:color w:val="auto"/>
        </w:rPr>
      </w:pPr>
    </w:p>
    <w:p>
      <w:pPr>
        <w:jc w:val="both"/>
        <w:ind w:firstLine="8"/>
        <w:spacing w:after="0" w:line="238" w:lineRule="auto"/>
        <w:tabs>
          <w:tab w:leader="none" w:pos="509"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AND WAIVER</w:t>
      </w:r>
      <w:r>
        <w:rPr>
          <w:rFonts w:ascii="Times New Roman" w:cs="Times New Roman" w:eastAsia="Times New Roman" w:hAnsi="Times New Roman"/>
          <w:sz w:val="22"/>
          <w:szCs w:val="22"/>
          <w:color w:val="auto"/>
        </w:rPr>
        <w:t>. Except as otherwise provided herein, the provisions of this Warrant (other than Section 1(f) and this Section 11, which may not be amended, modified or waived) may be amended and the Company may take any action herein prohibited, or omit to perform any act herein required to be performed by it, only if the Company has obtained the written consent of the Holder. No waiver shall be effective unless it is in writing and signed by an authorized representative of the waiving party.</w:t>
      </w:r>
    </w:p>
    <w:p>
      <w:pPr>
        <w:spacing w:after="0" w:line="176" w:lineRule="exact"/>
        <w:rPr>
          <w:rFonts w:ascii="Times New Roman" w:cs="Times New Roman" w:eastAsia="Times New Roman" w:hAnsi="Times New Roman"/>
          <w:sz w:val="22"/>
          <w:szCs w:val="22"/>
          <w:color w:val="auto"/>
        </w:rPr>
      </w:pPr>
    </w:p>
    <w:p>
      <w:pPr>
        <w:jc w:val="both"/>
        <w:ind w:firstLine="8"/>
        <w:spacing w:after="0" w:line="244" w:lineRule="auto"/>
        <w:tabs>
          <w:tab w:leader="none" w:pos="509"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 w:name="page23"/>
    <w:bookmarkEnd w:id="22"/>
    <w:p>
      <w:pPr>
        <w:jc w:val="both"/>
        <w:ind w:firstLine="509"/>
        <w:spacing w:after="0" w:line="248" w:lineRule="auto"/>
        <w:rPr>
          <w:sz w:val="20"/>
          <w:szCs w:val="20"/>
          <w:color w:val="auto"/>
        </w:rPr>
      </w:pPr>
      <w:r>
        <w:rPr>
          <w:rFonts w:ascii="Times New Roman" w:cs="Times New Roman" w:eastAsia="Times New Roman" w:hAnsi="Times New Roman"/>
          <w:sz w:val="21"/>
          <w:szCs w:val="21"/>
          <w:color w:val="auto"/>
        </w:rPr>
        <w:t>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70" w:lineRule="exact"/>
        <w:rPr>
          <w:sz w:val="20"/>
          <w:szCs w:val="20"/>
          <w:color w:val="auto"/>
        </w:rPr>
      </w:pPr>
    </w:p>
    <w:p>
      <w:pPr>
        <w:jc w:val="both"/>
        <w:ind w:firstLine="8"/>
        <w:spacing w:after="0" w:line="242" w:lineRule="auto"/>
        <w:tabs>
          <w:tab w:leader="none" w:pos="509"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provision or rule (whether of the State of New York or any other jurisdictions) that would cause the application of the laws of any jurisdictions other than the State of New York. The Company hereby irrevocably waives personal service of process and consents to process being served in any such suit, action or proceeding by mailing a copy thereof to the Company at the address set forth in Section 3(f) of the Warrant Agreement and agrees that such service shall constitute good and sufficient service of process and notice thereof.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Times New Roman" w:cs="Times New Roman" w:eastAsia="Times New Roman" w:hAnsi="Times New Roman"/>
          <w:sz w:val="21"/>
          <w:szCs w:val="21"/>
          <w:b w:val="1"/>
          <w:bCs w:val="1"/>
          <w:color w:val="auto"/>
        </w:rPr>
        <w:t>EACH PARTY HERETO HEREBY IRREVOCABLY WAIVES ANY RIGHT IT MAY HAVE TO,</w:t>
      </w:r>
    </w:p>
    <w:p>
      <w:pPr>
        <w:spacing w:after="0" w:line="16" w:lineRule="exact"/>
        <w:rPr>
          <w:rFonts w:ascii="Times New Roman" w:cs="Times New Roman" w:eastAsia="Times New Roman" w:hAnsi="Times New Roman"/>
          <w:sz w:val="21"/>
          <w:szCs w:val="21"/>
          <w:color w:val="auto"/>
        </w:rPr>
      </w:pPr>
    </w:p>
    <w:p>
      <w:pPr>
        <w:jc w:val="both"/>
        <w:spacing w:after="0" w:line="23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b w:val="1"/>
          <w:bCs w:val="1"/>
          <w:color w:val="auto"/>
        </w:rPr>
        <w:t>AND AGREES NOT TO REQUEST, A JURY TRIAL FOR THE ADJUDICATION OF ANY DISPUTE HEREUNDER OR IN CONNECTION WITH OR ARISING OUT OF THIS WARRANT OR ANY TRANSACTION CONTEMPLATED HEREBY.</w:t>
      </w:r>
    </w:p>
    <w:p>
      <w:pPr>
        <w:spacing w:after="0" w:line="177" w:lineRule="exact"/>
        <w:rPr>
          <w:rFonts w:ascii="Times New Roman" w:cs="Times New Roman" w:eastAsia="Times New Roman" w:hAnsi="Times New Roman"/>
          <w:sz w:val="21"/>
          <w:szCs w:val="21"/>
          <w:color w:val="auto"/>
        </w:rPr>
      </w:pPr>
    </w:p>
    <w:p>
      <w:pPr>
        <w:jc w:val="both"/>
        <w:ind w:firstLine="8"/>
        <w:spacing w:after="0" w:line="238" w:lineRule="auto"/>
        <w:tabs>
          <w:tab w:leader="none" w:pos="509"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CONSTRUCTION; HEADINGS</w:t>
      </w:r>
      <w:r>
        <w:rPr>
          <w:rFonts w:ascii="Times New Roman" w:cs="Times New Roman" w:eastAsia="Times New Roman" w:hAnsi="Times New Roman"/>
          <w:sz w:val="22"/>
          <w:szCs w:val="22"/>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Terms used in this Warrant but defined in the other Transaction Documents shall have the meanings ascribed to such terms on the Closing Date (as defined in the Warrant Agreement) in such other Transaction Documents unless otherwise consented to in writing by the Holder.</w:t>
      </w:r>
    </w:p>
    <w:p>
      <w:pPr>
        <w:spacing w:after="0" w:line="176"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DISPUTE RESOLUTION</w:t>
      </w:r>
      <w:r>
        <w:rPr>
          <w:rFonts w:ascii="Times New Roman" w:cs="Times New Roman" w:eastAsia="Times New Roman" w:hAnsi="Times New Roman"/>
          <w:sz w:val="22"/>
          <w:szCs w:val="22"/>
          <w:color w:val="auto"/>
        </w:rPr>
        <w: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 w:name="page24"/>
    <w:bookmarkEnd w:id="23"/>
    <w:p>
      <w:pPr>
        <w:ind w:left="263" w:hanging="263"/>
        <w:spacing w:after="0"/>
        <w:tabs>
          <w:tab w:leader="none" w:pos="263"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Submission to Dispute Resolution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3" w:firstLine="745"/>
        <w:spacing w:after="0" w:line="233" w:lineRule="auto"/>
        <w:tabs>
          <w:tab w:leader="none" w:pos="1291"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dispute relating to the Exercise Price, the Closing Sale Price, the Bid Price, Black Scholes Consideration Value, Black Scholes Value or fair market value or the arithmetic calculation of the number of Warrant Shares (as the case may be) (including, without limitation, a dispute relating to the determination of any of the foregoing), the Company or the Holder (as the case may be) shall submit the dispute to the other party via electronic mail (A) if by the Company, within two (2) Business Days after the occurrence of the circumstances giving rise to such dispute or (B) if by the Holder at any time after the Holder learned of the circumstances giving rise to such dispute. If the Holder and the Company are unable to promptly resolve such dispute relating to such Exercise Price, such Closing Sale Price, such Bid Price, such Black Scholes Consideration Value, Black Scholes Value or such fair market value or such arithmetic calculation of the number of Warrant Shares (as the case may be), at any time after the second (2nd) Business Day following such initial notice by the Company or the Holder (as the case may be) of such dispute to the Company or the Holder (as the case may be), then the Holder may select an independent, reputable investment bank to resolve such dispute, provided such investment bank is reasonably acceptable to the Company (such approval not to be unreasonably withheld, conditioned or delayed).</w:t>
      </w:r>
    </w:p>
    <w:p>
      <w:pPr>
        <w:spacing w:after="0" w:line="182" w:lineRule="exact"/>
        <w:rPr>
          <w:rFonts w:ascii="Times New Roman" w:cs="Times New Roman" w:eastAsia="Times New Roman" w:hAnsi="Times New Roman"/>
          <w:sz w:val="22"/>
          <w:szCs w:val="22"/>
          <w:color w:val="auto"/>
        </w:rPr>
      </w:pPr>
    </w:p>
    <w:p>
      <w:pPr>
        <w:jc w:val="both"/>
        <w:ind w:left="3" w:firstLine="745"/>
        <w:spacing w:after="0" w:line="244" w:lineRule="auto"/>
        <w:tabs>
          <w:tab w:leader="none" w:pos="1291"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Holder and the Company shall each deliver to such investment bank (A) a copy of the initial dispute submission so delivered in accordance with the first sentence of this Section 15 and (B) written documentation supporting its position with respect to such dispute, in each case, no later than 5:00 p.m. (New York time) by the fifth (5th) Business Day immediately following the date on which the Holder selected such investment bank and notified the Company of such selection and provided the Company with necessary contact information for such investment bank (the “</w:t>
      </w:r>
      <w:r>
        <w:rPr>
          <w:rFonts w:ascii="Times New Roman" w:cs="Times New Roman" w:eastAsia="Times New Roman" w:hAnsi="Times New Roman"/>
          <w:sz w:val="21"/>
          <w:szCs w:val="21"/>
          <w:b w:val="1"/>
          <w:bCs w:val="1"/>
          <w:color w:val="auto"/>
        </w:rPr>
        <w:t>Dispute Submission Deadline</w:t>
      </w:r>
      <w:r>
        <w:rPr>
          <w:rFonts w:ascii="Times New Roman" w:cs="Times New Roman" w:eastAsia="Times New Roman" w:hAnsi="Times New Roman"/>
          <w:sz w:val="21"/>
          <w:szCs w:val="21"/>
          <w:color w:val="auto"/>
        </w:rPr>
        <w:t>”) (the documents referred to in the immediately preceding clauses (A) and (B) are collectively referred to herein as the “</w:t>
      </w:r>
      <w:r>
        <w:rPr>
          <w:rFonts w:ascii="Times New Roman" w:cs="Times New Roman" w:eastAsia="Times New Roman" w:hAnsi="Times New Roman"/>
          <w:sz w:val="21"/>
          <w:szCs w:val="21"/>
          <w:b w:val="1"/>
          <w:bCs w:val="1"/>
          <w:color w:val="auto"/>
        </w:rPr>
        <w:t>Required Dispute Documentation</w:t>
      </w:r>
      <w:r>
        <w:rPr>
          <w:rFonts w:ascii="Times New Roman" w:cs="Times New Roman" w:eastAsia="Times New Roman" w:hAnsi="Times New Roman"/>
          <w:sz w:val="21"/>
          <w:szCs w:val="21"/>
          <w:color w:val="auto"/>
        </w:rPr>
        <w:t>”) (it being understood and agreed that if either the Holder or the Company fails to so deliver all of the Required Dispute Documentation by the Dispute Submission Deadline, then the party who fails to so submit all of the Required Dispute Documentation shall no longer be entitled to (and hereby waives its right to) deliver or submit any written documentation or other support to such investment bank with respect to such dispute and such investment bank shall resolve such dispute based solely on the Required Dispute Documentation that was delivered to such investment bank prior to the Dispute Submission Deadline). Unless otherwise agreed to in writing by both the Company and the Holder or otherwise requested by such investment bank, neither the Company nor the Holder shall be entitled to deliver or submit any written documentation or other support to such investment bank in connection with such dispute (other than the Required Dispute Documentation).</w:t>
      </w:r>
    </w:p>
    <w:p>
      <w:pPr>
        <w:spacing w:after="0" w:line="178" w:lineRule="exact"/>
        <w:rPr>
          <w:rFonts w:ascii="Times New Roman" w:cs="Times New Roman" w:eastAsia="Times New Roman" w:hAnsi="Times New Roman"/>
          <w:sz w:val="21"/>
          <w:szCs w:val="21"/>
          <w:color w:val="auto"/>
        </w:rPr>
      </w:pPr>
    </w:p>
    <w:p>
      <w:pPr>
        <w:jc w:val="both"/>
        <w:ind w:left="3" w:firstLine="745"/>
        <w:spacing w:after="0" w:line="238" w:lineRule="auto"/>
        <w:tabs>
          <w:tab w:leader="none" w:pos="1291"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the Holder shall cause such investment bank to determine the resolution of such dispute and notify the Company and the Holder of such resolution no later than ten (10) Business Days immediately following the Dispute Submission Deadline. The fees and expenses of such investment bank shall be borne solely by the Company, and such investment bank’s resolution of such dispute shall be final and binding upon all parties absent manifest error.</w:t>
      </w:r>
    </w:p>
    <w:p>
      <w:pPr>
        <w:spacing w:after="0" w:line="339" w:lineRule="exact"/>
        <w:rPr>
          <w:sz w:val="20"/>
          <w:szCs w:val="20"/>
          <w:color w:val="auto"/>
        </w:rPr>
      </w:pPr>
    </w:p>
    <w:p>
      <w:pPr>
        <w:ind w:left="4763"/>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632460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8" w:right="339" w:bottom="1440" w:gutter="0" w:footer="0" w:header="0"/>
        </w:sectPr>
      </w:pPr>
    </w:p>
    <w:bookmarkStart w:id="24" w:name="page25"/>
    <w:bookmarkEnd w:id="24"/>
    <w:p>
      <w:pPr>
        <w:jc w:val="both"/>
        <w:ind w:firstLine="757"/>
        <w:spacing w:after="0" w:line="232" w:lineRule="auto"/>
        <w:tabs>
          <w:tab w:leader="none" w:pos="1018"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 Each of the Company and the Holder expressly acknowledges and agrees that (i) this Section 15 constitutes an agreement to arbitrate between the Company and the Holder (and constitutes an arbitration agreement) under the rules then in effect under § 7501, et seq. of the New York Civil Practice Law and Rules (“</w:t>
      </w:r>
      <w:r>
        <w:rPr>
          <w:rFonts w:ascii="Times New Roman" w:cs="Times New Roman" w:eastAsia="Times New Roman" w:hAnsi="Times New Roman"/>
          <w:sz w:val="22"/>
          <w:szCs w:val="22"/>
          <w:b w:val="1"/>
          <w:bCs w:val="1"/>
          <w:color w:val="auto"/>
        </w:rPr>
        <w:t>CPLR</w:t>
      </w:r>
      <w:r>
        <w:rPr>
          <w:rFonts w:ascii="Times New Roman" w:cs="Times New Roman" w:eastAsia="Times New Roman" w:hAnsi="Times New Roman"/>
          <w:sz w:val="22"/>
          <w:szCs w:val="22"/>
          <w:color w:val="auto"/>
        </w:rPr>
        <w:t>”) and that each of the Holder and the Company is authorized to apply for an order to compel arbitration pursuant to CPLR § 7503(a) in order to compel compliance with this Section 15, (ii) a dispute relating to the Exercise Price includes, without limitation, disputes as to whether an agreement, instrument, security or the like constitutes and Option or Convertible Security , (iii) the terms of this Warrant and each other applicable Transaction Document shall serve as the basis for the selected investment bank’s resolution of the applicable dispute, such investment bank shall be entitled (and is hereby expressly authorized) to make all findings, determinations and the like that such investment bank determines are required to be made by such investment bank in connection with its resolution of such dispute (including, without limitation, determining whether an agreement, instrument, security or the like constitutes and Option or Convertible Security and in resolving such dispute such investment bank shall apply such findings, determinations and the like to the terms of this Warrant and any other applicable Transaction Documents, (iv) each of the Company and the Holder shall have the right to submit any dispute described in this Section 15 to any state or federal court sitting in The City of New York, Borough of Manhattan in lieu of utilizing the procedures set forth in this Section 15 and (v) nothing in this Section 15 shall limit the Holder from obtaining any injunctive relief or other equitable remedies (including, without limitation, with respect to any matters described in this Section 15).</w:t>
      </w:r>
    </w:p>
    <w:p>
      <w:pPr>
        <w:spacing w:after="0" w:line="191" w:lineRule="exact"/>
        <w:rPr>
          <w:rFonts w:ascii="Times New Roman" w:cs="Times New Roman" w:eastAsia="Times New Roman" w:hAnsi="Times New Roman"/>
          <w:sz w:val="22"/>
          <w:szCs w:val="22"/>
          <w:color w:val="auto"/>
        </w:rPr>
      </w:pPr>
    </w:p>
    <w:p>
      <w:pPr>
        <w:jc w:val="both"/>
        <w:ind w:firstLine="8"/>
        <w:spacing w:after="0" w:line="232" w:lineRule="auto"/>
        <w:tabs>
          <w:tab w:leader="none" w:pos="509"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 CHARACTERIZATION, OTHER OBLIGATIONS, BREACHES AND INJUNCTIVE RELIEF</w:t>
      </w:r>
      <w:r>
        <w:rPr>
          <w:rFonts w:ascii="Times New Roman" w:cs="Times New Roman" w:eastAsia="Times New Roman" w:hAnsi="Times New Roman"/>
          <w:sz w:val="22"/>
          <w:szCs w:val="22"/>
          <w:color w:val="auto"/>
        </w:rPr>
        <w:t>. The remedies provided in this Warrant shall be cumulative and in addition to all other remedies available under this Warrant and the other Transaction Documents, at law or in equity (including a decree of specific performance and/or other injunctive relief), and nothing herein shall limit the right of the Holder to pursue actual and consequential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specific performance and/or temporary, preliminary and permanent injunctive or other equitable relief from any court of competent jurisdiction in any such case without the necessity of proving actual damages and without posting a bond or other security. The Company shall provide all information and documentation to the Holder that is requested by the Holder to enable the Holder to confirm the Company’s compliance with the terms and conditions of this Warrant (including, without limitation, compliance with Section 2 hereof). The issuance of shares and certificates for shares as contemplated hereby upon the exercise of this Warrant shall be made without charge to the Holder or such shares for any issuance tax or other costs in respect thereof, provided that the Company shall not be required to pay any tax which may be payable in respect of any transfer involved in the issuance and delivery of any certificate in a name other than the Holder or its agent on its behalf.</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5" w:name="page26"/>
    <w:bookmarkEnd w:id="25"/>
    <w:p>
      <w:pPr>
        <w:jc w:val="both"/>
        <w:ind w:firstLine="8"/>
        <w:spacing w:after="0" w:line="235" w:lineRule="auto"/>
        <w:tabs>
          <w:tab w:leader="none" w:pos="509"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COLLECTION, ENFORCEMENT AND OTHER COSTS</w:t>
      </w:r>
      <w:r>
        <w:rPr>
          <w:rFonts w:ascii="Times New Roman" w:cs="Times New Roman" w:eastAsia="Times New Roman" w:hAnsi="Times New Roman"/>
          <w:sz w:val="22"/>
          <w:szCs w:val="22"/>
          <w:color w:val="auto"/>
        </w:rPr>
        <w:t>. If (a) this Warrant is placed in the hands of an attorney for collection or enforcement or is collected or enforced through any legal proceeding or the Holder otherwise takes action to collect amounts due under this Warrant or to enforce the provisions of this Warrant or (b) there occurs any bankruptcy, reorganization, receivership of the Company or other proceedings affecting Company creditors’ rights and involving a claim under this Warrant, then the Company shall pay the costs incurred by the Holder for such collection, enforcement or action or in connection with such bankruptcy, reorganization, receivership or other proceeding, including, without limitation, attorneys’ fees and disbursements.</w:t>
      </w:r>
    </w:p>
    <w:p>
      <w:pPr>
        <w:spacing w:after="0" w:line="183" w:lineRule="exact"/>
        <w:rPr>
          <w:rFonts w:ascii="Times New Roman" w:cs="Times New Roman" w:eastAsia="Times New Roman" w:hAnsi="Times New Roman"/>
          <w:sz w:val="22"/>
          <w:szCs w:val="22"/>
          <w:color w:val="auto"/>
        </w:rPr>
      </w:pPr>
    </w:p>
    <w:p>
      <w:pPr>
        <w:ind w:firstLine="8"/>
        <w:spacing w:after="0" w:line="258" w:lineRule="auto"/>
        <w:tabs>
          <w:tab w:leader="none" w:pos="509"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w:t>
      </w:r>
      <w:r>
        <w:rPr>
          <w:rFonts w:ascii="Times New Roman" w:cs="Times New Roman" w:eastAsia="Times New Roman" w:hAnsi="Times New Roman"/>
          <w:sz w:val="22"/>
          <w:szCs w:val="22"/>
          <w:color w:val="auto"/>
        </w:rPr>
        <w:t>. This Warrant may be offered for sale, sold, transferred or assigned without the consent of the Company, except as may otherwise be required by the Warrant Agreement.</w:t>
      </w:r>
    </w:p>
    <w:p>
      <w:pPr>
        <w:spacing w:after="0" w:line="158"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DEFINITIONS</w:t>
      </w:r>
      <w:r>
        <w:rPr>
          <w:rFonts w:ascii="Times New Roman" w:cs="Times New Roman" w:eastAsia="Times New Roman" w:hAnsi="Times New Roman"/>
          <w:sz w:val="22"/>
          <w:szCs w:val="22"/>
          <w:color w:val="auto"/>
        </w:rPr>
        <w:t>. For purposes of this Warrant, the following terms shall have the following meanings:</w:t>
      </w:r>
    </w:p>
    <w:p>
      <w:pPr>
        <w:spacing w:after="0" w:line="202"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1933 Act</w:t>
      </w:r>
      <w:r>
        <w:rPr>
          <w:rFonts w:ascii="Times New Roman" w:cs="Times New Roman" w:eastAsia="Times New Roman" w:hAnsi="Times New Roman"/>
          <w:sz w:val="22"/>
          <w:szCs w:val="22"/>
          <w:color w:val="auto"/>
        </w:rPr>
        <w:t>” means the Securities Act of 1933, as amended, and the rules and regulations thereunder.</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b w:val="1"/>
          <w:bCs w:val="1"/>
          <w:color w:val="auto"/>
        </w:rPr>
        <w:t>1934 Act</w:t>
      </w:r>
      <w:r>
        <w:rPr>
          <w:rFonts w:ascii="Times New Roman" w:cs="Times New Roman" w:eastAsia="Times New Roman" w:hAnsi="Times New Roman"/>
          <w:sz w:val="22"/>
          <w:szCs w:val="22"/>
          <w:color w:val="auto"/>
        </w:rPr>
        <w:t>” means the Securities Exchange Act of 1934, as amended, and the rules and regulations thereunder.</w:t>
      </w:r>
    </w:p>
    <w:p>
      <w:pPr>
        <w:spacing w:after="0" w:line="206" w:lineRule="exact"/>
        <w:rPr>
          <w:sz w:val="20"/>
          <w:szCs w:val="20"/>
          <w:color w:val="auto"/>
        </w:rPr>
      </w:pPr>
    </w:p>
    <w:p>
      <w:pPr>
        <w:jc w:val="both"/>
        <w:ind w:firstLine="757"/>
        <w:spacing w:after="0" w:line="256" w:lineRule="auto"/>
        <w:tabs>
          <w:tab w:leader="none" w:pos="1018"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Affiliate</w:t>
      </w:r>
      <w:r>
        <w:rPr>
          <w:rFonts w:ascii="Times New Roman" w:cs="Times New Roman" w:eastAsia="Times New Roman" w:hAnsi="Times New Roman"/>
          <w:sz w:val="21"/>
          <w:szCs w:val="21"/>
          <w:color w:val="auto"/>
        </w:rPr>
        <w:t>” means, with respect to any Person, any other Person that directly or indirectly controls, is controlled by, or is under common control with, such Person, it being understood for purposes of this definition that “control” of a Person means the power directly or indirectly either to vote 10% or more of the stock having ordinary voting power for the election of directors of such Person or direct or cause the direction of the management and policies of such Person whether by contract or otherwise.</w:t>
      </w:r>
    </w:p>
    <w:p>
      <w:pPr>
        <w:spacing w:after="0" w:line="158"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22"/>
          <w:szCs w:val="22"/>
          <w:b w:val="1"/>
          <w:bCs w:val="1"/>
          <w:color w:val="auto"/>
        </w:rPr>
        <w:t>Approved Stock Plan</w:t>
      </w:r>
      <w:r>
        <w:rPr>
          <w:rFonts w:ascii="Times New Roman" w:cs="Times New Roman" w:eastAsia="Times New Roman" w:hAnsi="Times New Roman"/>
          <w:sz w:val="22"/>
          <w:szCs w:val="22"/>
          <w:color w:val="auto"/>
        </w:rPr>
        <w:t>” means any stock, equity or option plan or agreement which has been approved by the board of directors of the Company prior to or subsequent to the Issuance Date pursuant to which shares of Common Stock, restricted stock units, stock options to purchase Common Stock and other equity awards may be issued to any employee, officer, director or consultant for services provided to the Company in their capacity as such.</w:t>
      </w:r>
    </w:p>
    <w:p>
      <w:pPr>
        <w:spacing w:after="0" w:line="172" w:lineRule="exact"/>
        <w:rPr>
          <w:sz w:val="20"/>
          <w:szCs w:val="20"/>
          <w:color w:val="auto"/>
        </w:rPr>
      </w:pPr>
    </w:p>
    <w:p>
      <w:pPr>
        <w:jc w:val="both"/>
        <w:ind w:firstLine="757"/>
        <w:spacing w:after="0" w:line="235" w:lineRule="auto"/>
        <w:tabs>
          <w:tab w:leader="none" w:pos="1018"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Attribution Parties</w:t>
      </w:r>
      <w:r>
        <w:rPr>
          <w:rFonts w:ascii="Times New Roman" w:cs="Times New Roman" w:eastAsia="Times New Roman" w:hAnsi="Times New Roman"/>
          <w:sz w:val="22"/>
          <w:szCs w:val="22"/>
          <w:color w:val="auto"/>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1934 Act. For clarity, the purpose of the foregoing is to subject collectively the Holder and all other Attribution Parties to the Maximum Percentage.</w:t>
      </w:r>
    </w:p>
    <w:p>
      <w:pPr>
        <w:spacing w:after="0" w:line="178" w:lineRule="exact"/>
        <w:rPr>
          <w:rFonts w:ascii="Times New Roman" w:cs="Times New Roman" w:eastAsia="Times New Roman" w:hAnsi="Times New Roman"/>
          <w:sz w:val="22"/>
          <w:szCs w:val="22"/>
          <w:color w:val="auto"/>
        </w:rPr>
      </w:pPr>
    </w:p>
    <w:p>
      <w:pPr>
        <w:ind w:firstLine="757"/>
        <w:spacing w:after="0" w:line="262" w:lineRule="auto"/>
        <w:tabs>
          <w:tab w:leader="none" w:pos="1018"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Bid Price</w:t>
      </w:r>
      <w:r>
        <w:rPr>
          <w:rFonts w:ascii="Times New Roman" w:cs="Times New Roman" w:eastAsia="Times New Roman" w:hAnsi="Times New Roman"/>
          <w:sz w:val="22"/>
          <w:szCs w:val="22"/>
          <w:color w:val="auto"/>
        </w:rPr>
        <w:t>” means, for any security as of the particular time of determination, the bid price for such security on the Principal Market as reported by Bloomberg as of such time of</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6" w:name="page27"/>
    <w:bookmarkEnd w:id="26"/>
    <w:p>
      <w:pPr>
        <w:jc w:val="both"/>
        <w:spacing w:after="0" w:line="233" w:lineRule="auto"/>
        <w:rPr>
          <w:sz w:val="20"/>
          <w:szCs w:val="20"/>
          <w:color w:val="auto"/>
        </w:rPr>
      </w:pPr>
      <w:r>
        <w:rPr>
          <w:rFonts w:ascii="Times New Roman" w:cs="Times New Roman" w:eastAsia="Times New Roman" w:hAnsi="Times New Roman"/>
          <w:sz w:val="22"/>
          <w:szCs w:val="22"/>
          <w:color w:val="auto"/>
        </w:rPr>
        <w:t>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any market makers for such security as reported in The Pink Open Market (or a similar organization or agency succeeding to its functions of reporting prices)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 security, then such dispute shall be resolved in accordance with the procedures in Section 15. All such determinations shall be appropriately adjusted for any stock dividend, stock split, stock combination or other similar transaction during such period.</w:t>
      </w:r>
    </w:p>
    <w:p>
      <w:pPr>
        <w:spacing w:after="0" w:line="181"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(g)“</w:t>
      </w:r>
      <w:r>
        <w:rPr>
          <w:rFonts w:ascii="Times New Roman" w:cs="Times New Roman" w:eastAsia="Times New Roman" w:hAnsi="Times New Roman"/>
          <w:sz w:val="22"/>
          <w:szCs w:val="22"/>
          <w:b w:val="1"/>
          <w:bCs w:val="1"/>
          <w:color w:val="auto"/>
        </w:rPr>
        <w:t>Black Scholes Consideration Value</w:t>
      </w:r>
      <w:r>
        <w:rPr>
          <w:rFonts w:ascii="Times New Roman" w:cs="Times New Roman" w:eastAsia="Times New Roman" w:hAnsi="Times New Roman"/>
          <w:sz w:val="22"/>
          <w:szCs w:val="22"/>
          <w:color w:val="auto"/>
        </w:rPr>
        <w:t>” means the value of the applicable Option or Convertible Security (as the case may be) as of the date of issuance thereof calculated using the Black Scholes Option Pricing Model obtained from the “OV” function on Bloomberg utilizing (i) an underlying price per share equal to the Closing Sale Price of the Common Stock on the Trading Day immediately preceding the public announcement of the execution of definitive documents with respect to the issuance of such Option or Convertible Security (as the case may be), (ii) a risk-free interest rate corresponding to the U.S. Treasury rate for a period equal to the remaining term of such Option or Convertible Security (as the case may be) as of the date of issuance of such Option or Convertible Security (as the case may be), (iii) a zero cost of borrow and (iv) an expected volatility equal to the greater of 100% and the 100 day volatility obtained from the “HVT” function on Bloomberg (determined utilizing a 365 day annualization factor) as of the Trading Day immediately following the date of issuance of such Option or Convertible Security (as the case may be).</w:t>
      </w:r>
    </w:p>
    <w:p>
      <w:pPr>
        <w:spacing w:after="0" w:line="179"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(h)“</w:t>
      </w:r>
      <w:r>
        <w:rPr>
          <w:rFonts w:ascii="Times New Roman" w:cs="Times New Roman" w:eastAsia="Times New Roman" w:hAnsi="Times New Roman"/>
          <w:sz w:val="22"/>
          <w:szCs w:val="22"/>
          <w:b w:val="1"/>
          <w:bCs w:val="1"/>
          <w:color w:val="auto"/>
        </w:rPr>
        <w:t>Black Scholes Value</w:t>
      </w:r>
      <w:r>
        <w:rPr>
          <w:rFonts w:ascii="Times New Roman" w:cs="Times New Roman" w:eastAsia="Times New Roman" w:hAnsi="Times New Roman"/>
          <w:sz w:val="22"/>
          <w:szCs w:val="22"/>
          <w:color w:val="auto"/>
        </w:rPr>
        <w:t>” means the value of the unexercised portion of this Warrant remaining on the date of the Holder’s request pursuant to Section 4(d), which value is calculated using the Black Scholes Option Pricing Model obtained from the “OV” function on Bloomberg utilizing (i) an underlying price per share equal to the greater of (1) the highest Closing Sale Price of the Common Stock during the period beginning on the Trading Day immediately preceding the announcement of the applicable Change of Control (or the consummation of the applicable Change of Control, if earlier) and ending on the Trading Day of the Holder’s request pursuant to Section 4(d) and (2) the sum of the price per share being offered in cash in the applicable Change of Control (if any) plus the value of the non-cash consideration being offered in the applicable Change of Control (if any), (ii) a strike price equal to the Exercise Price in effect on the date of the Holder’s request pursuant to Section 4(d), (iii) a risk-free interest rate corresponding to the U.S. Treasury rate for a period equal to the greater of (1) the remaining term of this Warrant as of the date of the Holder’s request pursuant to Section 4(d) and (2) the remaining term of this Warrant as of the date of consummation of the applicable Change of Control or as of the date of the Holder’s request pursuant to Section 4(d) if such request is prior to the date of the consummation of the applicable Change of Control, (iv) a zero cost of borrow and (v) an expected volatility equal to the greater of</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 w:name="page28"/>
    <w:bookmarkEnd w:id="27"/>
    <w:p>
      <w:pPr>
        <w:jc w:val="both"/>
        <w:spacing w:after="0" w:line="244" w:lineRule="auto"/>
        <w:rPr>
          <w:sz w:val="20"/>
          <w:szCs w:val="20"/>
          <w:color w:val="auto"/>
        </w:rPr>
      </w:pPr>
      <w:r>
        <w:rPr>
          <w:rFonts w:ascii="Times New Roman" w:cs="Times New Roman" w:eastAsia="Times New Roman" w:hAnsi="Times New Roman"/>
          <w:sz w:val="22"/>
          <w:szCs w:val="22"/>
          <w:color w:val="auto"/>
        </w:rPr>
        <w:t>100% and the 30 day volatility obtained from the “HVT” function on Bloomberg (determined utilizing a 365 day annualization factor) as of the Trading Day immediately following the earliest to occur of (A) the public disclosure of the applicable Change of Control and (B) the date of the Holder’s request pursuant to Section 4(d).</w:t>
      </w:r>
    </w:p>
    <w:p>
      <w:pPr>
        <w:spacing w:after="0" w:line="169" w:lineRule="exact"/>
        <w:rPr>
          <w:sz w:val="20"/>
          <w:szCs w:val="20"/>
          <w:color w:val="auto"/>
        </w:rPr>
      </w:pPr>
    </w:p>
    <w:p>
      <w:pPr>
        <w:ind w:left="1020" w:hanging="263"/>
        <w:spacing w:after="0"/>
        <w:tabs>
          <w:tab w:leader="none" w:pos="102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Bloomberg</w:t>
      </w:r>
      <w:r>
        <w:rPr>
          <w:rFonts w:ascii="Times New Roman" w:cs="Times New Roman" w:eastAsia="Times New Roman" w:hAnsi="Times New Roman"/>
          <w:sz w:val="22"/>
          <w:szCs w:val="22"/>
          <w:color w:val="auto"/>
        </w:rPr>
        <w:t>” means Bloomberg, L.P.</w:t>
      </w:r>
    </w:p>
    <w:p>
      <w:pPr>
        <w:spacing w:after="0" w:line="206" w:lineRule="exact"/>
        <w:rPr>
          <w:rFonts w:ascii="Times New Roman" w:cs="Times New Roman" w:eastAsia="Times New Roman" w:hAnsi="Times New Roman"/>
          <w:sz w:val="22"/>
          <w:szCs w:val="22"/>
          <w:color w:val="auto"/>
        </w:rPr>
      </w:pPr>
    </w:p>
    <w:p>
      <w:pPr>
        <w:jc w:val="both"/>
        <w:ind w:firstLine="757"/>
        <w:spacing w:after="0" w:line="237" w:lineRule="auto"/>
        <w:tabs>
          <w:tab w:leader="none" w:pos="1018"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175"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(k)“</w:t>
      </w:r>
      <w:r>
        <w:rPr>
          <w:rFonts w:ascii="Times New Roman" w:cs="Times New Roman" w:eastAsia="Times New Roman" w:hAnsi="Times New Roman"/>
          <w:sz w:val="22"/>
          <w:szCs w:val="22"/>
          <w:b w:val="1"/>
          <w:bCs w:val="1"/>
          <w:color w:val="auto"/>
        </w:rPr>
        <w:t>Closing Sale Price</w:t>
      </w:r>
      <w:r>
        <w:rPr>
          <w:rFonts w:ascii="Times New Roman" w:cs="Times New Roman" w:eastAsia="Times New Roman" w:hAnsi="Times New Roman"/>
          <w:sz w:val="22"/>
          <w:szCs w:val="22"/>
          <w:color w:val="auto"/>
        </w:rPr>
        <w:t>” means, for any security as of any date, the last closing trade price for such security on the Principal Market, as reported by Bloomberg, or, if the Principal Market begins to operate on an extended hours basis and does not designate the closing trade price, then the last trade price of such security prior to 4:00:00 p.m., New York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does not apply, the last trade price of such security in the over-the-counter market on the electronic bulletin board for such security as reported by Bloomberg, or, if no last trade price is reported for such security by Bloomberg, the average of the ask prices of any market makers for such security as reported in The Pink Open Market (or a similar organization or agency succeeding to its functions of reporting prices).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15. All such determinations shall be appropriately adjusted for any stock dividend, stock split, stock combination or other similar transaction during such period.</w:t>
      </w:r>
    </w:p>
    <w:p>
      <w:pPr>
        <w:spacing w:after="0" w:line="180" w:lineRule="exact"/>
        <w:rPr>
          <w:sz w:val="20"/>
          <w:szCs w:val="20"/>
          <w:color w:val="auto"/>
        </w:rPr>
      </w:pPr>
    </w:p>
    <w:p>
      <w:pPr>
        <w:jc w:val="both"/>
        <w:ind w:firstLine="757"/>
        <w:spacing w:after="0" w:line="246" w:lineRule="auto"/>
        <w:tabs>
          <w:tab w:leader="none" w:pos="1018"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Common Stock</w:t>
      </w:r>
      <w:r>
        <w:rPr>
          <w:rFonts w:ascii="Times New Roman" w:cs="Times New Roman" w:eastAsia="Times New Roman" w:hAnsi="Times New Roman"/>
          <w:sz w:val="22"/>
          <w:szCs w:val="22"/>
          <w:color w:val="auto"/>
        </w:rPr>
        <w:t>” means (i) the Company’s shares of common stock, $0.0001 par value per share, and (ii) any capital stock into which such common stock shall have been changed or any share capital resulting from a reclassification of such common stock.</w:t>
      </w:r>
    </w:p>
    <w:p>
      <w:pPr>
        <w:spacing w:after="0" w:line="16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(m)“</w:t>
      </w:r>
      <w:r>
        <w:rPr>
          <w:rFonts w:ascii="Times New Roman" w:cs="Times New Roman" w:eastAsia="Times New Roman" w:hAnsi="Times New Roman"/>
          <w:sz w:val="22"/>
          <w:szCs w:val="22"/>
          <w:b w:val="1"/>
          <w:bCs w:val="1"/>
          <w:color w:val="auto"/>
        </w:rPr>
        <w:t>Convertible Securities</w:t>
      </w:r>
      <w:r>
        <w:rPr>
          <w:rFonts w:ascii="Times New Roman" w:cs="Times New Roman" w:eastAsia="Times New Roman" w:hAnsi="Times New Roman"/>
          <w:sz w:val="22"/>
          <w:szCs w:val="22"/>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16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(n)“</w:t>
      </w:r>
      <w:r>
        <w:rPr>
          <w:rFonts w:ascii="Times New Roman" w:cs="Times New Roman" w:eastAsia="Times New Roman" w:hAnsi="Times New Roman"/>
          <w:sz w:val="22"/>
          <w:szCs w:val="22"/>
          <w:b w:val="1"/>
          <w:bCs w:val="1"/>
          <w:color w:val="auto"/>
        </w:rPr>
        <w:t>Eligible Market</w:t>
      </w:r>
      <w:r>
        <w:rPr>
          <w:rFonts w:ascii="Times New Roman" w:cs="Times New Roman" w:eastAsia="Times New Roman" w:hAnsi="Times New Roman"/>
          <w:sz w:val="22"/>
          <w:szCs w:val="22"/>
          <w:color w:val="auto"/>
        </w:rPr>
        <w:t>” means The New York Stock Exchange, the NYSE American, the Nasdaq Global Select Market, the Nasdaq Global Market, the Nasdaq Capital Market or the Principal Market.</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 w:name="page29"/>
    <w:bookmarkEnd w:id="28"/>
    <w:p>
      <w:pPr>
        <w:jc w:val="both"/>
        <w:ind w:firstLine="749"/>
        <w:spacing w:after="0" w:line="242" w:lineRule="auto"/>
        <w:rPr>
          <w:sz w:val="20"/>
          <w:szCs w:val="20"/>
          <w:color w:val="auto"/>
        </w:rPr>
      </w:pPr>
      <w:r>
        <w:rPr>
          <w:rFonts w:ascii="Times New Roman" w:cs="Times New Roman" w:eastAsia="Times New Roman" w:hAnsi="Times New Roman"/>
          <w:sz w:val="21"/>
          <w:szCs w:val="21"/>
          <w:color w:val="auto"/>
        </w:rPr>
        <w:t>(o)“</w:t>
      </w:r>
      <w:r>
        <w:rPr>
          <w:rFonts w:ascii="Times New Roman" w:cs="Times New Roman" w:eastAsia="Times New Roman" w:hAnsi="Times New Roman"/>
          <w:sz w:val="21"/>
          <w:szCs w:val="21"/>
          <w:b w:val="1"/>
          <w:bCs w:val="1"/>
          <w:color w:val="auto"/>
        </w:rPr>
        <w:t>Excluded Securities</w:t>
      </w:r>
      <w:r>
        <w:rPr>
          <w:rFonts w:ascii="Times New Roman" w:cs="Times New Roman" w:eastAsia="Times New Roman" w:hAnsi="Times New Roman"/>
          <w:sz w:val="21"/>
          <w:szCs w:val="21"/>
          <w:color w:val="auto"/>
        </w:rPr>
        <w:t>” means (i) shares of Common Stock, or options or other equity awards issued to directors, officers, employees or consultants of the Company for services rendered to the Company in their capacity as such pursuant to an Approved Stock Plan (as defined above), provided that (A) all such issuances to directors, officers, employees or consultants (taking into account the shares of Common Stock issuable upon exercise of such Common Stock, or options or other equity awards) after the Issuance Date pursuant to this clause (i) do not, in the aggregate, exceed more than 15% of the Common Stock issued and outstanding immediately prior to the Issuance Date and (B) the exercise price of any such securities is not lowered, none of such securities are amended to increase the number of shares issuable thereunder and none of the terms or conditions of any such securities are otherwise changed in any manner that adversely affects the Holder; (ii) shares of Common Stock issued upon the conversion or exercise of Convertible Securities or Options (other than securities issued pursuant to an Approved Stock Plan that are covered by clause (i) above) issued prior to the Issuance Date, provided that the conversion price of any such Convertible Securities or Options (other than securities issued pursuant to an Approved Stock Plan that are covered by clause (i) above) is not lowered, none of such Convertible Securities or Options (other than securities issued pursuant to an Approved Stock Plan that are covered by clause (i) above) are amended to increase the number of shares issuable thereunder and none of the terms or conditions of any such Convertible Securities or Options (other than securities issued pursuant to an Approved Stock Plan that are covered by clause (i) above) are otherwise changed in any manner that adversely affects the Holder; (iii) the shares of Common Stock issuable upon conversion of the Notes or otherwise pursuant to the terms of the Notes; provided, that the terms of the Notes are not amended, modified or changed on or after the Issuance Date (other than antidilution adjustments pursuant to the terms thereof in effect as of the Issuance Date), (iv) the shares of Common Stock issuable upon exercise of the Warrant; provided, that the terms of the Warrant are not amended, modified or changed on or after the Issuance Date (other than antidilution adjustments pursuant to the terms thereof in effect as of the Issuance Date), (v) any Subsequent Placement (as defined in the Notes) in which at least 80% of the gross cash proceeds are used to effect a Company Optional Redemption (as such term is defined in the Notes) under the Notes; (vi) shares of Common Stock issued pursuant to any at-the-market offering transaction that the Company may enter into from time to time after the Issuance Date, and (vii) securities issued in connection with any bona fide strategic or commercial alliances, acquisitions, mergers, licensing arrangements, strategic transactions and strategic partnerships (including, without limitation, joint ventures, marketing or distribution arrangements, collaboration agreements or intellectual property license agreements)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provided, further, that (w) the primary purpose of such issuance is not to raise capital, and (x) the purchaser or acquirer or recipient of the securities in such issuance solely consists of either (I) the actual participants in such strategic or commercial alliance, strategic or commercial licensing arrangement or strategic or commercial partnership, (II) the actual owners of such assets or securities acquired in such acquisition or merger or (III) the shareholders, partners, employees, consultants, officers, directors or members of the foregoing Persons, in each case, which is, itself or through its subsidiaries, an operating company or an owner of an asset, in a business synergistic with the business of the Company and shall provide to the Company additional benefits in addition to the investment of funds, and (y) the number or amount of securities issued to such Persons by the Company shall not be disproportionate to each such</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9" w:name="page30"/>
    <w:bookmarkEnd w:id="29"/>
    <w:p>
      <w:pPr>
        <w:spacing w:after="0" w:line="258" w:lineRule="auto"/>
        <w:rPr>
          <w:sz w:val="20"/>
          <w:szCs w:val="20"/>
          <w:color w:val="auto"/>
        </w:rPr>
      </w:pPr>
      <w:r>
        <w:rPr>
          <w:rFonts w:ascii="Times New Roman" w:cs="Times New Roman" w:eastAsia="Times New Roman" w:hAnsi="Times New Roman"/>
          <w:sz w:val="22"/>
          <w:szCs w:val="22"/>
          <w:color w:val="auto"/>
        </w:rPr>
        <w:t>Person’s actual participation in (or fair market value of the contribution to) such strategic or commercial alliance or strategic or commercial partnership or ownership of such assets or securities to be acquired by the Company, as applicable.</w:t>
      </w:r>
    </w:p>
    <w:p>
      <w:pPr>
        <w:spacing w:after="0" w:line="154" w:lineRule="exact"/>
        <w:rPr>
          <w:sz w:val="20"/>
          <w:szCs w:val="20"/>
          <w:color w:val="auto"/>
        </w:rPr>
      </w:pPr>
    </w:p>
    <w:p>
      <w:pPr>
        <w:ind w:right="20" w:firstLine="749"/>
        <w:spacing w:after="0" w:line="262" w:lineRule="auto"/>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22"/>
          <w:szCs w:val="22"/>
          <w:b w:val="1"/>
          <w:bCs w:val="1"/>
          <w:color w:val="auto"/>
        </w:rPr>
        <w:t>Expiration Date</w:t>
      </w:r>
      <w:r>
        <w:rPr>
          <w:rFonts w:ascii="Times New Roman" w:cs="Times New Roman" w:eastAsia="Times New Roman" w:hAnsi="Times New Roman"/>
          <w:sz w:val="22"/>
          <w:szCs w:val="22"/>
          <w:color w:val="auto"/>
        </w:rPr>
        <w:t>” means December 13, 2029 or, if such date falls on a day other than a Trading Day or on which trading does not take place on the Principal Market (a “</w:t>
      </w:r>
      <w:r>
        <w:rPr>
          <w:rFonts w:ascii="Times New Roman" w:cs="Times New Roman" w:eastAsia="Times New Roman" w:hAnsi="Times New Roman"/>
          <w:sz w:val="22"/>
          <w:szCs w:val="22"/>
          <w:b w:val="1"/>
          <w:bCs w:val="1"/>
          <w:color w:val="auto"/>
        </w:rPr>
        <w:t>Holiday</w:t>
      </w:r>
      <w:r>
        <w:rPr>
          <w:rFonts w:ascii="Times New Roman" w:cs="Times New Roman" w:eastAsia="Times New Roman" w:hAnsi="Times New Roman"/>
          <w:sz w:val="22"/>
          <w:szCs w:val="22"/>
          <w:color w:val="auto"/>
        </w:rPr>
        <w:t>”), the next date that is not a Holiday.</w:t>
      </w:r>
    </w:p>
    <w:p>
      <w:pPr>
        <w:spacing w:after="0" w:line="150"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color w:val="auto"/>
        </w:rPr>
        <w:t>(q)“</w:t>
      </w:r>
      <w:r>
        <w:rPr>
          <w:rFonts w:ascii="Times New Roman" w:cs="Times New Roman" w:eastAsia="Times New Roman" w:hAnsi="Times New Roman"/>
          <w:sz w:val="22"/>
          <w:szCs w:val="22"/>
          <w:b w:val="1"/>
          <w:bCs w:val="1"/>
          <w:color w:val="auto"/>
        </w:rPr>
        <w:t>Floor Price</w:t>
      </w:r>
      <w:r>
        <w:rPr>
          <w:rFonts w:ascii="Times New Roman" w:cs="Times New Roman" w:eastAsia="Times New Roman" w:hAnsi="Times New Roman"/>
          <w:sz w:val="22"/>
          <w:szCs w:val="22"/>
          <w:color w:val="auto"/>
        </w:rPr>
        <w:t>” means $8.22 (as adjusted for stock splits, stock dividends, stock combinations, recapitalizations and similar events).</w:t>
      </w:r>
    </w:p>
    <w:p>
      <w:pPr>
        <w:spacing w:after="0" w:line="150" w:lineRule="exact"/>
        <w:rPr>
          <w:sz w:val="20"/>
          <w:szCs w:val="20"/>
          <w:color w:val="auto"/>
        </w:rPr>
      </w:pPr>
    </w:p>
    <w:p>
      <w:pPr>
        <w:jc w:val="both"/>
        <w:ind w:firstLine="757"/>
        <w:spacing w:after="0" w:line="255" w:lineRule="auto"/>
        <w:tabs>
          <w:tab w:leader="none" w:pos="1018" w:val="left"/>
        </w:tabs>
        <w:numPr>
          <w:ilvl w:val="1"/>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Fundamental Transaction</w:t>
      </w:r>
      <w:r>
        <w:rPr>
          <w:rFonts w:ascii="Times New Roman" w:cs="Times New Roman" w:eastAsia="Times New Roman" w:hAnsi="Times New Roman"/>
          <w:sz w:val="21"/>
          <w:szCs w:val="21"/>
          <w:color w:val="auto"/>
        </w:rPr>
        <w:t>” means any of the following transactions involving a Successor Entity (A) that the Company shall, directly or indirectly, including through subsidiaries, Affiliates or otherwise, in one or more related transactions,</w:t>
      </w:r>
    </w:p>
    <w:p>
      <w:pPr>
        <w:jc w:val="both"/>
        <w:ind w:firstLine="8"/>
        <w:spacing w:after="0" w:line="231" w:lineRule="auto"/>
        <w:tabs>
          <w:tab w:leader="none" w:pos="277"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consolidate or merge with or into another Subject Entity, in which the Company is not the surviving entity or in which the stockholders of the Company immediately prior to such consolidation or merger do not own, directly or indirectly, at least 50% of the voting power of the surviving entity immediately after such consolidation or merger, or (ii) sell, assign, transfer, convey or otherwise dispose of all or substantially all of the properties or assets of the Company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1934 Act) of at least 50% of the outstanding shares of Common Stock, or (iv) consummate a stock or share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1934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1934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0" w:name="page31"/>
    <w:bookmarkEnd w:id="30"/>
    <w:p>
      <w:pPr>
        <w:jc w:val="both"/>
        <w:spacing w:after="0" w:line="233" w:lineRule="auto"/>
        <w:rPr>
          <w:sz w:val="20"/>
          <w:szCs w:val="20"/>
          <w:color w:val="auto"/>
        </w:rPr>
      </w:pPr>
      <w:r>
        <w:rPr>
          <w:rFonts w:ascii="Times New Roman" w:cs="Times New Roman" w:eastAsia="Times New Roman" w:hAnsi="Times New Roman"/>
          <w:sz w:val="22"/>
          <w:szCs w:val="22"/>
          <w:color w:val="auto"/>
        </w:rPr>
        <w:t>least 50% of the aggregate ordinary voting power represented by issued and outstanding Common Stock not held by all such Subject Entities as of the date of this Warrant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183" w:lineRule="exact"/>
        <w:rPr>
          <w:sz w:val="20"/>
          <w:szCs w:val="20"/>
          <w:color w:val="auto"/>
        </w:rPr>
      </w:pPr>
    </w:p>
    <w:p>
      <w:pPr>
        <w:ind w:left="1020" w:hanging="263"/>
        <w:spacing w:after="0"/>
        <w:tabs>
          <w:tab w:leader="none" w:pos="102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Group</w:t>
      </w:r>
      <w:r>
        <w:rPr>
          <w:rFonts w:ascii="Times New Roman" w:cs="Times New Roman" w:eastAsia="Times New Roman" w:hAnsi="Times New Roman"/>
          <w:sz w:val="22"/>
          <w:szCs w:val="22"/>
          <w:color w:val="auto"/>
        </w:rPr>
        <w:t>” means a “group” as that term is used in Section 13(d) of the 1934 Act and as defined in Rule 13d-5</w:t>
      </w:r>
    </w:p>
    <w:p>
      <w:pPr>
        <w:spacing w:after="0" w:line="18"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thereunder.</w:t>
      </w:r>
    </w:p>
    <w:p>
      <w:pPr>
        <w:spacing w:after="0" w:line="178" w:lineRule="exact"/>
        <w:rPr>
          <w:rFonts w:ascii="Times New Roman" w:cs="Times New Roman" w:eastAsia="Times New Roman" w:hAnsi="Times New Roman"/>
          <w:sz w:val="22"/>
          <w:szCs w:val="22"/>
          <w:color w:val="auto"/>
        </w:rPr>
      </w:pPr>
    </w:p>
    <w:p>
      <w:pPr>
        <w:ind w:right="20" w:firstLine="757"/>
        <w:spacing w:after="0" w:line="286" w:lineRule="auto"/>
        <w:tabs>
          <w:tab w:leader="none" w:pos="1018"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Market Price</w:t>
      </w:r>
      <w:r>
        <w:rPr>
          <w:rFonts w:ascii="Times New Roman" w:cs="Times New Roman" w:eastAsia="Times New Roman" w:hAnsi="Times New Roman"/>
          <w:sz w:val="21"/>
          <w:szCs w:val="21"/>
          <w:color w:val="auto"/>
        </w:rPr>
        <w:t>” means, as of any given date, the VWAP of the Common Stock as of Trading Day ended immediately prior to such given date (as adjusted for stock splits, stock dividends, stock combinations, recapitalizations and similar events).</w:t>
      </w:r>
    </w:p>
    <w:p>
      <w:pPr>
        <w:spacing w:after="0" w:line="12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(u)“</w:t>
      </w:r>
      <w:r>
        <w:rPr>
          <w:rFonts w:ascii="Times New Roman" w:cs="Times New Roman" w:eastAsia="Times New Roman" w:hAnsi="Times New Roman"/>
          <w:sz w:val="22"/>
          <w:szCs w:val="22"/>
          <w:b w:val="1"/>
          <w:bCs w:val="1"/>
          <w:color w:val="auto"/>
        </w:rPr>
        <w:t>Notes</w:t>
      </w:r>
      <w:r>
        <w:rPr>
          <w:rFonts w:ascii="Times New Roman" w:cs="Times New Roman" w:eastAsia="Times New Roman" w:hAnsi="Times New Roman"/>
          <w:sz w:val="22"/>
          <w:szCs w:val="22"/>
          <w:color w:val="auto"/>
        </w:rPr>
        <w:t>” shall mean the Tranche B Notes (as defined in the Warrant Agreement) and shall include all notes issued in exchange therefor or replacement thereof.</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(v)“</w:t>
      </w:r>
      <w:r>
        <w:rPr>
          <w:rFonts w:ascii="Times New Roman" w:cs="Times New Roman" w:eastAsia="Times New Roman" w:hAnsi="Times New Roman"/>
          <w:sz w:val="22"/>
          <w:szCs w:val="22"/>
          <w:b w:val="1"/>
          <w:bCs w:val="1"/>
          <w:color w:val="auto"/>
        </w:rPr>
        <w:t>Options</w:t>
      </w:r>
      <w:r>
        <w:rPr>
          <w:rFonts w:ascii="Times New Roman" w:cs="Times New Roman" w:eastAsia="Times New Roman" w:hAnsi="Times New Roman"/>
          <w:sz w:val="22"/>
          <w:szCs w:val="22"/>
          <w:color w:val="auto"/>
        </w:rPr>
        <w:t>” means any rights, warrants or options to subscribe for or purchase shares of Common Stock or Convertible Securities.</w:t>
      </w:r>
    </w:p>
    <w:p>
      <w:pPr>
        <w:spacing w:after="0" w:line="150"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w:t>
      </w:r>
      <w:r>
        <w:rPr>
          <w:rFonts w:ascii="Times New Roman" w:cs="Times New Roman" w:eastAsia="Times New Roman" w:hAnsi="Times New Roman"/>
          <w:sz w:val="22"/>
          <w:szCs w:val="22"/>
          <w:b w:val="1"/>
          <w:bCs w:val="1"/>
          <w:color w:val="auto"/>
        </w:rPr>
        <w:t>Parent Entity</w:t>
      </w:r>
      <w:r>
        <w:rPr>
          <w:rFonts w:ascii="Times New Roman" w:cs="Times New Roman" w:eastAsia="Times New Roman" w:hAnsi="Times New Roman"/>
          <w:sz w:val="22"/>
          <w:szCs w:val="22"/>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 provided, that in connection with the consummation of the Semnur Merger (as defined in the Notes), neither Denali (as defined in the Notes), Denali Merger Sub Inc. nor Semnur (as defined in the Notes) shall be a Successor Entity and/or a Parent Entity, as applicable, in connection therewith.</w:t>
      </w:r>
    </w:p>
    <w:p>
      <w:pPr>
        <w:spacing w:after="0" w:line="17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(x)“</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 individual, a limited liability company, a partnership, a joint venture, a corporation, a trust, an unincorporated organization, any other entity or a government or any department or agency thereof.</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(y)“</w:t>
      </w:r>
      <w:r>
        <w:rPr>
          <w:rFonts w:ascii="Times New Roman" w:cs="Times New Roman" w:eastAsia="Times New Roman" w:hAnsi="Times New Roman"/>
          <w:sz w:val="22"/>
          <w:szCs w:val="22"/>
          <w:b w:val="1"/>
          <w:bCs w:val="1"/>
          <w:color w:val="auto"/>
        </w:rPr>
        <w:t>Principal Market</w:t>
      </w:r>
      <w:r>
        <w:rPr>
          <w:rFonts w:ascii="Times New Roman" w:cs="Times New Roman" w:eastAsia="Times New Roman" w:hAnsi="Times New Roman"/>
          <w:sz w:val="22"/>
          <w:szCs w:val="22"/>
          <w:color w:val="auto"/>
        </w:rPr>
        <w:t>” means the Nasdaq Capital Market.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(z) “</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means the United States Securities and Exchange Commission or the successor thereto.</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(aa)</w:t>
      </w:r>
      <w:r>
        <w:rPr>
          <w:rFonts w:ascii="Times New Roman" w:cs="Times New Roman" w:eastAsia="Times New Roman" w:hAnsi="Times New Roman"/>
          <w:sz w:val="22"/>
          <w:szCs w:val="22"/>
          <w:b w:val="1"/>
          <w:bCs w:val="1"/>
          <w:color w:val="auto"/>
        </w:rPr>
        <w:t>“Subject Entity</w:t>
      </w:r>
      <w:r>
        <w:rPr>
          <w:rFonts w:ascii="Times New Roman" w:cs="Times New Roman" w:eastAsia="Times New Roman" w:hAnsi="Times New Roman"/>
          <w:sz w:val="22"/>
          <w:szCs w:val="22"/>
          <w:color w:val="auto"/>
        </w:rPr>
        <w:t>” means any Person, Persons or Group or any Affiliate or associate of any such Person, Persons or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Group.</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1" w:name="page32"/>
    <w:bookmarkEnd w:id="31"/>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(bb)“</w:t>
      </w:r>
      <w:r>
        <w:rPr>
          <w:rFonts w:ascii="Times New Roman" w:cs="Times New Roman" w:eastAsia="Times New Roman" w:hAnsi="Times New Roman"/>
          <w:sz w:val="22"/>
          <w:szCs w:val="22"/>
          <w:b w:val="1"/>
          <w:bCs w:val="1"/>
          <w:color w:val="auto"/>
        </w:rPr>
        <w:t>Successor Entity</w:t>
      </w:r>
      <w:r>
        <w:rPr>
          <w:rFonts w:ascii="Times New Roman" w:cs="Times New Roman" w:eastAsia="Times New Roman" w:hAnsi="Times New Roman"/>
          <w:sz w:val="22"/>
          <w:szCs w:val="22"/>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167"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(cc)“</w:t>
      </w:r>
      <w:r>
        <w:rPr>
          <w:rFonts w:ascii="Times New Roman" w:cs="Times New Roman" w:eastAsia="Times New Roman" w:hAnsi="Times New Roman"/>
          <w:sz w:val="22"/>
          <w:szCs w:val="22"/>
          <w:b w:val="1"/>
          <w:bCs w:val="1"/>
          <w:color w:val="auto"/>
        </w:rPr>
        <w:t>Trading Day</w:t>
      </w:r>
      <w:r>
        <w:rPr>
          <w:rFonts w:ascii="Times New Roman" w:cs="Times New Roman" w:eastAsia="Times New Roman" w:hAnsi="Times New Roman"/>
          <w:sz w:val="22"/>
          <w:szCs w:val="22"/>
          <w:color w:val="auto"/>
        </w:rPr>
        <w:t>” means, as applicable, (x) with respect to all price or trading volume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unless such day is otherwise designated as a Trading Day in writing by the Holder or (y) with respect to all determinations other than price or trading volume determinations relating to the Common Stock, any day on which The New York Stock Exchange (or any successor thereto) is open for trading of securities.</w:t>
      </w:r>
    </w:p>
    <w:p>
      <w:pPr>
        <w:spacing w:after="0" w:line="179"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(dd)“</w:t>
      </w:r>
      <w:r>
        <w:rPr>
          <w:rFonts w:ascii="Times New Roman" w:cs="Times New Roman" w:eastAsia="Times New Roman" w:hAnsi="Times New Roman"/>
          <w:sz w:val="22"/>
          <w:szCs w:val="22"/>
          <w:b w:val="1"/>
          <w:bCs w:val="1"/>
          <w:color w:val="auto"/>
        </w:rPr>
        <w:t>VWAP</w:t>
      </w:r>
      <w:r>
        <w:rPr>
          <w:rFonts w:ascii="Times New Roman" w:cs="Times New Roman" w:eastAsia="Times New Roman" w:hAnsi="Times New Roman"/>
          <w:sz w:val="22"/>
          <w:szCs w:val="22"/>
          <w:color w:val="auto"/>
        </w:rPr>
        <w:t>” 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 a.m., New York time, and ending at 4:00 p.m., New York time, as reported by Bloomberg through its “VAP” function (set to 09:30 start time and 16:00 end time) or, if the foregoing does not apply, the dollar volume-weighted average price of such security in the over-the-counter market on the electronic bulletin board for such security during the period beginning at 9:30 a.m., New York time, and ending at 4:00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Open Market (or a similar organization or agency succeeding to its functions of reporting prices). If the VWAP cannot be calculated for such security on such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15. All such determinations shall be appropriately adjusted for any stock dividend, stock split, stock combination, recapitalization or other similar transaction during such period.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2" w:name="page33"/>
    <w:bookmarkEnd w:id="32"/>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the Company has caused this Warrant to Purchase Common Stock to be duly executed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Issuance Date set out above.</w:t>
      </w:r>
    </w:p>
    <w:p>
      <w:pPr>
        <w:spacing w:after="0" w:line="15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b w:val="1"/>
          <w:bCs w:val="1"/>
          <w:color w:val="auto"/>
        </w:rPr>
        <w:t>SCILEX HOLDING COMPANY</w:t>
      </w:r>
    </w:p>
    <w:p>
      <w:pPr>
        <w:spacing w:after="0" w:line="23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color w:val="auto"/>
        </w:rPr>
        <w:t>Name:</w:t>
      </w:r>
    </w:p>
    <w:p>
      <w:pPr>
        <w:jc w:val="center"/>
        <w:ind w:right="42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1397635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EXERCISE NOTICE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BE EXECUTED BY THE REGISTERED HOLDER TO EXERCISE THIS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WARRANT TO PURCHASE COMMON STOCK</w:t>
      </w:r>
    </w:p>
    <w:p>
      <w:pPr>
        <w:spacing w:after="0" w:line="18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SCILEX HOLDING COMPANY</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The undersigned holder hereby elects to exercise the Warrant to Purchase Common Stock No. _______ (the “</w:t>
      </w:r>
      <w:r>
        <w:rPr>
          <w:rFonts w:ascii="Times New Roman" w:cs="Times New Roman" w:eastAsia="Times New Roman" w:hAnsi="Times New Roman"/>
          <w:sz w:val="21"/>
          <w:szCs w:val="21"/>
          <w:b w:val="1"/>
          <w:bCs w:val="1"/>
          <w:color w:val="auto"/>
        </w:rPr>
        <w:t>Warrant</w:t>
      </w:r>
      <w:r>
        <w:rPr>
          <w:rFonts w:ascii="Times New Roman" w:cs="Times New Roman" w:eastAsia="Times New Roman" w:hAnsi="Times New Roman"/>
          <w:sz w:val="21"/>
          <w:szCs w:val="21"/>
          <w:color w:val="auto"/>
        </w:rPr>
        <w:t>”)</w:t>
      </w:r>
    </w:p>
    <w:p>
      <w:pPr>
        <w:spacing w:after="0" w:line="30"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22"/>
          <w:szCs w:val="22"/>
          <w:color w:val="auto"/>
        </w:rPr>
        <w:t>of Scilex Holding Company,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as specified below. Capitalized terms used herein and not otherwise defined shall have the respective meanings set forth in the Warrant.</w:t>
      </w:r>
    </w:p>
    <w:p>
      <w:pPr>
        <w:spacing w:after="0" w:line="178" w:lineRule="exact"/>
        <w:rPr>
          <w:sz w:val="20"/>
          <w:szCs w:val="20"/>
          <w:color w:val="auto"/>
        </w:rPr>
      </w:pPr>
    </w:p>
    <w:p>
      <w:pPr>
        <w:ind w:left="1180" w:hanging="423"/>
        <w:spacing w:after="0"/>
        <w:tabs>
          <w:tab w:leader="none" w:pos="118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 of Exercise Price</w:t>
      </w:r>
      <w:r>
        <w:rPr>
          <w:rFonts w:ascii="Times New Roman" w:cs="Times New Roman" w:eastAsia="Times New Roman" w:hAnsi="Times New Roman"/>
          <w:sz w:val="22"/>
          <w:szCs w:val="22"/>
          <w:color w:val="auto"/>
        </w:rPr>
        <w:t>. The Holder intends that payment of the Aggregate Exercise Price shall be made as:</w:t>
      </w:r>
    </w:p>
    <w:p>
      <w:pPr>
        <w:spacing w:after="0" w:line="227" w:lineRule="exact"/>
        <w:rPr>
          <w:rFonts w:ascii="Times New Roman" w:cs="Times New Roman" w:eastAsia="Times New Roman" w:hAnsi="Times New Roman"/>
          <w:sz w:val="22"/>
          <w:szCs w:val="22"/>
          <w:color w:val="auto"/>
        </w:rPr>
      </w:pPr>
    </w:p>
    <w:p>
      <w:pPr>
        <w:ind w:left="1940" w:hanging="434"/>
        <w:spacing w:after="0"/>
        <w:tabs>
          <w:tab w:leader="none" w:pos="1940" w:val="left"/>
        </w:tabs>
        <w:numPr>
          <w:ilvl w:val="1"/>
          <w:numId w:val="39"/>
        </w:numPr>
        <w:rPr>
          <w:rFonts w:ascii="MS PGothic" w:cs="MS PGothic" w:eastAsia="MS PGothic" w:hAnsi="MS PGothic"/>
          <w:sz w:val="22"/>
          <w:szCs w:val="22"/>
          <w:color w:val="auto"/>
        </w:rPr>
      </w:pPr>
      <w:r>
        <w:rPr>
          <w:rFonts w:ascii="Times New Roman" w:cs="Times New Roman" w:eastAsia="Times New Roman" w:hAnsi="Times New Roman"/>
          <w:sz w:val="21"/>
          <w:szCs w:val="21"/>
          <w:color w:val="auto"/>
        </w:rPr>
        <w:t>a “</w:t>
      </w:r>
      <w:r>
        <w:rPr>
          <w:rFonts w:ascii="Times New Roman" w:cs="Times New Roman" w:eastAsia="Times New Roman" w:hAnsi="Times New Roman"/>
          <w:sz w:val="21"/>
          <w:szCs w:val="21"/>
          <w:u w:val="single" w:color="auto"/>
          <w:color w:val="auto"/>
        </w:rPr>
        <w:t>Cash Exercise</w:t>
      </w:r>
      <w:r>
        <w:rPr>
          <w:rFonts w:ascii="Times New Roman" w:cs="Times New Roman" w:eastAsia="Times New Roman" w:hAnsi="Times New Roman"/>
          <w:sz w:val="21"/>
          <w:szCs w:val="21"/>
          <w:color w:val="auto"/>
        </w:rPr>
        <w:t>” with respect to _________________ Warrant Shares; and/or</w:t>
      </w:r>
    </w:p>
    <w:p>
      <w:pPr>
        <w:spacing w:after="0" w:line="231" w:lineRule="exact"/>
        <w:rPr>
          <w:rFonts w:ascii="MS PGothic" w:cs="MS PGothic" w:eastAsia="MS PGothic" w:hAnsi="MS PGothic"/>
          <w:sz w:val="22"/>
          <w:szCs w:val="22"/>
          <w:color w:val="auto"/>
        </w:rPr>
      </w:pPr>
    </w:p>
    <w:p>
      <w:pPr>
        <w:ind w:left="1940" w:hanging="434"/>
        <w:spacing w:after="0"/>
        <w:tabs>
          <w:tab w:leader="none" w:pos="1940" w:val="left"/>
        </w:tabs>
        <w:numPr>
          <w:ilvl w:val="1"/>
          <w:numId w:val="39"/>
        </w:numPr>
        <w:rPr>
          <w:rFonts w:ascii="MS PGothic" w:cs="MS PGothic" w:eastAsia="MS PGothic" w:hAnsi="MS PGothic"/>
          <w:sz w:val="22"/>
          <w:szCs w:val="22"/>
          <w:color w:val="auto"/>
        </w:rPr>
      </w:pPr>
      <w:r>
        <w:rPr>
          <w:rFonts w:ascii="Times New Roman" w:cs="Times New Roman" w:eastAsia="Times New Roman" w:hAnsi="Times New Roman"/>
          <w:sz w:val="21"/>
          <w:szCs w:val="21"/>
          <w:color w:val="auto"/>
        </w:rPr>
        <w:t>a “</w:t>
      </w:r>
      <w:r>
        <w:rPr>
          <w:rFonts w:ascii="Times New Roman" w:cs="Times New Roman" w:eastAsia="Times New Roman" w:hAnsi="Times New Roman"/>
          <w:sz w:val="21"/>
          <w:szCs w:val="21"/>
          <w:u w:val="single" w:color="auto"/>
          <w:color w:val="auto"/>
        </w:rPr>
        <w:t>Cashless Exercise</w:t>
      </w:r>
      <w:r>
        <w:rPr>
          <w:rFonts w:ascii="Times New Roman" w:cs="Times New Roman" w:eastAsia="Times New Roman" w:hAnsi="Times New Roman"/>
          <w:sz w:val="21"/>
          <w:szCs w:val="21"/>
          <w:color w:val="auto"/>
        </w:rPr>
        <w:t>” with respect to _______________ Warrant Shares.</w:t>
      </w:r>
    </w:p>
    <w:p>
      <w:pPr>
        <w:spacing w:after="0" w:line="218"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21"/>
          <w:szCs w:val="21"/>
          <w:color w:val="auto"/>
        </w:rPr>
        <w:t>In the event that the Holder has elected a Cashless Exercise with respect to some or all of the Warrant Shares to be issued pursuant hereto, the Holder hereby represents and warrants that (i) this Exercise Notice was executed by the Holder at __________</w:t>
      </w:r>
    </w:p>
    <w:p>
      <w:pPr>
        <w:spacing w:after="0" w:line="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1"/>
          <w:szCs w:val="21"/>
          <w:color w:val="auto"/>
        </w:rPr>
        <w:t>[a.m.][p.m.] on the date set forth below and (ii) if applicable, the Bid Price as of such time of execution of this Exercise Notice was $________.</w:t>
      </w:r>
    </w:p>
    <w:p>
      <w:pPr>
        <w:spacing w:after="0" w:line="183" w:lineRule="exact"/>
        <w:rPr>
          <w:sz w:val="20"/>
          <w:szCs w:val="20"/>
          <w:color w:val="auto"/>
        </w:rPr>
      </w:pPr>
    </w:p>
    <w:p>
      <w:pPr>
        <w:jc w:val="both"/>
        <w:ind w:firstLine="757"/>
        <w:spacing w:after="0" w:line="266" w:lineRule="auto"/>
        <w:tabs>
          <w:tab w:leader="none" w:pos="1176"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Exercise Price</w:t>
      </w:r>
      <w:r>
        <w:rPr>
          <w:rFonts w:ascii="Times New Roman" w:cs="Times New Roman" w:eastAsia="Times New Roman" w:hAnsi="Times New Roman"/>
          <w:sz w:val="20"/>
          <w:szCs w:val="20"/>
          <w:color w:val="auto"/>
        </w:rPr>
        <w:t>. In the event that the Holder has elected a Cash Exercise with respect to some or all of the Warrant Shares to be issued pursuant hereto, the Holder shall pay the Aggregate Exercise Price in the sum of $___________________</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to the Company in accordance with the terms of the Warrant.</w:t>
      </w:r>
    </w:p>
    <w:p>
      <w:pPr>
        <w:spacing w:after="0" w:line="193" w:lineRule="exact"/>
        <w:rPr>
          <w:rFonts w:ascii="Times New Roman" w:cs="Times New Roman" w:eastAsia="Times New Roman" w:hAnsi="Times New Roman"/>
          <w:sz w:val="20"/>
          <w:szCs w:val="20"/>
          <w:color w:val="auto"/>
        </w:rPr>
      </w:pPr>
    </w:p>
    <w:p>
      <w:pPr>
        <w:ind w:left="1220" w:hanging="463"/>
        <w:spacing w:after="0"/>
        <w:tabs>
          <w:tab w:leader="none" w:pos="122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Delivery of Warrant Shares</w:t>
      </w:r>
      <w:r>
        <w:rPr>
          <w:rFonts w:ascii="Times New Roman" w:cs="Times New Roman" w:eastAsia="Times New Roman" w:hAnsi="Times New Roman"/>
          <w:sz w:val="21"/>
          <w:szCs w:val="21"/>
          <w:color w:val="auto"/>
        </w:rPr>
        <w:t>.  The Company shall deliver to Holder, or its designee or agent as specified below,</w:t>
      </w:r>
    </w:p>
    <w:p>
      <w:pPr>
        <w:spacing w:after="0" w:line="17" w:lineRule="exact"/>
        <w:rPr>
          <w:rFonts w:ascii="Times New Roman" w:cs="Times New Roman" w:eastAsia="Times New Roman" w:hAnsi="Times New Roman"/>
          <w:sz w:val="21"/>
          <w:szCs w:val="21"/>
          <w:color w:val="auto"/>
        </w:rPr>
      </w:pPr>
    </w:p>
    <w:p>
      <w:pPr>
        <w:spacing w:after="0" w:line="25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__________ shares of Common Stock in accordance with the terms of the Warrant. Delivery shall be made to Holder, or for its benefit, as follows:</w:t>
      </w:r>
    </w:p>
    <w:p>
      <w:pPr>
        <w:spacing w:after="0" w:line="180" w:lineRule="exact"/>
        <w:rPr>
          <w:sz w:val="20"/>
          <w:szCs w:val="20"/>
          <w:color w:val="auto"/>
        </w:rPr>
      </w:pPr>
    </w:p>
    <w:p>
      <w:pPr>
        <w:ind w:left="1180" w:hanging="423"/>
        <w:spacing w:after="0"/>
        <w:tabs>
          <w:tab w:leader="none" w:pos="1180" w:val="left"/>
        </w:tabs>
        <w:numPr>
          <w:ilvl w:val="0"/>
          <w:numId w:val="4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Check here if requesting delivery as a certificate to the following name and to the following address:</w:t>
      </w:r>
    </w:p>
    <w:p>
      <w:pPr>
        <w:spacing w:after="0" w:line="200" w:lineRule="exact"/>
        <w:rPr>
          <w:rFonts w:ascii="MS PGothic" w:cs="MS PGothic" w:eastAsia="MS PGothic" w:hAnsi="MS PGothic"/>
          <w:sz w:val="22"/>
          <w:szCs w:val="22"/>
          <w:color w:val="auto"/>
        </w:rPr>
      </w:pPr>
    </w:p>
    <w:p>
      <w:pPr>
        <w:spacing w:after="0" w:line="222" w:lineRule="exact"/>
        <w:rPr>
          <w:rFonts w:ascii="MS PGothic" w:cs="MS PGothic" w:eastAsia="MS PGothic" w:hAnsi="MS PGothic"/>
          <w:sz w:val="22"/>
          <w:szCs w:val="22"/>
          <w:color w:val="auto"/>
        </w:rPr>
      </w:pPr>
    </w:p>
    <w:p>
      <w:pPr>
        <w:ind w:left="260"/>
        <w:spacing w:after="0"/>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Issue to:</w:t>
      </w:r>
    </w:p>
    <w:p>
      <w:pPr>
        <w:spacing w:after="0" w:line="200" w:lineRule="exact"/>
        <w:rPr>
          <w:rFonts w:ascii="MS PGothic" w:cs="MS PGothic" w:eastAsia="MS PGothic" w:hAnsi="MS PGothic"/>
          <w:sz w:val="22"/>
          <w:szCs w:val="22"/>
          <w:color w:val="auto"/>
        </w:rPr>
      </w:pPr>
    </w:p>
    <w:p>
      <w:pPr>
        <w:spacing w:after="0" w:line="200" w:lineRule="exact"/>
        <w:rPr>
          <w:rFonts w:ascii="MS PGothic" w:cs="MS PGothic" w:eastAsia="MS PGothic" w:hAnsi="MS PGothic"/>
          <w:sz w:val="22"/>
          <w:szCs w:val="22"/>
          <w:color w:val="auto"/>
        </w:rPr>
      </w:pPr>
    </w:p>
    <w:p>
      <w:pPr>
        <w:spacing w:after="0" w:line="200" w:lineRule="exact"/>
        <w:rPr>
          <w:rFonts w:ascii="MS PGothic" w:cs="MS PGothic" w:eastAsia="MS PGothic" w:hAnsi="MS PGothic"/>
          <w:sz w:val="22"/>
          <w:szCs w:val="22"/>
          <w:color w:val="auto"/>
        </w:rPr>
      </w:pPr>
    </w:p>
    <w:p>
      <w:pPr>
        <w:spacing w:after="0" w:line="200" w:lineRule="exact"/>
        <w:rPr>
          <w:rFonts w:ascii="MS PGothic" w:cs="MS PGothic" w:eastAsia="MS PGothic" w:hAnsi="MS PGothic"/>
          <w:sz w:val="22"/>
          <w:szCs w:val="22"/>
          <w:color w:val="auto"/>
        </w:rPr>
      </w:pPr>
    </w:p>
    <w:p>
      <w:pPr>
        <w:spacing w:after="0" w:line="200" w:lineRule="exact"/>
        <w:rPr>
          <w:rFonts w:ascii="MS PGothic" w:cs="MS PGothic" w:eastAsia="MS PGothic" w:hAnsi="MS PGothic"/>
          <w:sz w:val="22"/>
          <w:szCs w:val="22"/>
          <w:color w:val="auto"/>
        </w:rPr>
      </w:pPr>
    </w:p>
    <w:p>
      <w:pPr>
        <w:spacing w:after="0" w:line="205" w:lineRule="exact"/>
        <w:rPr>
          <w:rFonts w:ascii="MS PGothic" w:cs="MS PGothic" w:eastAsia="MS PGothic" w:hAnsi="MS PGothic"/>
          <w:sz w:val="22"/>
          <w:szCs w:val="22"/>
          <w:color w:val="auto"/>
        </w:rPr>
      </w:pPr>
    </w:p>
    <w:p>
      <w:pPr>
        <w:ind w:left="1240" w:hanging="430"/>
        <w:spacing w:after="0"/>
        <w:tabs>
          <w:tab w:leader="none" w:pos="1240" w:val="left"/>
        </w:tabs>
        <w:numPr>
          <w:ilvl w:val="1"/>
          <w:numId w:val="4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Check here if requesting delivery by Deposit/Withdrawal at Custodian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-914400</wp:posOffset>
            </wp:positionV>
            <wp:extent cx="56146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14670" cy="8255"/>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-682625</wp:posOffset>
            </wp:positionV>
            <wp:extent cx="56146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14670" cy="8255"/>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-451485</wp:posOffset>
            </wp:positionV>
            <wp:extent cx="56146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14670" cy="8890"/>
                    </a:xfrm>
                    <a:prstGeom prst="rect">
                      <a:avLst/>
                    </a:prstGeom>
                    <a:noFill/>
                  </pic:spPr>
                </pic:pic>
              </a:graphicData>
            </a:graphic>
          </wp:anchor>
        </w:drawing>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DTC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10795</wp:posOffset>
            </wp:positionV>
            <wp:extent cx="45173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517390" cy="8255"/>
                    </a:xfrm>
                    <a:prstGeom prst="rect">
                      <a:avLst/>
                    </a:prstGeom>
                    <a:noFill/>
                  </pic:spPr>
                </pic:pic>
              </a:graphicData>
            </a:graphic>
          </wp:anchor>
        </w:drawing>
      </w:r>
    </w:p>
    <w:p>
      <w:pPr>
        <w:spacing w:after="0" w:line="2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DTC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10795</wp:posOffset>
            </wp:positionV>
            <wp:extent cx="45173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517390" cy="825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4" w:name="page35"/>
    <w:bookmarkEnd w:id="34"/>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2555875</wp:posOffset>
            </wp:positionH>
            <wp:positionV relativeFrom="paragraph">
              <wp:posOffset>10795</wp:posOffset>
            </wp:positionV>
            <wp:extent cx="45173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51739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_____________ 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276860</wp:posOffset>
            </wp:positionV>
            <wp:extent cx="274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Registered Holder</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269875</wp:posOffset>
            </wp:positionH>
            <wp:positionV relativeFrom="paragraph">
              <wp:posOffset>-13970</wp:posOffset>
            </wp:positionV>
            <wp:extent cx="2819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1940" cy="8255"/>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22"/>
          <w:szCs w:val="22"/>
          <w:color w:val="auto"/>
        </w:rPr>
        <w:t>Name:</w:t>
      </w:r>
    </w:p>
    <w:p>
      <w:pPr>
        <w:ind w:left="26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Tax ID:____________________________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E-mail Address:_____________________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1051560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39"/>
          </w:cols>
          <w:pgMar w:left="420" w:top="1440" w:right="1440" w:bottom="1440" w:gutter="0" w:footer="0" w:header="0"/>
        </w:sectPr>
      </w:pPr>
    </w:p>
    <w:bookmarkStart w:id="35" w:name="page36"/>
    <w:bookmarkEnd w:id="35"/>
    <w:p>
      <w:pPr>
        <w:jc w:val="right"/>
        <w:ind w:right="299"/>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ACKNOWLEDGMENT</w:t>
      </w:r>
    </w:p>
    <w:p>
      <w:pPr>
        <w:spacing w:after="0" w:line="218" w:lineRule="exact"/>
        <w:rPr>
          <w:sz w:val="20"/>
          <w:szCs w:val="20"/>
          <w:color w:val="auto"/>
        </w:rPr>
      </w:pPr>
    </w:p>
    <w:p>
      <w:pPr>
        <w:ind w:left="940"/>
        <w:spacing w:after="0"/>
        <w:tabs>
          <w:tab w:leader="none" w:pos="1460" w:val="left"/>
          <w:tab w:leader="none" w:pos="2480" w:val="left"/>
          <w:tab w:leader="none" w:pos="3260" w:val="left"/>
          <w:tab w:leader="none" w:pos="4640" w:val="left"/>
          <w:tab w:leader="none" w:pos="5160" w:val="left"/>
          <w:tab w:leader="none" w:pos="6080" w:val="left"/>
          <w:tab w:leader="none" w:pos="6860" w:val="left"/>
          <w:tab w:leader="none" w:pos="7360" w:val="left"/>
          <w:tab w:leader="none" w:pos="8140" w:val="left"/>
        </w:tabs>
        <w:rPr>
          <w:sz w:val="20"/>
          <w:szCs w:val="20"/>
          <w:color w:val="auto"/>
        </w:rPr>
      </w:pPr>
      <w:r>
        <w:rPr>
          <w:rFonts w:ascii="Times New Roman" w:cs="Times New Roman" w:eastAsia="Times New Roman" w:hAnsi="Times New Roman"/>
          <w:sz w:val="21"/>
          <w:szCs w:val="21"/>
          <w:color w:val="auto"/>
        </w:rPr>
        <w:t>The</w:t>
        <w:tab/>
        <w:t>Company</w:t>
        <w:tab/>
        <w:t>hereby</w:t>
        <w:tab/>
        <w:t>acknowledges</w:t>
        <w:tab/>
        <w:t>this</w:t>
        <w:tab/>
        <w:t>Exercise</w:t>
        <w:tab/>
        <w:t>Notice</w:t>
        <w:tab/>
        <w:t>and</w:t>
        <w:tab/>
        <w:t>hereby</w:t>
        <w:tab/>
        <w:t>directs</w:t>
      </w:r>
    </w:p>
    <w:p>
      <w:pPr>
        <w:spacing w:after="0" w:line="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1"/>
          <w:szCs w:val="21"/>
          <w:color w:val="auto"/>
        </w:rPr>
        <w:t>______________ to issue the above indicated number of shares of Common Stock in accordance</w:t>
      </w:r>
    </w:p>
    <w:p>
      <w:pPr>
        <w:spacing w:after="0" w:line="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1"/>
          <w:szCs w:val="21"/>
          <w:color w:val="auto"/>
        </w:rPr>
        <w:t>with the Transfer Agent Instructions dated _________, 20__, from the Company and acknowledged</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1"/>
          <w:szCs w:val="21"/>
          <w:color w:val="auto"/>
        </w:rPr>
        <w:t>and agreed to by _______________.</w:t>
      </w:r>
    </w:p>
    <w:p>
      <w:pPr>
        <w:spacing w:after="0" w:line="200" w:lineRule="exact"/>
        <w:rPr>
          <w:sz w:val="20"/>
          <w:szCs w:val="20"/>
          <w:color w:val="auto"/>
        </w:rPr>
      </w:pPr>
    </w:p>
    <w:p>
      <w:pPr>
        <w:spacing w:after="0" w:line="22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SCILEX HOLDING COMPANY</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1"/>
          <w:szCs w:val="21"/>
          <w:color w:val="auto"/>
        </w:rPr>
        <w:t>By:</w:t>
      </w:r>
    </w:p>
    <w:p>
      <w:pPr>
        <w:spacing w:after="0" w:line="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1"/>
          <w:szCs w:val="21"/>
          <w:color w:val="auto"/>
        </w:rPr>
        <w:t>Name:</w:t>
      </w:r>
    </w:p>
    <w:p>
      <w:pPr>
        <w:spacing w:after="0" w:line="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1014095</wp:posOffset>
            </wp:positionV>
            <wp:extent cx="703770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WARRANT AGREEMENT</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This Warrant Agreement (this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dated as of February 19, 2026 (the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between Scilex Holding Company, a Delaware corporation with offices located at 960 San Antonio Road, Palo Alto, CA 94303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Oramed Pharmaceuticals Inc. (the “</w:t>
      </w:r>
      <w:r>
        <w:rPr>
          <w:rFonts w:ascii="Times New Roman" w:cs="Times New Roman" w:eastAsia="Times New Roman" w:hAnsi="Times New Roman"/>
          <w:sz w:val="20"/>
          <w:szCs w:val="20"/>
          <w:b w:val="1"/>
          <w:bCs w:val="1"/>
          <w:color w:val="auto"/>
        </w:rPr>
        <w:t>Holder</w:t>
      </w:r>
      <w:r>
        <w:rPr>
          <w:rFonts w:ascii="Times New Roman" w:cs="Times New Roman" w:eastAsia="Times New Roman" w:hAnsi="Times New Roman"/>
          <w:sz w:val="20"/>
          <w:szCs w:val="20"/>
          <w:color w:val="auto"/>
        </w:rPr>
        <w:t>”). Capitalized terms not defined herein shall have the meaning as set forth in the Warrant (as defined below).</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prior to the date hereof, the Company issued a Senior Secured Convertible Note (as amended, the “</w:t>
      </w:r>
      <w:r>
        <w:rPr>
          <w:rFonts w:ascii="Times New Roman" w:cs="Times New Roman" w:eastAsia="Times New Roman" w:hAnsi="Times New Roman"/>
          <w:sz w:val="20"/>
          <w:szCs w:val="20"/>
          <w:b w:val="1"/>
          <w:bCs w:val="1"/>
          <w:color w:val="auto"/>
        </w:rPr>
        <w:t>Tranche B Note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Holder pursuant to that certain Securities Purchase Agreement, dated as of October 7, 2024 (the “</w:t>
      </w:r>
      <w:r>
        <w:rPr>
          <w:rFonts w:ascii="Times New Roman" w:cs="Times New Roman" w:eastAsia="Times New Roman" w:hAnsi="Times New Roman"/>
          <w:sz w:val="20"/>
          <w:szCs w:val="20"/>
          <w:b w:val="1"/>
          <w:bCs w:val="1"/>
          <w:color w:val="auto"/>
        </w:rPr>
        <w:t>October 2024 Securities Purchase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by and among the Company and the investors party thereto (including the Holder); and</w:t>
      </w:r>
    </w:p>
    <w:p>
      <w:pPr>
        <w:spacing w:after="0" w:line="16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pursuant to the amortization schedule included in the Tranche B Note, the Company was required to pay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amortization payment to the Holder on October 1, 2025 (the “</w:t>
      </w:r>
      <w:r>
        <w:rPr>
          <w:rFonts w:ascii="Times New Roman" w:cs="Times New Roman" w:eastAsia="Times New Roman" w:hAnsi="Times New Roman"/>
          <w:sz w:val="20"/>
          <w:szCs w:val="20"/>
          <w:b w:val="1"/>
          <w:bCs w:val="1"/>
          <w:color w:val="auto"/>
        </w:rPr>
        <w:t>Amortization Payment</w:t>
      </w:r>
      <w:r>
        <w:rPr>
          <w:rFonts w:ascii="Times New Roman" w:cs="Times New Roman" w:eastAsia="Times New Roman" w:hAnsi="Times New Roman"/>
          <w:sz w:val="20"/>
          <w:szCs w:val="20"/>
          <w:color w:val="auto"/>
        </w:rPr>
        <w:t>”) and the Company and the Holder desired to defer such Amortization Payment until January 1, 2026 (the “</w:t>
      </w:r>
      <w:r>
        <w:rPr>
          <w:rFonts w:ascii="Times New Roman" w:cs="Times New Roman" w:eastAsia="Times New Roman" w:hAnsi="Times New Roman"/>
          <w:sz w:val="20"/>
          <w:szCs w:val="20"/>
          <w:b w:val="1"/>
          <w:bCs w:val="1"/>
          <w:color w:val="auto"/>
        </w:rPr>
        <w:t>Deferral</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mutual covenants contained in this Agreement, and for other good and valuable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consideration the receipt and adequacy of which are hereby acknowledged, the Company and the Holder agree as follows:</w:t>
      </w:r>
    </w:p>
    <w:p>
      <w:pPr>
        <w:spacing w:after="0" w:line="156" w:lineRule="exact"/>
        <w:rPr>
          <w:sz w:val="20"/>
          <w:szCs w:val="20"/>
          <w:color w:val="auto"/>
        </w:rPr>
      </w:pPr>
    </w:p>
    <w:p>
      <w:pPr>
        <w:jc w:val="both"/>
        <w:ind w:firstLine="851"/>
        <w:spacing w:after="0" w:line="243" w:lineRule="auto"/>
        <w:tabs>
          <w:tab w:leader="none" w:pos="1068" w:val="left"/>
        </w:tabs>
        <w:numPr>
          <w:ilvl w:val="2"/>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Issuance of Warrant</w:t>
      </w:r>
      <w:r>
        <w:rPr>
          <w:rFonts w:ascii="Times New Roman" w:cs="Times New Roman" w:eastAsia="Times New Roman" w:hAnsi="Times New Roman"/>
          <w:sz w:val="20"/>
          <w:szCs w:val="20"/>
          <w:color w:val="auto"/>
        </w:rPr>
        <w:t>. In consideration of the Deferral and the mutual covenants, representations and warranties herein, the Company will issue to the Holder a Warrant (“</w:t>
      </w:r>
      <w:r>
        <w:rPr>
          <w:rFonts w:ascii="Times New Roman" w:cs="Times New Roman" w:eastAsia="Times New Roman" w:hAnsi="Times New Roman"/>
          <w:sz w:val="20"/>
          <w:szCs w:val="20"/>
          <w:b w:val="1"/>
          <w:bCs w:val="1"/>
          <w:color w:val="auto"/>
        </w:rPr>
        <w:t>Warrant</w:t>
      </w:r>
      <w:r>
        <w:rPr>
          <w:rFonts w:ascii="Times New Roman" w:cs="Times New Roman" w:eastAsia="Times New Roman" w:hAnsi="Times New Roman"/>
          <w:sz w:val="20"/>
          <w:szCs w:val="20"/>
          <w:color w:val="auto"/>
        </w:rPr>
        <w:t>”) to purchase shares of common stock of the Company, par value $0.0001 per share (“</w:t>
      </w:r>
      <w:r>
        <w:rPr>
          <w:rFonts w:ascii="Times New Roman" w:cs="Times New Roman" w:eastAsia="Times New Roman" w:hAnsi="Times New Roman"/>
          <w:sz w:val="20"/>
          <w:szCs w:val="20"/>
          <w:b w:val="1"/>
          <w:bCs w:val="1"/>
          <w:color w:val="auto"/>
        </w:rPr>
        <w:t>Common Stock</w:t>
      </w:r>
      <w:r>
        <w:rPr>
          <w:rFonts w:ascii="Times New Roman" w:cs="Times New Roman" w:eastAsia="Times New Roman" w:hAnsi="Times New Roman"/>
          <w:sz w:val="20"/>
          <w:szCs w:val="20"/>
          <w:color w:val="auto"/>
        </w:rPr>
        <w:t>”) pursuant to Section 4(a)(2) of the Securities Act of 1933, as amended (the “</w:t>
      </w:r>
      <w:r>
        <w:rPr>
          <w:rFonts w:ascii="Times New Roman" w:cs="Times New Roman" w:eastAsia="Times New Roman" w:hAnsi="Times New Roman"/>
          <w:sz w:val="20"/>
          <w:szCs w:val="20"/>
          <w:b w:val="1"/>
          <w:bCs w:val="1"/>
          <w:color w:val="auto"/>
        </w:rPr>
        <w:t>1933 Act</w:t>
      </w:r>
      <w:r>
        <w:rPr>
          <w:rFonts w:ascii="Times New Roman" w:cs="Times New Roman" w:eastAsia="Times New Roman" w:hAnsi="Times New Roman"/>
          <w:sz w:val="20"/>
          <w:szCs w:val="20"/>
          <w:color w:val="auto"/>
        </w:rPr>
        <w:t>”), and Rule 506(b) of Regulation D (“</w:t>
      </w:r>
      <w:r>
        <w:rPr>
          <w:rFonts w:ascii="Times New Roman" w:cs="Times New Roman" w:eastAsia="Times New Roman" w:hAnsi="Times New Roman"/>
          <w:sz w:val="20"/>
          <w:szCs w:val="20"/>
          <w:b w:val="1"/>
          <w:bCs w:val="1"/>
          <w:color w:val="auto"/>
        </w:rPr>
        <w:t>Regulation D</w:t>
      </w:r>
      <w:r>
        <w:rPr>
          <w:rFonts w:ascii="Times New Roman" w:cs="Times New Roman" w:eastAsia="Times New Roman" w:hAnsi="Times New Roman"/>
          <w:sz w:val="20"/>
          <w:szCs w:val="20"/>
          <w:color w:val="auto"/>
        </w:rPr>
        <w:t>”) as promulgated by the United States Securities and Exchange Commission (the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under the 1933 Act, to purchase up to 100,000 shares of Common Stock (the “</w:t>
      </w:r>
      <w:r>
        <w:rPr>
          <w:rFonts w:ascii="Times New Roman" w:cs="Times New Roman" w:eastAsia="Times New Roman" w:hAnsi="Times New Roman"/>
          <w:sz w:val="20"/>
          <w:szCs w:val="20"/>
          <w:b w:val="1"/>
          <w:bCs w:val="1"/>
          <w:color w:val="auto"/>
        </w:rPr>
        <w:t>Warrant Shares</w:t>
      </w:r>
      <w:r>
        <w:rPr>
          <w:rFonts w:ascii="Times New Roman" w:cs="Times New Roman" w:eastAsia="Times New Roman" w:hAnsi="Times New Roman"/>
          <w:sz w:val="20"/>
          <w:szCs w:val="20"/>
          <w:color w:val="auto"/>
        </w:rPr>
        <w:t>”, and together with the Warrant, the “</w:t>
      </w:r>
      <w:r>
        <w:rPr>
          <w:rFonts w:ascii="Times New Roman" w:cs="Times New Roman" w:eastAsia="Times New Roman" w:hAnsi="Times New Roman"/>
          <w:sz w:val="20"/>
          <w:szCs w:val="20"/>
          <w:b w:val="1"/>
          <w:bCs w:val="1"/>
          <w:color w:val="auto"/>
        </w:rPr>
        <w:t>Securities</w:t>
      </w:r>
      <w:r>
        <w:rPr>
          <w:rFonts w:ascii="Times New Roman" w:cs="Times New Roman" w:eastAsia="Times New Roman" w:hAnsi="Times New Roman"/>
          <w:sz w:val="20"/>
          <w:szCs w:val="20"/>
          <w:color w:val="auto"/>
        </w:rPr>
        <w:t xml:space="preserve">”) at an exercise price of $20.00 per share (which Warrant will be in the form attached hereto as </w:t>
      </w:r>
      <w:r>
        <w:rPr>
          <w:rFonts w:ascii="Times New Roman" w:cs="Times New Roman" w:eastAsia="Times New Roman" w:hAnsi="Times New Roman"/>
          <w:sz w:val="20"/>
          <w:szCs w:val="20"/>
          <w:b w:val="1"/>
          <w:bCs w:val="1"/>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Transaction</w:t>
      </w:r>
      <w:r>
        <w:rPr>
          <w:rFonts w:ascii="Times New Roman" w:cs="Times New Roman" w:eastAsia="Times New Roman" w:hAnsi="Times New Roman"/>
          <w:sz w:val="20"/>
          <w:szCs w:val="20"/>
          <w:color w:val="auto"/>
        </w:rPr>
        <w:t>”). The closing (the “</w:t>
      </w:r>
      <w:r>
        <w:rPr>
          <w:rFonts w:ascii="Times New Roman" w:cs="Times New Roman" w:eastAsia="Times New Roman" w:hAnsi="Times New Roman"/>
          <w:sz w:val="20"/>
          <w:szCs w:val="20"/>
          <w:b w:val="1"/>
          <w:bCs w:val="1"/>
          <w:color w:val="auto"/>
        </w:rPr>
        <w:t>Closing</w:t>
      </w:r>
      <w:r>
        <w:rPr>
          <w:rFonts w:ascii="Times New Roman" w:cs="Times New Roman" w:eastAsia="Times New Roman" w:hAnsi="Times New Roman"/>
          <w:sz w:val="20"/>
          <w:szCs w:val="20"/>
          <w:color w:val="auto"/>
        </w:rPr>
        <w:t>”) of the Transaction shall take place by electronic exchange of executed documents. The date and time of the Closing (the “</w:t>
      </w:r>
      <w:r>
        <w:rPr>
          <w:rFonts w:ascii="Times New Roman" w:cs="Times New Roman" w:eastAsia="Times New Roman" w:hAnsi="Times New Roman"/>
          <w:sz w:val="20"/>
          <w:szCs w:val="20"/>
          <w:b w:val="1"/>
          <w:bCs w:val="1"/>
          <w:color w:val="auto"/>
        </w:rPr>
        <w:t>Closing Date</w:t>
      </w:r>
      <w:r>
        <w:rPr>
          <w:rFonts w:ascii="Times New Roman" w:cs="Times New Roman" w:eastAsia="Times New Roman" w:hAnsi="Times New Roman"/>
          <w:sz w:val="20"/>
          <w:szCs w:val="20"/>
          <w:color w:val="auto"/>
        </w:rPr>
        <w:t>”) shall be on such date as is mutually agreed to by the Company and Holder. Effective as of October 1, 2025, the Holder hereby grants the Company the Deferral.</w:t>
      </w:r>
    </w:p>
    <w:p>
      <w:pPr>
        <w:spacing w:after="0" w:line="199" w:lineRule="exact"/>
        <w:rPr>
          <w:rFonts w:ascii="Times New Roman" w:cs="Times New Roman" w:eastAsia="Times New Roman" w:hAnsi="Times New Roman"/>
          <w:sz w:val="20"/>
          <w:szCs w:val="20"/>
          <w:color w:val="auto"/>
        </w:rPr>
      </w:pPr>
    </w:p>
    <w:p>
      <w:pPr>
        <w:ind w:right="20" w:firstLine="806"/>
        <w:spacing w:after="0" w:line="269" w:lineRule="auto"/>
        <w:tabs>
          <w:tab w:leader="none" w:pos="996"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Warranties and Covenants</w:t>
      </w:r>
      <w:r>
        <w:rPr>
          <w:rFonts w:ascii="Times New Roman" w:cs="Times New Roman" w:eastAsia="Times New Roman" w:hAnsi="Times New Roman"/>
          <w:sz w:val="20"/>
          <w:szCs w:val="20"/>
          <w:color w:val="auto"/>
        </w:rPr>
        <w:t xml:space="preserve">. The parties hereby make their respective representations and warranties set forth on </w:t>
      </w:r>
      <w:r>
        <w:rPr>
          <w:rFonts w:ascii="Times New Roman" w:cs="Times New Roman" w:eastAsia="Times New Roman" w:hAnsi="Times New Roman"/>
          <w:sz w:val="20"/>
          <w:szCs w:val="20"/>
          <w:u w:val="single" w:color="auto"/>
          <w:color w:val="auto"/>
        </w:rPr>
        <w:t>Annex 1</w:t>
      </w:r>
      <w:r>
        <w:rPr>
          <w:rFonts w:ascii="Times New Roman" w:cs="Times New Roman" w:eastAsia="Times New Roman" w:hAnsi="Times New Roman"/>
          <w:sz w:val="20"/>
          <w:szCs w:val="20"/>
          <w:color w:val="auto"/>
        </w:rPr>
        <w:t xml:space="preserve"> attached hereto. The parties hereby agree to the covenants set forth on </w:t>
      </w:r>
      <w:r>
        <w:rPr>
          <w:rFonts w:ascii="Times New Roman" w:cs="Times New Roman" w:eastAsia="Times New Roman" w:hAnsi="Times New Roman"/>
          <w:sz w:val="20"/>
          <w:szCs w:val="20"/>
          <w:u w:val="single" w:color="auto"/>
          <w:color w:val="auto"/>
        </w:rPr>
        <w:t>Annex 2</w:t>
      </w:r>
      <w:r>
        <w:rPr>
          <w:rFonts w:ascii="Times New Roman" w:cs="Times New Roman" w:eastAsia="Times New Roman" w:hAnsi="Times New Roman"/>
          <w:sz w:val="20"/>
          <w:szCs w:val="20"/>
          <w:color w:val="auto"/>
        </w:rPr>
        <w:t xml:space="preserve"> attached hereto.</w:t>
      </w:r>
    </w:p>
    <w:p>
      <w:pPr>
        <w:spacing w:after="0" w:line="172" w:lineRule="exact"/>
        <w:rPr>
          <w:rFonts w:ascii="Times New Roman" w:cs="Times New Roman" w:eastAsia="Times New Roman" w:hAnsi="Times New Roman"/>
          <w:sz w:val="20"/>
          <w:szCs w:val="20"/>
          <w:color w:val="auto"/>
        </w:rPr>
      </w:pPr>
    </w:p>
    <w:p>
      <w:pPr>
        <w:ind w:left="960" w:hanging="203"/>
        <w:spacing w:after="0"/>
        <w:tabs>
          <w:tab w:leader="none" w:pos="9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firstLine="1505"/>
        <w:spacing w:after="0" w:line="269" w:lineRule="auto"/>
        <w:tabs>
          <w:tab w:leader="none" w:pos="1907" w:val="left"/>
        </w:tabs>
        <w:numPr>
          <w:ilvl w:val="3"/>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Further Assurances</w:t>
      </w:r>
      <w:r>
        <w:rPr>
          <w:rFonts w:ascii="Times New Roman" w:cs="Times New Roman" w:eastAsia="Times New Roman" w:hAnsi="Times New Roman"/>
          <w:sz w:val="20"/>
          <w:szCs w:val="20"/>
          <w:color w:val="auto"/>
        </w:rPr>
        <w:t>. Each party hereto shall promptly execute and deliver such further agreements and instruments, and take such further actions, as the other party may reasonably request in order to carry out the purpose and intent of this Agreement.</w:t>
      </w:r>
    </w:p>
    <w:p>
      <w:pPr>
        <w:spacing w:after="0" w:line="159" w:lineRule="exact"/>
        <w:rPr>
          <w:rFonts w:ascii="Times New Roman" w:cs="Times New Roman" w:eastAsia="Times New Roman" w:hAnsi="Times New Roman"/>
          <w:sz w:val="20"/>
          <w:szCs w:val="20"/>
          <w:color w:val="auto"/>
        </w:rPr>
      </w:pPr>
    </w:p>
    <w:p>
      <w:pPr>
        <w:jc w:val="both"/>
        <w:ind w:firstLine="1505"/>
        <w:spacing w:after="0" w:line="260" w:lineRule="auto"/>
        <w:tabs>
          <w:tab w:leader="none" w:pos="1934" w:val="left"/>
        </w:tabs>
        <w:numPr>
          <w:ilvl w:val="3"/>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 Jurisdiction; Jury Trial</w:t>
      </w:r>
      <w:r>
        <w:rPr>
          <w:rFonts w:ascii="Times New Roman" w:cs="Times New Roman" w:eastAsia="Times New Roman" w:hAnsi="Times New Roman"/>
          <w:sz w:val="19"/>
          <w:szCs w:val="19"/>
          <w:color w:val="auto"/>
        </w:rPr>
        <w:t>. This Agreement shall be governed by and construed and enforced in accordance with, and all questions concerning the construction, validity, interpretation and performance of this Agreement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Each party hereby irrevocably waives personal service of process and consents to process being served in any such suit, action or proceeding by mailing a copy thereof to the Company at the address for such notices to it under this Agreement and agrees that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37" w:name="page38"/>
    <w:bookmarkEnd w:id="37"/>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service shall constitute good and sufficient service of process and notice thereof.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w:t>
      </w:r>
      <w:r>
        <w:rPr>
          <w:rFonts w:ascii="Times New Roman" w:cs="Times New Roman" w:eastAsia="Times New Roman" w:hAnsi="Times New Roman"/>
          <w:sz w:val="20"/>
          <w:szCs w:val="20"/>
          <w:b w:val="1"/>
          <w:bCs w:val="1"/>
          <w:color w:val="auto"/>
        </w:rPr>
        <w:t>EACH PARTY HEREBY</w:t>
      </w:r>
    </w:p>
    <w:p>
      <w:pPr>
        <w:spacing w:after="0" w:line="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color w:val="auto"/>
        </w:rPr>
        <w:t xml:space="preserve">IRREVOCABLY WAIVES ANY RIGHT IT MAY HAVE TO, AND AGREES NOT TO REQUEST, A JURY TRIAL FOR THE ADJUDICATION OF ANY DISPUTE HEREUNDER OR IN CONNECTION WITH OR ARISING OUT OF THIS AGREEMENT OR ANY TRANSACTION CONTEMPLATED HEREBY. </w:t>
      </w:r>
      <w:r>
        <w:rPr>
          <w:rFonts w:ascii="Times New Roman" w:cs="Times New Roman" w:eastAsia="Times New Roman" w:hAnsi="Times New Roman"/>
          <w:sz w:val="20"/>
          <w:szCs w:val="20"/>
          <w:color w:val="auto"/>
        </w:rPr>
        <w:t>The Company hereby agrees to pay all costs incurred by the Holder for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enforcement or other action related to this Agreement or any of the Transaction Documents (as defined below) or in connection with any bankruptcy, reorganization, receivership or other proceeding of the Company or any of its Subsidiaries (as defined below), including, without limitation, attorneys’ fees and disbursements.</w:t>
      </w:r>
    </w:p>
    <w:p>
      <w:pPr>
        <w:spacing w:after="0" w:line="191" w:lineRule="exact"/>
        <w:rPr>
          <w:sz w:val="20"/>
          <w:szCs w:val="20"/>
          <w:color w:val="auto"/>
        </w:rPr>
      </w:pPr>
    </w:p>
    <w:p>
      <w:pPr>
        <w:ind w:firstLine="1505"/>
        <w:spacing w:after="0" w:line="269" w:lineRule="auto"/>
        <w:tabs>
          <w:tab w:leader="none" w:pos="1907"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several counterparts, each of which shall be deemed an original, but all of which shall constitute one and the same instrument.</w:t>
      </w:r>
    </w:p>
    <w:p>
      <w:pPr>
        <w:spacing w:after="0" w:line="159"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Except as otherwise provided herein, the terms and conditions of this Agreement shall inure to the benefit of and be binding upon the parties hereto and the respective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79" w:lineRule="exact"/>
        <w:rPr>
          <w:rFonts w:ascii="Times New Roman" w:cs="Times New Roman" w:eastAsia="Times New Roman" w:hAnsi="Times New Roman"/>
          <w:sz w:val="20"/>
          <w:szCs w:val="20"/>
          <w:color w:val="auto"/>
        </w:rPr>
      </w:pPr>
    </w:p>
    <w:p>
      <w:pPr>
        <w:jc w:val="both"/>
        <w:ind w:firstLine="1505"/>
        <w:spacing w:after="0" w:line="249" w:lineRule="auto"/>
        <w:tabs>
          <w:tab w:leader="none" w:pos="19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Finder’s Fees</w:t>
      </w:r>
      <w:r>
        <w:rPr>
          <w:rFonts w:ascii="Times New Roman" w:cs="Times New Roman" w:eastAsia="Times New Roman" w:hAnsi="Times New Roman"/>
          <w:sz w:val="20"/>
          <w:szCs w:val="20"/>
          <w:color w:val="auto"/>
        </w:rPr>
        <w:t>. Each party represents that it neither is nor will be obligated for any broker’s, placement agent’s, finder’s fee or commission in connection with this transaction. The Company shall indemnify and hold harmless the Holder from any liability for any such fee, commission or compensation (and the reasonable costs and expenses of defending against such liability or asserted liability) for which the Company or any of its officers, employees or representatives is responsible.</w:t>
      </w:r>
    </w:p>
    <w:p>
      <w:pPr>
        <w:spacing w:after="0" w:line="179" w:lineRule="exact"/>
        <w:rPr>
          <w:rFonts w:ascii="Times New Roman" w:cs="Times New Roman" w:eastAsia="Times New Roman" w:hAnsi="Times New Roman"/>
          <w:sz w:val="20"/>
          <w:szCs w:val="20"/>
          <w:color w:val="auto"/>
        </w:rPr>
      </w:pPr>
    </w:p>
    <w:p>
      <w:pPr>
        <w:jc w:val="both"/>
        <w:ind w:firstLine="1505"/>
        <w:spacing w:after="0" w:line="242" w:lineRule="auto"/>
        <w:tabs>
          <w:tab w:leader="none" w:pos="1893"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notices, consents, waivers or other communications required or permitted to be given under the terms of this Agreement must be in writing and will be deemed to have been delivered: (i) upon receipt, when delivered personally; (ii) upon delivery, when sent electronically and kept on file by the sending party) or by electronic mail; or (iii) one Business Day after deposit with an overnight courier service, in each case properly addressed to the party to receive the same. The addresses and e-mail addresses for such communications shall be as set forth below or to such other address and/or e-mail address and/or to the attention of such other individual, a limited liability company, a partnership, a joint venture, a corporation, a trust, an unincorporated organization, any other entity and any governmental entity or any department or agency thereof (each, a “</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as the recipient party has specified by written notice given to each other party five (5) days prior to the effectiveness of such change. Written confirmation of receipt (A) given by the recipient of such notice, consent, waiver or other communication, (B) mechanically or electronically generated by the sender’s facsimile machine or e-mail containing the time, date, recipient facsimile number and an image of the first page of such transmission or (C) provided by an overnight courier service shall be rebuttable evidence of personal service or receipt from an overnight courier service in accordance with clause (i), (ii) or (iii) above,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Company: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0"/>
          <w:szCs w:val="20"/>
          <w:color w:val="auto"/>
        </w:rPr>
        <w:t>960 San Antonio Rd.,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Palo Alto, CA 94303</w:t>
      </w:r>
    </w:p>
    <w:p>
      <w:pPr>
        <w:spacing w:after="0"/>
        <w:rPr>
          <w:sz w:val="20"/>
          <w:szCs w:val="20"/>
          <w:color w:val="auto"/>
        </w:rPr>
      </w:pPr>
      <w:r>
        <w:rPr>
          <w:rFonts w:ascii="Times New Roman" w:cs="Times New Roman" w:eastAsia="Times New Roman" w:hAnsi="Times New Roman"/>
          <w:sz w:val="20"/>
          <w:szCs w:val="20"/>
          <w:color w:val="auto"/>
        </w:rPr>
        <w:t>Attention: Stephen Ma</w:t>
      </w:r>
    </w:p>
    <w:p>
      <w:pPr>
        <w:spacing w:after="0"/>
        <w:rPr>
          <w:sz w:val="20"/>
          <w:szCs w:val="20"/>
          <w:color w:val="auto"/>
        </w:rPr>
      </w:pPr>
      <w:r>
        <w:rPr>
          <w:rFonts w:ascii="Times New Roman" w:cs="Times New Roman" w:eastAsia="Times New Roman" w:hAnsi="Times New Roman"/>
          <w:sz w:val="20"/>
          <w:szCs w:val="20"/>
          <w:color w:val="auto"/>
        </w:rPr>
        <w:t>Telephone: (650) 516-4310</w:t>
      </w:r>
    </w:p>
    <w:p>
      <w:pPr>
        <w:spacing w:after="0"/>
        <w:rPr>
          <w:sz w:val="20"/>
          <w:szCs w:val="20"/>
          <w:color w:val="auto"/>
        </w:rPr>
      </w:pPr>
      <w:r>
        <w:rPr>
          <w:rFonts w:ascii="Times New Roman" w:cs="Times New Roman" w:eastAsia="Times New Roman" w:hAnsi="Times New Roman"/>
          <w:sz w:val="20"/>
          <w:szCs w:val="20"/>
          <w:color w:val="auto"/>
        </w:rPr>
        <w:t>Email: sma@scilexholding.com</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a copy to (which shall not constitute notice):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Paul Hastings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1117 S. California Avenue</w:t>
      </w:r>
    </w:p>
    <w:p>
      <w:pPr>
        <w:spacing w:after="0"/>
        <w:rPr>
          <w:sz w:val="20"/>
          <w:szCs w:val="20"/>
          <w:color w:val="auto"/>
        </w:rPr>
      </w:pPr>
      <w:r>
        <w:rPr>
          <w:rFonts w:ascii="Times New Roman" w:cs="Times New Roman" w:eastAsia="Times New Roman" w:hAnsi="Times New Roman"/>
          <w:sz w:val="20"/>
          <w:szCs w:val="20"/>
          <w:color w:val="auto"/>
        </w:rPr>
        <w:t>Palo Alto, CA 94304</w:t>
      </w:r>
    </w:p>
    <w:p>
      <w:pPr>
        <w:spacing w:after="0"/>
        <w:rPr>
          <w:sz w:val="20"/>
          <w:szCs w:val="20"/>
          <w:color w:val="auto"/>
        </w:rPr>
      </w:pPr>
      <w:r>
        <w:rPr>
          <w:rFonts w:ascii="Times New Roman" w:cs="Times New Roman" w:eastAsia="Times New Roman" w:hAnsi="Times New Roman"/>
          <w:sz w:val="20"/>
          <w:szCs w:val="20"/>
          <w:color w:val="auto"/>
        </w:rPr>
        <w:t>Attention: Elizabeth Razzano</w:t>
      </w:r>
    </w:p>
    <w:p>
      <w:pPr>
        <w:spacing w:after="0"/>
        <w:rPr>
          <w:sz w:val="20"/>
          <w:szCs w:val="20"/>
          <w:color w:val="auto"/>
        </w:rPr>
      </w:pPr>
      <w:r>
        <w:rPr>
          <w:rFonts w:ascii="Times New Roman" w:cs="Times New Roman" w:eastAsia="Times New Roman" w:hAnsi="Times New Roman"/>
          <w:sz w:val="20"/>
          <w:szCs w:val="20"/>
          <w:color w:val="auto"/>
        </w:rPr>
        <w:t>Telephone: (650) 320-1895</w:t>
      </w:r>
    </w:p>
    <w:p>
      <w:pPr>
        <w:spacing w:after="0"/>
        <w:rPr>
          <w:sz w:val="20"/>
          <w:szCs w:val="20"/>
          <w:color w:val="auto"/>
        </w:rPr>
      </w:pPr>
      <w:r>
        <w:rPr>
          <w:rFonts w:ascii="Times New Roman" w:cs="Times New Roman" w:eastAsia="Times New Roman" w:hAnsi="Times New Roman"/>
          <w:sz w:val="20"/>
          <w:szCs w:val="20"/>
          <w:color w:val="auto"/>
        </w:rPr>
        <w:t>E-mail: elizabethrazzano@paulhastings.com</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Holder: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Oramed Pharmaceuticals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1185 Avenue of the Americas</w:t>
      </w:r>
    </w:p>
    <w:p>
      <w:pPr>
        <w:spacing w:after="0"/>
        <w:rPr>
          <w:sz w:val="20"/>
          <w:szCs w:val="20"/>
          <w:color w:val="auto"/>
        </w:rPr>
      </w:pPr>
      <w:r>
        <w:rPr>
          <w:rFonts w:ascii="Times New Roman" w:cs="Times New Roman" w:eastAsia="Times New Roman" w:hAnsi="Times New Roman"/>
          <w:sz w:val="20"/>
          <w:szCs w:val="20"/>
          <w:color w:val="auto"/>
        </w:rPr>
        <w:t>New York, NY 10036</w:t>
      </w:r>
    </w:p>
    <w:p>
      <w:pPr>
        <w:spacing w:after="0"/>
        <w:rPr>
          <w:sz w:val="20"/>
          <w:szCs w:val="20"/>
          <w:color w:val="auto"/>
        </w:rPr>
      </w:pPr>
      <w:r>
        <w:rPr>
          <w:rFonts w:ascii="Times New Roman" w:cs="Times New Roman" w:eastAsia="Times New Roman" w:hAnsi="Times New Roman"/>
          <w:sz w:val="20"/>
          <w:szCs w:val="20"/>
          <w:color w:val="auto"/>
        </w:rPr>
        <w:t>Attention: Nadav Kidron; Avi Gabay</w:t>
      </w:r>
    </w:p>
    <w:p>
      <w:pPr>
        <w:spacing w:after="0"/>
        <w:rPr>
          <w:sz w:val="20"/>
          <w:szCs w:val="20"/>
          <w:color w:val="auto"/>
        </w:rPr>
      </w:pPr>
      <w:r>
        <w:rPr>
          <w:rFonts w:ascii="Times New Roman" w:cs="Times New Roman" w:eastAsia="Times New Roman" w:hAnsi="Times New Roman"/>
          <w:sz w:val="20"/>
          <w:szCs w:val="20"/>
          <w:color w:val="auto"/>
        </w:rPr>
        <w:t>E-mail: nadav@oramed.com; avi@oramed.com</w:t>
      </w:r>
    </w:p>
    <w:p>
      <w:pPr>
        <w:spacing w:after="0"/>
        <w:rPr>
          <w:sz w:val="20"/>
          <w:szCs w:val="20"/>
          <w:color w:val="auto"/>
        </w:rPr>
      </w:pPr>
      <w:r>
        <w:rPr>
          <w:rFonts w:ascii="Times New Roman" w:cs="Times New Roman" w:eastAsia="Times New Roman" w:hAnsi="Times New Roman"/>
          <w:sz w:val="20"/>
          <w:szCs w:val="20"/>
          <w:color w:val="auto"/>
        </w:rPr>
        <w:t>with copy to (which shall not constitute notice):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Proskauer Rose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Eleven Times Square</w:t>
      </w:r>
    </w:p>
    <w:p>
      <w:pPr>
        <w:spacing w:after="0"/>
        <w:rPr>
          <w:sz w:val="20"/>
          <w:szCs w:val="20"/>
          <w:color w:val="auto"/>
        </w:rPr>
      </w:pPr>
      <w:r>
        <w:rPr>
          <w:rFonts w:ascii="Times New Roman" w:cs="Times New Roman" w:eastAsia="Times New Roman" w:hAnsi="Times New Roman"/>
          <w:sz w:val="20"/>
          <w:szCs w:val="20"/>
          <w:color w:val="auto"/>
        </w:rPr>
        <w:t>New York, NY 10036</w:t>
      </w:r>
    </w:p>
    <w:p>
      <w:pPr>
        <w:spacing w:after="0"/>
        <w:rPr>
          <w:sz w:val="20"/>
          <w:szCs w:val="20"/>
          <w:color w:val="auto"/>
        </w:rPr>
      </w:pPr>
      <w:r>
        <w:rPr>
          <w:rFonts w:ascii="Times New Roman" w:cs="Times New Roman" w:eastAsia="Times New Roman" w:hAnsi="Times New Roman"/>
          <w:sz w:val="20"/>
          <w:szCs w:val="20"/>
          <w:color w:val="auto"/>
        </w:rPr>
        <w:t>Attention: Grant R. Darwin; Ehud Barak; Philip A. Kaminski</w:t>
      </w:r>
    </w:p>
    <w:p>
      <w:pPr>
        <w:spacing w:after="0"/>
        <w:rPr>
          <w:sz w:val="20"/>
          <w:szCs w:val="20"/>
          <w:color w:val="auto"/>
        </w:rPr>
      </w:pPr>
      <w:r>
        <w:rPr>
          <w:rFonts w:ascii="Times New Roman" w:cs="Times New Roman" w:eastAsia="Times New Roman" w:hAnsi="Times New Roman"/>
          <w:sz w:val="20"/>
          <w:szCs w:val="20"/>
          <w:color w:val="auto"/>
        </w:rPr>
        <w:t>E-mail: gdarwin@proskauer.com; ebarak@proskauer.com; pkaminski@proskauer.com;</w:t>
      </w:r>
    </w:p>
    <w:p>
      <w:pPr>
        <w:spacing w:after="0" w:line="194" w:lineRule="exact"/>
        <w:rPr>
          <w:sz w:val="20"/>
          <w:szCs w:val="20"/>
          <w:color w:val="auto"/>
        </w:rPr>
      </w:pPr>
    </w:p>
    <w:p>
      <w:pPr>
        <w:jc w:val="both"/>
        <w:ind w:firstLine="1505"/>
        <w:spacing w:after="0" w:line="254" w:lineRule="auto"/>
        <w:tabs>
          <w:tab w:leader="none" w:pos="1907"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and Waivers</w:t>
      </w:r>
      <w:r>
        <w:rPr>
          <w:rFonts w:ascii="Times New Roman" w:cs="Times New Roman" w:eastAsia="Times New Roman" w:hAnsi="Times New Roman"/>
          <w:sz w:val="20"/>
          <w:szCs w:val="20"/>
          <w:color w:val="auto"/>
        </w:rPr>
        <w:t>. Any term of this Agreement may be amended and the observance of any term of this Agreement may be waived (either generally or in a particular instance and either retroactively or prospectively), only with the written consent of the Company and the Holder.</w:t>
      </w:r>
    </w:p>
    <w:p>
      <w:pPr>
        <w:spacing w:after="0" w:line="174" w:lineRule="exact"/>
        <w:rPr>
          <w:rFonts w:ascii="Times New Roman" w:cs="Times New Roman" w:eastAsia="Times New Roman" w:hAnsi="Times New Roman"/>
          <w:sz w:val="20"/>
          <w:szCs w:val="20"/>
          <w:color w:val="auto"/>
        </w:rPr>
      </w:pPr>
    </w:p>
    <w:p>
      <w:pPr>
        <w:jc w:val="both"/>
        <w:ind w:firstLine="1505"/>
        <w:spacing w:after="0" w:line="243" w:lineRule="auto"/>
        <w:tabs>
          <w:tab w:leader="none" w:pos="1907"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one or more provisions of this Agreement are held to be unenforceable under applicable law, such provision shall be excluded from this Agreement and the balance of the Agreement shall be interpreted as if such provision were so excluded and shall be enforceable in accordance with its terms so long as this Agreement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8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Interpretation</w:t>
      </w:r>
      <w:r>
        <w:rPr>
          <w:rFonts w:ascii="Times New Roman" w:cs="Times New Roman" w:eastAsia="Times New Roman" w:hAnsi="Times New Roman"/>
          <w:sz w:val="20"/>
          <w:szCs w:val="20"/>
          <w:color w:val="auto"/>
        </w:rPr>
        <w:t>. Unless the context of this Agreement clearly requires otherwise, (i) references to the plural include the singular, the singular the plural, the part the whole, (ii) references to any gender include all genders, (iii) “including” has the inclusive meaning frequently identified with the phrase “but not limited to” and (iv) references to “hereunder” or “herein” relate to this Agreement.</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9" w:name="page40"/>
    <w:bookmarkEnd w:id="39"/>
    <w:p>
      <w:pPr>
        <w:ind w:firstLine="1505"/>
        <w:spacing w:after="0" w:line="269" w:lineRule="auto"/>
        <w:tabs>
          <w:tab w:leader="none" w:pos="1907"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Third-Party Beneficiaries</w:t>
      </w:r>
      <w:r>
        <w:rPr>
          <w:rFonts w:ascii="Times New Roman" w:cs="Times New Roman" w:eastAsia="Times New Roman" w:hAnsi="Times New Roman"/>
          <w:sz w:val="20"/>
          <w:szCs w:val="20"/>
          <w:color w:val="auto"/>
        </w:rPr>
        <w:t>. This Agreement is intended for the benefit of the parties hereto and their respective permitted successors and assigns, and is not for the benefit of, nor may any provision hereof be enforced by, any other Person.</w:t>
      </w:r>
    </w:p>
    <w:p>
      <w:pPr>
        <w:spacing w:after="0" w:line="15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Strict Construction; Survival</w:t>
      </w:r>
      <w:r>
        <w:rPr>
          <w:rFonts w:ascii="Times New Roman" w:cs="Times New Roman" w:eastAsia="Times New Roman" w:hAnsi="Times New Roman"/>
          <w:sz w:val="20"/>
          <w:szCs w:val="20"/>
          <w:color w:val="auto"/>
        </w:rPr>
        <w:t>. The language used in this Agreement will be deemed to be the language chosen by the parties to express their mutual intent, and no rules of strict construction will be applied against any party. The representations, warranties, agreements and covenants shall survive the Closing.</w:t>
      </w:r>
    </w:p>
    <w:p>
      <w:pPr>
        <w:spacing w:after="0" w:line="174" w:lineRule="exact"/>
        <w:rPr>
          <w:rFonts w:ascii="Times New Roman" w:cs="Times New Roman" w:eastAsia="Times New Roman" w:hAnsi="Times New Roman"/>
          <w:sz w:val="20"/>
          <w:szCs w:val="20"/>
          <w:color w:val="auto"/>
        </w:rPr>
      </w:pPr>
    </w:p>
    <w:p>
      <w:pPr>
        <w:jc w:val="both"/>
        <w:ind w:firstLine="1505"/>
        <w:spacing w:after="0" w:line="241" w:lineRule="auto"/>
        <w:tabs>
          <w:tab w:leader="none" w:pos="1893"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Equal Treatment Acknowledgement; Most Favored Nations</w:t>
      </w:r>
      <w:r>
        <w:rPr>
          <w:rFonts w:ascii="Times New Roman" w:cs="Times New Roman" w:eastAsia="Times New Roman" w:hAnsi="Times New Roman"/>
          <w:sz w:val="20"/>
          <w:szCs w:val="20"/>
          <w:color w:val="auto"/>
        </w:rPr>
        <w:t>. The Company hereby represents and warrants as of the date hereof and covenants and agrees that, during the period commencing on the date hereof until the six month anniversary of the date hereof, none of the terms offered to any Person with respect to any warrant issued by the Company to any other Person, including, without limitation with respect to any consent, approval, release, amendment, modification, settlement, transfer, exchange, or waiver relating to the Transaction or any other warrant (each an “</w:t>
      </w:r>
      <w:r>
        <w:rPr>
          <w:rFonts w:ascii="Times New Roman" w:cs="Times New Roman" w:eastAsia="Times New Roman" w:hAnsi="Times New Roman"/>
          <w:sz w:val="20"/>
          <w:szCs w:val="20"/>
          <w:b w:val="1"/>
          <w:bCs w:val="1"/>
          <w:color w:val="auto"/>
        </w:rPr>
        <w:t>Settlement Document</w:t>
      </w:r>
      <w:r>
        <w:rPr>
          <w:rFonts w:ascii="Times New Roman" w:cs="Times New Roman" w:eastAsia="Times New Roman" w:hAnsi="Times New Roman"/>
          <w:sz w:val="20"/>
          <w:szCs w:val="20"/>
          <w:color w:val="auto"/>
        </w:rPr>
        <w:t>”), is or will be more favorable to such Person (other than the reimbursement of legal fees) than those of the Holder and this Agreement. If, and whenever on or after the date hereof, the Company enters into a Settlement Document, then the Company shall provide written notice of such Settlement Document and its key terms to the Holder and the terms and conditions of this Agreement shall be, without any further action by the Holder or the Company, automatically amended and modified in an economically and legally equivalent manner such that the Holder shall receive the benefit of the more favorable terms and/or conditions (as the case may be) set forth in such Settlement Document, provided that upon written notice to the Company at any time the Holder may elect not to accept the benefit of any such amended or modified term or condition, in which event the term or condition contained in this Agreement shall apply to the Holder as it was in effect immediately prior to such amendment or modification as if such amendment or modification never occurred with respect to the Holder. The provisions of this Section 3(l) shall apply similarly and equally to each Settlement Document.</w:t>
      </w:r>
    </w:p>
    <w:p>
      <w:pPr>
        <w:spacing w:after="0" w:line="195" w:lineRule="exact"/>
        <w:rPr>
          <w:rFonts w:ascii="Times New Roman" w:cs="Times New Roman" w:eastAsia="Times New Roman" w:hAnsi="Times New Roman"/>
          <w:sz w:val="20"/>
          <w:szCs w:val="20"/>
          <w:color w:val="auto"/>
        </w:rPr>
      </w:pPr>
    </w:p>
    <w:p>
      <w:pPr>
        <w:jc w:val="both"/>
        <w:ind w:firstLine="1505"/>
        <w:spacing w:after="0" w:line="243" w:lineRule="auto"/>
        <w:tabs>
          <w:tab w:leader="none" w:pos="1893"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Tranche B Note</w:t>
      </w:r>
      <w:r>
        <w:rPr>
          <w:rFonts w:ascii="Times New Roman" w:cs="Times New Roman" w:eastAsia="Times New Roman" w:hAnsi="Times New Roman"/>
          <w:sz w:val="20"/>
          <w:szCs w:val="20"/>
          <w:color w:val="auto"/>
        </w:rPr>
        <w:t>. For avoidance of doubt, (i) neither the execution, delivery and effectiveness of this Agreement nor the consummation of any of the transactions contemplated hereunder constitutes or operates as a waiver of any of the Holder’s rights or remedies under the Tranche B Note or any of the other Transaction Documents (as defined in the October 2024 Securities Purchase Agreement), nor constitutes a waiver of any provision of the Transaction Documents and (ii) neither the Collateral Agent or the Holder has waived, is by this Agreement waiving or has any intention of waiving any Event of Default (as defined in the Tranche B Note) which may be continuing on the date hereof or any Events of Default which may occur after the date hereof (whether the same or similar to any existing Events of Default or otherwise), and neither the Collateral Agent nor the Holder has agreed to forbear with respect to any of their rights or remedies concerning any Event of Default occurring at any time.</w:t>
      </w:r>
    </w:p>
    <w:p>
      <w:pPr>
        <w:spacing w:after="0" w:line="18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color w:val="auto"/>
        </w:rPr>
        <w:t>[The remainder of the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0" w:name="page41"/>
    <w:bookmarkEnd w:id="40"/>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IN WITNESS WHEREOF, </w:t>
      </w:r>
      <w:r>
        <w:rPr>
          <w:rFonts w:ascii="Times New Roman" w:cs="Times New Roman" w:eastAsia="Times New Roman" w:hAnsi="Times New Roman"/>
          <w:sz w:val="20"/>
          <w:szCs w:val="20"/>
          <w:color w:val="auto"/>
        </w:rPr>
        <w:t>the Holder and the Company have caused their respective signature page to this Agreement to be duly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executed as of the date first written above.</w:t>
      </w:r>
    </w:p>
    <w:p>
      <w:pPr>
        <w:spacing w:after="0" w:line="200" w:lineRule="exact"/>
        <w:rPr>
          <w:sz w:val="20"/>
          <w:szCs w:val="20"/>
          <w:color w:val="auto"/>
        </w:rPr>
      </w:pPr>
    </w:p>
    <w:p>
      <w:pPr>
        <w:spacing w:after="0" w:line="35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b w:val="1"/>
          <w:bCs w:val="1"/>
          <w:color w:val="auto"/>
        </w:rPr>
        <w:t>COMPANY:</w:t>
      </w:r>
    </w:p>
    <w:p>
      <w:pPr>
        <w:spacing w:after="0" w:line="17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b w:val="1"/>
          <w:bCs w:val="1"/>
          <w:color w:val="auto"/>
        </w:rPr>
        <w:t>SCILEX HOLDING COMPANY</w:t>
      </w:r>
    </w:p>
    <w:p>
      <w:pPr>
        <w:spacing w:after="0" w:line="200" w:lineRule="exact"/>
        <w:rPr>
          <w:sz w:val="20"/>
          <w:szCs w:val="20"/>
          <w:color w:val="auto"/>
        </w:rPr>
      </w:pPr>
    </w:p>
    <w:p>
      <w:pPr>
        <w:spacing w:after="0" w:line="398" w:lineRule="exact"/>
        <w:rPr>
          <w:sz w:val="20"/>
          <w:szCs w:val="20"/>
          <w:color w:val="auto"/>
        </w:rPr>
      </w:pPr>
    </w:p>
    <w:p>
      <w:pPr>
        <w:ind w:left="4600"/>
        <w:spacing w:after="0"/>
        <w:tabs>
          <w:tab w:leader="none" w:pos="50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Henry 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-10795</wp:posOffset>
            </wp:positionV>
            <wp:extent cx="7537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line="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0"/>
          <w:szCs w:val="20"/>
          <w:color w:val="auto"/>
        </w:rPr>
        <w:t>Name: Henry Ji</w:t>
      </w:r>
    </w:p>
    <w:p>
      <w:pPr>
        <w:ind w:left="4900"/>
        <w:spacing w:after="0"/>
        <w:rPr>
          <w:sz w:val="20"/>
          <w:szCs w:val="20"/>
          <w:color w:val="auto"/>
        </w:rPr>
      </w:pPr>
      <w:r>
        <w:rPr>
          <w:rFonts w:ascii="Times New Roman" w:cs="Times New Roman" w:eastAsia="Times New Roman" w:hAnsi="Times New Roman"/>
          <w:sz w:val="20"/>
          <w:szCs w:val="20"/>
          <w:color w:val="auto"/>
        </w:rPr>
        <w:t>Title: 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Warrant Agreement</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9" w:right="359" w:bottom="1440" w:gutter="0" w:footer="0" w:header="0"/>
        </w:sectPr>
      </w:pPr>
    </w:p>
    <w:bookmarkStart w:id="41" w:name="page42"/>
    <w:bookmarkEnd w:id="41"/>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IN WITNESS WHEREOF, </w:t>
      </w:r>
      <w:r>
        <w:rPr>
          <w:rFonts w:ascii="Times New Roman" w:cs="Times New Roman" w:eastAsia="Times New Roman" w:hAnsi="Times New Roman"/>
          <w:sz w:val="20"/>
          <w:szCs w:val="20"/>
          <w:color w:val="auto"/>
        </w:rPr>
        <w:t>the Holder and the Company have caused their respective signature page to this Agreement to be duly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executed as of the date first written above.</w:t>
      </w:r>
    </w:p>
    <w:p>
      <w:pPr>
        <w:spacing w:after="0" w:line="200" w:lineRule="exact"/>
        <w:rPr>
          <w:sz w:val="20"/>
          <w:szCs w:val="20"/>
          <w:color w:val="auto"/>
        </w:rPr>
      </w:pPr>
    </w:p>
    <w:p>
      <w:pPr>
        <w:spacing w:after="0" w:line="35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b w:val="1"/>
          <w:bCs w:val="1"/>
          <w:color w:val="auto"/>
        </w:rPr>
        <w:t>HOLDER:</w:t>
      </w:r>
    </w:p>
    <w:p>
      <w:pPr>
        <w:spacing w:after="0" w:line="17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b w:val="1"/>
          <w:bCs w:val="1"/>
          <w:color w:val="auto"/>
        </w:rPr>
        <w:t>ORAMED PHARMACEUTICALS INC.</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940"/>
        <w:spacing w:after="0"/>
        <w:tabs>
          <w:tab w:leader="none" w:pos="63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Avraham Gabay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4029075</wp:posOffset>
            </wp:positionH>
            <wp:positionV relativeFrom="paragraph">
              <wp:posOffset>-10795</wp:posOffset>
            </wp:positionV>
            <wp:extent cx="12566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56665" cy="8255"/>
                    </a:xfrm>
                    <a:prstGeom prst="rect">
                      <a:avLst/>
                    </a:prstGeom>
                    <a:noFill/>
                  </pic:spPr>
                </pic:pic>
              </a:graphicData>
            </a:graphic>
          </wp:anchor>
        </w:drawing>
      </w:r>
    </w:p>
    <w:p>
      <w:pPr>
        <w:spacing w:after="0" w:line="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color w:val="auto"/>
        </w:rPr>
        <w:t>Name: Avraham Gabay</w:t>
      </w:r>
    </w:p>
    <w:p>
      <w:pPr>
        <w:ind w:left="620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Warrant Agreement</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9" w:right="35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20"/>
          <w:szCs w:val="20"/>
          <w:b w:val="1"/>
          <w:bCs w:val="1"/>
          <w:color w:val="auto"/>
        </w:rPr>
        <w:t>Annex 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Representations and Warranties</w:t>
      </w:r>
    </w:p>
    <w:p>
      <w:pPr>
        <w:spacing w:after="0" w:line="233" w:lineRule="exact"/>
        <w:rPr>
          <w:sz w:val="20"/>
          <w:szCs w:val="20"/>
          <w:color w:val="auto"/>
        </w:rPr>
      </w:pPr>
    </w:p>
    <w:p>
      <w:pPr>
        <w:ind w:left="440" w:hanging="432"/>
        <w:spacing w:after="0" w:line="269" w:lineRule="auto"/>
        <w:tabs>
          <w:tab w:leader="none" w:pos="44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 of the Company.</w:t>
      </w:r>
      <w:r>
        <w:rPr>
          <w:rFonts w:ascii="Times New Roman" w:cs="Times New Roman" w:eastAsia="Times New Roman" w:hAnsi="Times New Roman"/>
          <w:sz w:val="20"/>
          <w:szCs w:val="20"/>
          <w:color w:val="auto"/>
        </w:rPr>
        <w:t xml:space="preserve"> The Company hereby represents and warrants to the Holder as of the Effective Date as follows:</w:t>
      </w:r>
    </w:p>
    <w:p>
      <w:pPr>
        <w:spacing w:after="0" w:line="388" w:lineRule="exact"/>
        <w:rPr>
          <w:rFonts w:ascii="Times New Roman" w:cs="Times New Roman" w:eastAsia="Times New Roman" w:hAnsi="Times New Roman"/>
          <w:sz w:val="20"/>
          <w:szCs w:val="20"/>
          <w:color w:val="auto"/>
        </w:rPr>
      </w:pPr>
    </w:p>
    <w:p>
      <w:pPr>
        <w:jc w:val="both"/>
        <w:ind w:firstLine="757"/>
        <w:spacing w:after="0" w:line="255" w:lineRule="auto"/>
        <w:tabs>
          <w:tab w:leader="none" w:pos="1018" w:val="left"/>
        </w:tabs>
        <w:numPr>
          <w:ilvl w:val="1"/>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Organization and Qualification</w:t>
      </w:r>
      <w:r>
        <w:rPr>
          <w:rFonts w:ascii="Times New Roman" w:cs="Times New Roman" w:eastAsia="Times New Roman" w:hAnsi="Times New Roman"/>
          <w:sz w:val="19"/>
          <w:szCs w:val="19"/>
          <w:color w:val="auto"/>
        </w:rPr>
        <w:t>. Each of the Company and each of its Subsidiaries (as defined below) are entities duly organized and validly existing and in good standing under the laws of the jurisdiction in which they are formed, and have the requisite power and authority to own their properties and to carry on their business as now being conducted and as presently proposed to be conducted. Each of the Company and each of its Subsidiaries is duly qualified as a foreign entity to do business and is in good standing in every jurisdiction in which its ownership of property or the nature of the business conducted by it makes such qualification necessary, except to the extent that the failure to be so qualified or be in good standing would not reasonably be expected to have a Material Adverse Effect (as defined below). As used in this Agreement, “</w:t>
      </w:r>
      <w:r>
        <w:rPr>
          <w:rFonts w:ascii="Times New Roman" w:cs="Times New Roman" w:eastAsia="Times New Roman" w:hAnsi="Times New Roman"/>
          <w:sz w:val="19"/>
          <w:szCs w:val="19"/>
          <w:b w:val="1"/>
          <w:bCs w:val="1"/>
          <w:color w:val="auto"/>
        </w:rPr>
        <w:t>Material Adverse Effect</w:t>
      </w:r>
      <w:r>
        <w:rPr>
          <w:rFonts w:ascii="Times New Roman" w:cs="Times New Roman" w:eastAsia="Times New Roman" w:hAnsi="Times New Roman"/>
          <w:sz w:val="19"/>
          <w:szCs w:val="19"/>
          <w:color w:val="auto"/>
        </w:rPr>
        <w:t>” means any material adverse effect on (i) the business, properties, assets, liabilities, operations (including results thereof), condition (financial or otherwise) or prospects of the Company or any Subsidiary, taken as a whole, (ii) the transactions contemplated hereby or in any of the other Transaction Documents or any other agreements or instruments to be entered into in connection herewith or therewith or (iii) the authority or ability of the Company or any of its Subsidiaries to perform any of their respective obligations under any of the Transaction Documents. Other than as set forth in the SEC Documents (as defined below) the Company has no significant Subsidiaries. “</w:t>
      </w:r>
      <w:r>
        <w:rPr>
          <w:rFonts w:ascii="Times New Roman" w:cs="Times New Roman" w:eastAsia="Times New Roman" w:hAnsi="Times New Roman"/>
          <w:sz w:val="19"/>
          <w:szCs w:val="19"/>
          <w:b w:val="1"/>
          <w:bCs w:val="1"/>
          <w:color w:val="auto"/>
        </w:rPr>
        <w:t>Subsidiaries</w:t>
      </w:r>
      <w:r>
        <w:rPr>
          <w:rFonts w:ascii="Times New Roman" w:cs="Times New Roman" w:eastAsia="Times New Roman" w:hAnsi="Times New Roman"/>
          <w:sz w:val="19"/>
          <w:szCs w:val="19"/>
          <w:color w:val="auto"/>
        </w:rPr>
        <w:t>” means one or more entities of which any of the capital stock or share capital or other equity or voting securities are Controlled (as defined below) or owned, directly or indirectly, by the respective Person, and each of the foregoing, is individually referred to herein as a “</w:t>
      </w:r>
      <w:r>
        <w:rPr>
          <w:rFonts w:ascii="Times New Roman" w:cs="Times New Roman" w:eastAsia="Times New Roman" w:hAnsi="Times New Roman"/>
          <w:sz w:val="19"/>
          <w:szCs w:val="19"/>
          <w:b w:val="1"/>
          <w:bCs w:val="1"/>
          <w:color w:val="auto"/>
        </w:rPr>
        <w:t>Subsidiary</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color w:val="auto"/>
        </w:rPr>
        <w:t>Control</w:t>
      </w:r>
      <w:r>
        <w:rPr>
          <w:rFonts w:ascii="Times New Roman" w:cs="Times New Roman" w:eastAsia="Times New Roman" w:hAnsi="Times New Roman"/>
          <w:sz w:val="19"/>
          <w:szCs w:val="19"/>
          <w:color w:val="auto"/>
        </w:rPr>
        <w:t>” means the possession, directly or indirectly, of the power to direct or cause the direction of the management and policies of a Person, whether through the ownership of voting securities, by contract or otherwise; and the terms “Controlled” and “Controlling” shall have the meaning correlative to the foregoing.</w:t>
      </w:r>
    </w:p>
    <w:p>
      <w:pPr>
        <w:spacing w:after="0" w:line="173" w:lineRule="exact"/>
        <w:rPr>
          <w:rFonts w:ascii="Times New Roman" w:cs="Times New Roman" w:eastAsia="Times New Roman" w:hAnsi="Times New Roman"/>
          <w:sz w:val="19"/>
          <w:szCs w:val="19"/>
          <w:color w:val="auto"/>
        </w:rPr>
      </w:pPr>
    </w:p>
    <w:p>
      <w:pPr>
        <w:jc w:val="both"/>
        <w:ind w:firstLine="757"/>
        <w:spacing w:after="0" w:line="241" w:lineRule="auto"/>
        <w:tabs>
          <w:tab w:leader="none" w:pos="1018"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Authorization and Binding Obligation</w:t>
      </w:r>
      <w:r>
        <w:rPr>
          <w:rFonts w:ascii="Times New Roman" w:cs="Times New Roman" w:eastAsia="Times New Roman" w:hAnsi="Times New Roman"/>
          <w:sz w:val="20"/>
          <w:szCs w:val="20"/>
          <w:color w:val="auto"/>
        </w:rPr>
        <w:t>. The Company has the requisite power and authority to enter into and perform its obligations under this Agreement, the Warrant and each of the other agreements and certificates entered into by the parties hereto in connection with the transactions contemplated by this Agreement (collectively, the “</w:t>
      </w:r>
      <w:r>
        <w:rPr>
          <w:rFonts w:ascii="Times New Roman" w:cs="Times New Roman" w:eastAsia="Times New Roman" w:hAnsi="Times New Roman"/>
          <w:sz w:val="20"/>
          <w:szCs w:val="20"/>
          <w:b w:val="1"/>
          <w:bCs w:val="1"/>
          <w:color w:val="auto"/>
        </w:rPr>
        <w:t>Transaction Documents</w:t>
      </w:r>
      <w:r>
        <w:rPr>
          <w:rFonts w:ascii="Times New Roman" w:cs="Times New Roman" w:eastAsia="Times New Roman" w:hAnsi="Times New Roman"/>
          <w:sz w:val="20"/>
          <w:szCs w:val="20"/>
          <w:color w:val="auto"/>
        </w:rPr>
        <w:t>”), to consummate the transactions contemplated hereby and thereby and to issue and deliver the Securities in accordance with the terms hereof and thereof. The execution and delivery of the Transaction Documents by the Company and the consummation by the Company of the transactions contemplated hereby and thereby, including, without limitation, the Transaction, have been duly authorized by the board of directors of the Company, and, other than the filing with the SEC of a Form D and any other filings as may be required by any state securities agencies, and the notice and/or application(s) to the Principal Market (as defined below) for the issuance and sale of the Securities and the listing of the Warrant Shares for trading thereon in the time and manner required thereby (collectively, the “</w:t>
      </w:r>
      <w:r>
        <w:rPr>
          <w:rFonts w:ascii="Times New Roman" w:cs="Times New Roman" w:eastAsia="Times New Roman" w:hAnsi="Times New Roman"/>
          <w:sz w:val="20"/>
          <w:szCs w:val="20"/>
          <w:b w:val="1"/>
          <w:bCs w:val="1"/>
          <w:color w:val="auto"/>
        </w:rPr>
        <w:t>Required Approvals</w:t>
      </w:r>
      <w:r>
        <w:rPr>
          <w:rFonts w:ascii="Times New Roman" w:cs="Times New Roman" w:eastAsia="Times New Roman" w:hAnsi="Times New Roman"/>
          <w:sz w:val="20"/>
          <w:szCs w:val="20"/>
          <w:color w:val="auto"/>
        </w:rPr>
        <w:t>”), no further filing, consent or authorization is required by the Company, its Subsidiaries, their respective boards of directors or their stockholders or other governing body. This Agreement has been, and the other Transaction Documents to which it is a party will be prior to such Closing, duly executed and delivered by the Company, and each constitutes the legal, valid and binding obligations of the Company, enforceable against the Company in accordance with its respective terms, except as such enforceability may be limited by general principles of equity or applicable bankruptcy, insolvency, reorganization, moratorium, liquidation or similar laws relating to, or affecting generally, the enforcement of applicable creditors’ rights and remedies and except as rights to indemnification and to contribution may be limited by federal or state securities law.</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Annex 1 - 1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43" w:name="page44"/>
    <w:bookmarkEnd w:id="43"/>
    <w:p>
      <w:pPr>
        <w:jc w:val="both"/>
        <w:ind w:firstLine="757"/>
        <w:spacing w:after="0" w:line="242" w:lineRule="auto"/>
        <w:tabs>
          <w:tab w:leader="none" w:pos="101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Conflicts</w:t>
      </w:r>
      <w:r>
        <w:rPr>
          <w:rFonts w:ascii="Times New Roman" w:cs="Times New Roman" w:eastAsia="Times New Roman" w:hAnsi="Times New Roman"/>
          <w:sz w:val="20"/>
          <w:szCs w:val="20"/>
          <w:color w:val="auto"/>
        </w:rPr>
        <w:t xml:space="preserve">. The execution, delivery and performance of the Transaction Documents by the Company and the consummation by the Company of the transactions contemplated hereby and thereby (including, without limitation, the issuance of the Securities and the reservation for issuance of the Warrant Shares) will not (i) result in a violation of the Certificate of Incorporation (as defined below) (including, without limitation, any certificate of designation contained therein), Bylaws (as defined below), certificate of formation, memorandum of association, articles of association, bylaws or other organizational documents of the Company or any of its Subsidiaries, or any capital stock or other securities of the Company or any of its Subsidiaries, or (ii) result in a violation of any law, rule, regulation, order, judgment or decree (including, without limitation, foreign, federal and state securities laws and regulations and the rules and regulations of the Nasdaq Global Market (the </w:t>
      </w:r>
      <w:r>
        <w:rPr>
          <w:rFonts w:ascii="Times New Roman" w:cs="Times New Roman" w:eastAsia="Times New Roman" w:hAnsi="Times New Roman"/>
          <w:sz w:val="20"/>
          <w:szCs w:val="20"/>
          <w:b w:val="1"/>
          <w:bCs w:val="1"/>
          <w:color w:val="auto"/>
        </w:rPr>
        <w:t>“Principal Market</w:t>
      </w:r>
      <w:r>
        <w:rPr>
          <w:rFonts w:ascii="Times New Roman" w:cs="Times New Roman" w:eastAsia="Times New Roman" w:hAnsi="Times New Roman"/>
          <w:sz w:val="20"/>
          <w:szCs w:val="20"/>
          <w:color w:val="auto"/>
        </w:rPr>
        <w:t>”) and including all applicable foreign, federal and state laws, rules and regulations) applicable to the Company or any of its Subsidiaries or by which any property or asset of the Company or any of its Subsidiaries is bound or affected; except in the case of clause (ii), such as would not have or reasonably be expected to result in a Material Adverse Effect.</w:t>
      </w:r>
    </w:p>
    <w:p>
      <w:pPr>
        <w:spacing w:after="0" w:line="192"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Consents</w:t>
      </w:r>
      <w:r>
        <w:rPr>
          <w:rFonts w:ascii="Times New Roman" w:cs="Times New Roman" w:eastAsia="Times New Roman" w:hAnsi="Times New Roman"/>
          <w:sz w:val="20"/>
          <w:szCs w:val="20"/>
          <w:color w:val="auto"/>
        </w:rPr>
        <w:t>. Neither the Company nor any Subsidiary is required to obtain any consent from, authorization or order of, or make any filing or registration with (other than the Required Approvals) any Governmental Entity (as defined in the October 2024 Securities Purchase Agreement) or any regulatory or self-regulatory agency in order for it to execute, deliver or perform any of its respective obligations under or contemplated by the Transaction Documents, in each case, in accordance with the terms hereof or thereof. All consents, authorizations, orders, filings and registrations which the Company or any Subsidiary is required to obtain pursuant to the preceding sentence have been or will be obtained or effected on or prior to the Closing Date, and neither the Company nor any of its Subsidiaries are aware of any facts or circumstances which might prevent the Company or any of its Subsidiaries from obtaining or effecting any of the registration, application or filings contemplated by the Transaction Documents. The Company is not in violation of the requirements of the Principal Market and has no knowledge of any facts or circumstances which could reasonably lead to delisting or suspension of the Common Stock in the foreseeable future.</w:t>
      </w:r>
    </w:p>
    <w:p>
      <w:pPr>
        <w:spacing w:after="0" w:line="192" w:lineRule="exact"/>
        <w:rPr>
          <w:rFonts w:ascii="Times New Roman" w:cs="Times New Roman" w:eastAsia="Times New Roman" w:hAnsi="Times New Roman"/>
          <w:sz w:val="20"/>
          <w:szCs w:val="20"/>
          <w:color w:val="auto"/>
        </w:rPr>
      </w:pPr>
    </w:p>
    <w:p>
      <w:pPr>
        <w:jc w:val="both"/>
        <w:ind w:firstLine="757"/>
        <w:spacing w:after="0" w:line="243" w:lineRule="auto"/>
        <w:tabs>
          <w:tab w:leader="none" w:pos="101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Integration</w:t>
      </w:r>
      <w:r>
        <w:rPr>
          <w:rFonts w:ascii="Times New Roman" w:cs="Times New Roman" w:eastAsia="Times New Roman" w:hAnsi="Times New Roman"/>
          <w:sz w:val="20"/>
          <w:szCs w:val="20"/>
          <w:color w:val="auto"/>
        </w:rPr>
        <w:t>. None of the Company, its Subsidiaries, any of their affiliates, or any Person acting on their behalf has, directly or indirectly, made any offers or sales of any security or solicited any offers to buy any security, under circumstances that would require registration of any of the Securities under the 1933 Act or cause this offering of the Securities to be integrated with prior offerings by the Company for purposes of the 1933 Act or any applicable shareholder approval provisions, including, without limitation, under the rules and regulations of any exchange or automated quotation system on which any of the securities of the Company are listed or designated. None of the Company, its Subsidiaries, their affiliates or any Person acting on their behalf will take any action or steps referred to in the preceding sentence that would require registration of any of the Securities under the 1933 Act or cause the offering of the Securities to be integrated with other offerings.</w:t>
      </w:r>
    </w:p>
    <w:p>
      <w:pPr>
        <w:spacing w:after="0" w:line="189"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Securities Law Exemptions</w:t>
      </w:r>
      <w:r>
        <w:rPr>
          <w:rFonts w:ascii="Times New Roman" w:cs="Times New Roman" w:eastAsia="Times New Roman" w:hAnsi="Times New Roman"/>
          <w:sz w:val="20"/>
          <w:szCs w:val="20"/>
          <w:color w:val="auto"/>
        </w:rPr>
        <w:t>. Assuming the accuracy of the representations and warranties of the Holder contained herein, the offer, sale and issuance by the Company of the Securities is exempt from registration under the 1933 Act and all applicable state securities laws. The offer, sale and issuance of the Securities is exempt from registration under the 1933 Act pursuant to the exemption provided by Section 4(a)(2) of the 1933 Act and Regulation D promulgated under the 1933 Act.</w:t>
      </w:r>
    </w:p>
    <w:p>
      <w:pPr>
        <w:spacing w:after="0" w:line="179"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Issuance of Securities</w:t>
      </w:r>
      <w:r>
        <w:rPr>
          <w:rFonts w:ascii="Times New Roman" w:cs="Times New Roman" w:eastAsia="Times New Roman" w:hAnsi="Times New Roman"/>
          <w:sz w:val="20"/>
          <w:szCs w:val="20"/>
          <w:color w:val="auto"/>
        </w:rPr>
        <w:t>. The issuance of the Warrant has been duly authorized and upon issuance is in accordance with the terms of the Transaction Documents and shall be validly issued, fully paid and non-assessable and free from all Liens (as defined below) and shall be the binding obligation of the Company. Upon issuance or conversion in accordance with the Warrant, the Warrant Shares, when issued, will be validly issued, fully paid and nonassessable and free from all Liens with respect to the issue thereof, with the holders being entitled to all rights accorded to a holder of shares of Common Stock. As used herein, “</w:t>
      </w:r>
      <w:r>
        <w:rPr>
          <w:rFonts w:ascii="Times New Roman" w:cs="Times New Roman" w:eastAsia="Times New Roman" w:hAnsi="Times New Roman"/>
          <w:sz w:val="20"/>
          <w:szCs w:val="20"/>
          <w:b w:val="1"/>
          <w:bCs w:val="1"/>
          <w:color w:val="auto"/>
        </w:rPr>
        <w:t>Liens</w:t>
      </w:r>
      <w:r>
        <w:rPr>
          <w:rFonts w:ascii="Times New Roman" w:cs="Times New Roman" w:eastAsia="Times New Roman" w:hAnsi="Times New Roman"/>
          <w:sz w:val="20"/>
          <w:szCs w:val="20"/>
          <w:color w:val="auto"/>
        </w:rPr>
        <w:t>” shall mean any security or other property interest or right, claim, lien, pledge, option,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Annex 1 - 2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4" w:name="page45"/>
    <w:bookmarkEnd w:id="44"/>
    <w:p>
      <w:pPr>
        <w:jc w:val="both"/>
        <w:spacing w:after="0" w:line="254" w:lineRule="auto"/>
        <w:rPr>
          <w:sz w:val="20"/>
          <w:szCs w:val="20"/>
          <w:color w:val="auto"/>
        </w:rPr>
      </w:pPr>
      <w:r>
        <w:rPr>
          <w:rFonts w:ascii="Times New Roman" w:cs="Times New Roman" w:eastAsia="Times New Roman" w:hAnsi="Times New Roman"/>
          <w:sz w:val="20"/>
          <w:szCs w:val="20"/>
          <w:color w:val="auto"/>
        </w:rPr>
        <w:t>charge, security interest, contingent or conditional sale, or other title claim or retention agreement, interest or other right or claim of third parties, whether perfected or not perfected, voluntarily incurred or arising by operation of law, and including any agreement to grant or submit to any of the foregoing in the future.</w:t>
      </w:r>
    </w:p>
    <w:p>
      <w:pPr>
        <w:spacing w:after="0" w:line="174" w:lineRule="exact"/>
        <w:rPr>
          <w:sz w:val="20"/>
          <w:szCs w:val="20"/>
          <w:color w:val="auto"/>
        </w:rPr>
      </w:pPr>
    </w:p>
    <w:p>
      <w:pPr>
        <w:ind w:left="1020" w:hanging="263"/>
        <w:spacing w:after="0"/>
        <w:tabs>
          <w:tab w:leader="none" w:pos="10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Equity Capitalization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2620" w:hanging="272"/>
        <w:spacing w:after="0"/>
        <w:tabs>
          <w:tab w:leader="none" w:pos="262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jc w:val="both"/>
        <w:ind w:left="1500" w:firstLine="1833"/>
        <w:spacing w:after="0" w:line="256" w:lineRule="auto"/>
        <w:tabs>
          <w:tab w:leader="none" w:pos="3567"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Common Stock</w:t>
      </w:r>
      <w:r>
        <w:rPr>
          <w:rFonts w:ascii="Times New Roman" w:cs="Times New Roman" w:eastAsia="Times New Roman" w:hAnsi="Times New Roman"/>
          <w:sz w:val="20"/>
          <w:szCs w:val="20"/>
          <w:color w:val="auto"/>
        </w:rPr>
        <w:t>” means (x) the Company’s shares of common stock, $0.0001 par value per share, and (y) any capital stock into which such common stock shall have been changed or any share capital resulting from a reclassification of such common stock.</w:t>
      </w:r>
    </w:p>
    <w:p>
      <w:pPr>
        <w:spacing w:after="0" w:line="169" w:lineRule="exact"/>
        <w:rPr>
          <w:sz w:val="20"/>
          <w:szCs w:val="20"/>
          <w:color w:val="auto"/>
        </w:rPr>
      </w:pPr>
    </w:p>
    <w:p>
      <w:pPr>
        <w:jc w:val="both"/>
        <w:ind w:left="1500" w:firstLine="1805"/>
        <w:spacing w:after="0" w:line="300" w:lineRule="auto"/>
        <w:tabs>
          <w:tab w:leader="none" w:pos="3567" w:val="left"/>
        </w:tabs>
        <w:numPr>
          <w:ilvl w:val="1"/>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Preferred Stock</w:t>
      </w:r>
      <w:r>
        <w:rPr>
          <w:rFonts w:ascii="Times New Roman" w:cs="Times New Roman" w:eastAsia="Times New Roman" w:hAnsi="Times New Roman"/>
          <w:sz w:val="19"/>
          <w:szCs w:val="19"/>
          <w:color w:val="auto"/>
        </w:rPr>
        <w:t>” means the Company’s preferred stock, $0.0001 par value per share, the terms of which have been and may be designated by the board of directors of the Company in a certificate of designations.</w:t>
      </w:r>
    </w:p>
    <w:p>
      <w:pPr>
        <w:spacing w:after="0" w:line="132" w:lineRule="exact"/>
        <w:rPr>
          <w:rFonts w:ascii="Times New Roman" w:cs="Times New Roman" w:eastAsia="Times New Roman" w:hAnsi="Times New Roman"/>
          <w:sz w:val="19"/>
          <w:szCs w:val="19"/>
          <w:color w:val="auto"/>
        </w:rPr>
      </w:pPr>
    </w:p>
    <w:p>
      <w:pPr>
        <w:jc w:val="both"/>
        <w:ind w:left="760" w:firstLine="1523"/>
        <w:spacing w:after="0" w:line="243" w:lineRule="auto"/>
        <w:tabs>
          <w:tab w:leader="none" w:pos="2557"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Authorized and Outstanding Capital Stock</w:t>
      </w:r>
      <w:r>
        <w:rPr>
          <w:rFonts w:ascii="Times New Roman" w:cs="Times New Roman" w:eastAsia="Times New Roman" w:hAnsi="Times New Roman"/>
          <w:sz w:val="20"/>
          <w:szCs w:val="20"/>
          <w:color w:val="auto"/>
        </w:rPr>
        <w:t>. As of the date hereof, the authorized capital stock of the Company consists of (A) 740,000,000 shares of Common Stock, of which 8,491,267 shares are issued and outstanding and 13,238,853 shares are currently issuable pursuant to Common Stock Equivalents (as defined below) (other than the Securities) exercisable or exchangeable for, or convertible into, (B) 45,000,000 shares of Preferred Stock, 29,057,097 of which are issued and outstanding and have been designated as Series A Preferred Stock. Except as set forth in the SEC Documents, no shares of Common Stock are held in the treasury of the Company. “</w:t>
      </w:r>
      <w:r>
        <w:rPr>
          <w:rFonts w:ascii="Times New Roman" w:cs="Times New Roman" w:eastAsia="Times New Roman" w:hAnsi="Times New Roman"/>
          <w:sz w:val="20"/>
          <w:szCs w:val="20"/>
          <w:b w:val="1"/>
          <w:bCs w:val="1"/>
          <w:color w:val="auto"/>
        </w:rPr>
        <w:t>Common Stock Equivalents</w:t>
      </w:r>
      <w:r>
        <w:rPr>
          <w:rFonts w:ascii="Times New Roman" w:cs="Times New Roman" w:eastAsia="Times New Roman" w:hAnsi="Times New Roman"/>
          <w:sz w:val="20"/>
          <w:szCs w:val="20"/>
          <w:color w:val="auto"/>
        </w:rPr>
        <w:t>” means any capital stock or other security of the Company or any of its Subsidiaries that is at any time and under any circumstances directly or indirectly convertible into, exercisable or exchangeable for, or which otherwise entitles the holder thereof to acquire, any capital stock or other security of the Company (including, without limitation, Common Stock) or any of its Subsidiaries.</w:t>
      </w:r>
    </w:p>
    <w:p>
      <w:pPr>
        <w:spacing w:after="0" w:line="186" w:lineRule="exact"/>
        <w:rPr>
          <w:sz w:val="20"/>
          <w:szCs w:val="20"/>
          <w:color w:val="auto"/>
        </w:rPr>
      </w:pPr>
    </w:p>
    <w:p>
      <w:pPr>
        <w:jc w:val="both"/>
        <w:ind w:left="760" w:firstLine="1499"/>
        <w:spacing w:after="0" w:line="244" w:lineRule="auto"/>
        <w:rPr>
          <w:sz w:val="20"/>
          <w:szCs w:val="20"/>
          <w:color w:val="auto"/>
        </w:rPr>
      </w:pPr>
      <w:r>
        <w:rPr>
          <w:rFonts w:ascii="Times New Roman" w:cs="Times New Roman" w:eastAsia="Times New Roman" w:hAnsi="Times New Roman"/>
          <w:sz w:val="20"/>
          <w:szCs w:val="20"/>
          <w:color w:val="auto"/>
        </w:rPr>
        <w:t>(iii)</w:t>
      </w:r>
      <w:r>
        <w:rPr>
          <w:rFonts w:ascii="Times New Roman" w:cs="Times New Roman" w:eastAsia="Times New Roman" w:hAnsi="Times New Roman"/>
          <w:sz w:val="20"/>
          <w:szCs w:val="20"/>
          <w:u w:val="single" w:color="auto"/>
          <w:color w:val="auto"/>
        </w:rPr>
        <w:t>Valid Issuance; Available Shares; Affiliates</w:t>
      </w:r>
      <w:r>
        <w:rPr>
          <w:rFonts w:ascii="Times New Roman" w:cs="Times New Roman" w:eastAsia="Times New Roman" w:hAnsi="Times New Roman"/>
          <w:sz w:val="20"/>
          <w:szCs w:val="20"/>
          <w:color w:val="auto"/>
        </w:rPr>
        <w:t>. All of such outstanding shares are duly authorized and have been, or upon issuance will be, validly issued and are fully paid and nonassessable. Except as set forth in the SEC Documents, to the knowledge of the Company, no Person owns 10% or more of the Company’s issued and outstanding shares of Common Stock (calculated based on the assumption that all Common Stock Equivalents (as defined below), whether or not presently exercisable or convertible, have been fully exercised or converted (as the case may be) taking account of any limitations on exercise or conversion (including “blockers”) contained therein without conceding that such identified Person is a 10% stockholder for purposes of federal securities laws).</w:t>
      </w:r>
    </w:p>
    <w:p>
      <w:pPr>
        <w:spacing w:after="0" w:line="186" w:lineRule="exact"/>
        <w:rPr>
          <w:sz w:val="20"/>
          <w:szCs w:val="20"/>
          <w:color w:val="auto"/>
        </w:rPr>
      </w:pPr>
    </w:p>
    <w:p>
      <w:pPr>
        <w:jc w:val="both"/>
        <w:ind w:left="760" w:firstLine="1504"/>
        <w:spacing w:after="0" w:line="243" w:lineRule="auto"/>
        <w:rPr>
          <w:sz w:val="20"/>
          <w:szCs w:val="20"/>
          <w:color w:val="auto"/>
        </w:rPr>
      </w:pPr>
      <w:r>
        <w:rPr>
          <w:rFonts w:ascii="Times New Roman" w:cs="Times New Roman" w:eastAsia="Times New Roman" w:hAnsi="Times New Roman"/>
          <w:sz w:val="20"/>
          <w:szCs w:val="20"/>
          <w:color w:val="auto"/>
        </w:rPr>
        <w:t>(iv)</w:t>
      </w:r>
      <w:r>
        <w:rPr>
          <w:rFonts w:ascii="Times New Roman" w:cs="Times New Roman" w:eastAsia="Times New Roman" w:hAnsi="Times New Roman"/>
          <w:sz w:val="20"/>
          <w:szCs w:val="20"/>
          <w:u w:val="single" w:color="auto"/>
          <w:color w:val="auto"/>
        </w:rPr>
        <w:t>Existing Securities; Obligations</w:t>
      </w:r>
      <w:r>
        <w:rPr>
          <w:rFonts w:ascii="Times New Roman" w:cs="Times New Roman" w:eastAsia="Times New Roman" w:hAnsi="Times New Roman"/>
          <w:sz w:val="20"/>
          <w:szCs w:val="20"/>
          <w:color w:val="auto"/>
        </w:rPr>
        <w:t>. Except as disclosed in the SEC Documents: (A) none of the Company’s or any Subsidiary’s shares, interests or capital stock is subject to preemptive rights or any other similar rights or Liens suffered or permitted by the Company or any Subsidiary; (B) there are no outstanding options, warrants, scrip, rights to subscribe to, calls or commitments of any character whatsoever relating to, or securities or rights convertible into, or exercisable or exchangeable for, any shares, interests or capital stock of the Company or any of its Subsidiaries, or contracts, commitments, understandings or arrangements by which the Company or any of its Subsidiaries is or may become bound to issue additional shares, interests or capital stock of the Company or any of its Subsidiaries or options, warrants, scrip, rights to subscribe to, calls or commitments of any character whatsoever relating to, or securities or rights convertible into, or exercisable or exchangeable for, any shares, interests or capital stock of the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Annex 1 - 3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5" w:name="page46"/>
    <w:bookmarkEnd w:id="45"/>
    <w:p>
      <w:pPr>
        <w:jc w:val="both"/>
        <w:ind w:left="760"/>
        <w:spacing w:after="0" w:line="243" w:lineRule="auto"/>
        <w:rPr>
          <w:sz w:val="20"/>
          <w:szCs w:val="20"/>
          <w:color w:val="auto"/>
        </w:rPr>
      </w:pPr>
      <w:r>
        <w:rPr>
          <w:rFonts w:ascii="Times New Roman" w:cs="Times New Roman" w:eastAsia="Times New Roman" w:hAnsi="Times New Roman"/>
          <w:sz w:val="20"/>
          <w:szCs w:val="20"/>
          <w:color w:val="auto"/>
        </w:rPr>
        <w:t>Company or any of its Subsidiaries; (C) there are no agreements or arrangements under which the Company or any of its Subsidiaries is obligated to register the sale of any of their securities under the 1933 Act (except pursuant to this Agreement); (D) there are no outstanding securities or instruments of the Company or any of its Subsidiaries which contain any redemption or similar provisions, and there are no contracts, commitments, understandings or arrangements by which the Company or any of its Subsidiaries is or may become bound to redeem a security of the Company or any of its Subsidiaries; (E) there are no securities or instruments containing anti-dilution or similar provisions that will be triggered by the issuance of the Securities; and (F) neither the Company nor any Subsidiary has any stock appreciation rights or “phantom stock” plans or agreements or any similar plan or agreement.</w:t>
      </w:r>
    </w:p>
    <w:p>
      <w:pPr>
        <w:spacing w:after="0" w:line="189" w:lineRule="exact"/>
        <w:rPr>
          <w:sz w:val="20"/>
          <w:szCs w:val="20"/>
          <w:color w:val="auto"/>
        </w:rPr>
      </w:pPr>
    </w:p>
    <w:p>
      <w:pPr>
        <w:jc w:val="both"/>
        <w:ind w:left="760" w:firstLine="1529"/>
        <w:spacing w:after="0" w:line="249" w:lineRule="auto"/>
        <w:tabs>
          <w:tab w:leader="none" w:pos="2557"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Organizational Documents</w:t>
      </w:r>
      <w:r>
        <w:rPr>
          <w:rFonts w:ascii="Times New Roman" w:cs="Times New Roman" w:eastAsia="Times New Roman" w:hAnsi="Times New Roman"/>
          <w:sz w:val="20"/>
          <w:szCs w:val="20"/>
          <w:color w:val="auto"/>
        </w:rPr>
        <w:t>. The Company has furnished to the Holder, or publicly filed with the SEC, true, correct and complete copies of the Company’s Certificate of Incorporation, as amended and as in effect on the date hereof (the “</w:t>
      </w:r>
      <w:r>
        <w:rPr>
          <w:rFonts w:ascii="Times New Roman" w:cs="Times New Roman" w:eastAsia="Times New Roman" w:hAnsi="Times New Roman"/>
          <w:sz w:val="20"/>
          <w:szCs w:val="20"/>
          <w:b w:val="1"/>
          <w:bCs w:val="1"/>
          <w:color w:val="auto"/>
        </w:rPr>
        <w:t>Certificate of Incorporation</w:t>
      </w:r>
      <w:r>
        <w:rPr>
          <w:rFonts w:ascii="Times New Roman" w:cs="Times New Roman" w:eastAsia="Times New Roman" w:hAnsi="Times New Roman"/>
          <w:sz w:val="20"/>
          <w:szCs w:val="20"/>
          <w:color w:val="auto"/>
        </w:rPr>
        <w:t>”), and the Company’s Bylaws, as amended and as in effect on the date hereof (the “</w:t>
      </w:r>
      <w:r>
        <w:rPr>
          <w:rFonts w:ascii="Times New Roman" w:cs="Times New Roman" w:eastAsia="Times New Roman" w:hAnsi="Times New Roman"/>
          <w:sz w:val="20"/>
          <w:szCs w:val="20"/>
          <w:b w:val="1"/>
          <w:bCs w:val="1"/>
          <w:color w:val="auto"/>
        </w:rPr>
        <w:t>Bylaws</w:t>
      </w:r>
      <w:r>
        <w:rPr>
          <w:rFonts w:ascii="Times New Roman" w:cs="Times New Roman" w:eastAsia="Times New Roman" w:hAnsi="Times New Roman"/>
          <w:sz w:val="20"/>
          <w:szCs w:val="20"/>
          <w:color w:val="auto"/>
        </w:rPr>
        <w:t>”), and the terms of all Common Stock Equivalents and the material rights of the holders thereof in respect thereto.</w:t>
      </w:r>
    </w:p>
    <w:p>
      <w:pPr>
        <w:spacing w:after="0" w:line="179"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 Taxes</w:t>
      </w:r>
      <w:r>
        <w:rPr>
          <w:rFonts w:ascii="Times New Roman" w:cs="Times New Roman" w:eastAsia="Times New Roman" w:hAnsi="Times New Roman"/>
          <w:sz w:val="20"/>
          <w:szCs w:val="20"/>
          <w:color w:val="auto"/>
        </w:rPr>
        <w:t>. On the Effective Date, all share transfer or other taxes (other than income or similar taxes) which are required to be paid in connection with the issuance of the Securities to be issued to the Holder hereunder will be, or will have been, fully paid or provided for by the Company, and all laws imposing such taxes will be or will have been complied with.</w:t>
      </w:r>
    </w:p>
    <w:p>
      <w:pPr>
        <w:spacing w:after="0" w:line="174" w:lineRule="exact"/>
        <w:rPr>
          <w:rFonts w:ascii="Times New Roman" w:cs="Times New Roman" w:eastAsia="Times New Roman" w:hAnsi="Times New Roman"/>
          <w:sz w:val="20"/>
          <w:szCs w:val="20"/>
          <w:color w:val="auto"/>
        </w:rPr>
      </w:pPr>
    </w:p>
    <w:p>
      <w:pPr>
        <w:jc w:val="both"/>
        <w:ind w:firstLine="757"/>
        <w:spacing w:after="0"/>
        <w:tabs>
          <w:tab w:leader="none" w:pos="1018"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 Documents; Financial Statements</w:t>
      </w:r>
      <w:r>
        <w:rPr>
          <w:rFonts w:ascii="Times New Roman" w:cs="Times New Roman" w:eastAsia="Times New Roman" w:hAnsi="Times New Roman"/>
          <w:sz w:val="20"/>
          <w:szCs w:val="20"/>
          <w:color w:val="auto"/>
        </w:rPr>
        <w:t>. Except as previously disclosed in the Company’s public filings with the SEC, during the two (2) years prior to the date hereof, the Company has timely filed all reports, schedules, forms, proxy statements, statements and other documents required to be filed by it with the SEC pursuant to the reporting requirements of the 1934 Act (all of the foregoing filed prior to the date hereof and all exhibits and appendices included therein and financial statements, notes and schedules thereto and documents incorporated by reference therein being hereinafter referred to as the “</w:t>
      </w:r>
      <w:r>
        <w:rPr>
          <w:rFonts w:ascii="Times New Roman" w:cs="Times New Roman" w:eastAsia="Times New Roman" w:hAnsi="Times New Roman"/>
          <w:sz w:val="20"/>
          <w:szCs w:val="20"/>
          <w:b w:val="1"/>
          <w:bCs w:val="1"/>
          <w:color w:val="auto"/>
        </w:rPr>
        <w:t>SEC Documents</w:t>
      </w:r>
      <w:r>
        <w:rPr>
          <w:rFonts w:ascii="Times New Roman" w:cs="Times New Roman" w:eastAsia="Times New Roman" w:hAnsi="Times New Roman"/>
          <w:sz w:val="20"/>
          <w:szCs w:val="20"/>
          <w:color w:val="auto"/>
        </w:rPr>
        <w:t>”). The Company has delivered or has made available to the Holder or its representatives true, correct and complete copies of each of the SEC Documents requested by the Holder and not available on the EDGAR system. As of their respective dates, the SEC Documents complied in all material respects with the requirements of the 1934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the light of the circumstances under which they were made, not misleading. As of their respective dates, the financial statements of the Company included in the SEC Documents complied in all material respects with applicable accounting requirements and the published rules and regulations of the SEC with respect thereto as in effect as of the time of filing. Such financial statements have been prepared in accordance with generally accepted accounting principles (“</w:t>
      </w:r>
      <w:r>
        <w:rPr>
          <w:rFonts w:ascii="Times New Roman" w:cs="Times New Roman" w:eastAsia="Times New Roman" w:hAnsi="Times New Roman"/>
          <w:sz w:val="20"/>
          <w:szCs w:val="20"/>
          <w:b w:val="1"/>
          <w:bCs w:val="1"/>
          <w:color w:val="auto"/>
        </w:rPr>
        <w:t>GAAP</w:t>
      </w:r>
      <w:r>
        <w:rPr>
          <w:rFonts w:ascii="Times New Roman" w:cs="Times New Roman" w:eastAsia="Times New Roman" w:hAnsi="Times New Roman"/>
          <w:sz w:val="20"/>
          <w:szCs w:val="20"/>
          <w:color w:val="auto"/>
        </w:rPr>
        <w:t>”), consistently applied, during the periods involved (except (i) as may be otherwise indicated in such financial statements or the notes thereto, or (ii) in the case of unaudited interim statements, to the extent they may exclude footnotes or may be condensed or summary statements) and fairly present in all material respects the financial position of the Company as of the dates thereof and the results of its operations and cash flows for the periods then ended (subject, in the case of unaudited statements, to normal year-end audit adjustments which will not be material, either individually or in the aggregate). The reserves, if any, established by the Company or the lack of reserves, if applicable, are reasonable based upon facts and circumstances known by the Company on the date hereof and there are no loss contingencies that are required to be accrued by the Statement of Financial Accounting Standard No. 5 of the Financial Accounting Standards Board which are not provided for by the Company in its financial statements or otherwise. No other information provided by or on behalf of the Company to the Holder which is not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Annex 1 - 4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6" w:name="page47"/>
    <w:bookmarkEnd w:id="46"/>
    <w:p>
      <w:pPr>
        <w:jc w:val="both"/>
        <w:spacing w:after="0" w:line="243" w:lineRule="auto"/>
        <w:rPr>
          <w:sz w:val="20"/>
          <w:szCs w:val="20"/>
          <w:color w:val="auto"/>
        </w:rPr>
      </w:pPr>
      <w:r>
        <w:rPr>
          <w:rFonts w:ascii="Times New Roman" w:cs="Times New Roman" w:eastAsia="Times New Roman" w:hAnsi="Times New Roman"/>
          <w:sz w:val="20"/>
          <w:szCs w:val="20"/>
          <w:color w:val="auto"/>
        </w:rPr>
        <w:t>included in the SEC Documents contains any untrue statement of a material fact or omits to state any material fact necessary in order to make the statements therein not misleading, in the light of the circumstance under which they are or were made. The Company is not currently contemplating to amend or restate any of the financial statements (including, without limitation, any notes or any letter of the independent accountants of the Company with respect thereto) included in the SEC Documents (the “</w:t>
      </w:r>
      <w:r>
        <w:rPr>
          <w:rFonts w:ascii="Times New Roman" w:cs="Times New Roman" w:eastAsia="Times New Roman" w:hAnsi="Times New Roman"/>
          <w:sz w:val="20"/>
          <w:szCs w:val="20"/>
          <w:b w:val="1"/>
          <w:bCs w:val="1"/>
          <w:color w:val="auto"/>
        </w:rPr>
        <w:t>Financial Statements</w:t>
      </w:r>
      <w:r>
        <w:rPr>
          <w:rFonts w:ascii="Times New Roman" w:cs="Times New Roman" w:eastAsia="Times New Roman" w:hAnsi="Times New Roman"/>
          <w:sz w:val="20"/>
          <w:szCs w:val="20"/>
          <w:color w:val="auto"/>
        </w:rPr>
        <w:t>”), nor is the Company currently aware of facts or circumstances which would require the Company to amend or restate any of the Financial Statements, in each case, in order for any of the Financials Statements to be in compliance with GAAP and the rules and regulations of the SEC. The Company has not been informed by its independent accountants that they recommend that the Company amend or restate any of the Financial Statements or that there is any need for the Company to amend or restate any of the Financial Statements.</w:t>
      </w:r>
    </w:p>
    <w:p>
      <w:pPr>
        <w:spacing w:after="0" w:line="189" w:lineRule="exact"/>
        <w:rPr>
          <w:sz w:val="20"/>
          <w:szCs w:val="20"/>
          <w:color w:val="auto"/>
        </w:rPr>
      </w:pPr>
    </w:p>
    <w:p>
      <w:pPr>
        <w:jc w:val="both"/>
        <w:ind w:firstLine="757"/>
        <w:spacing w:after="0" w:line="249" w:lineRule="auto"/>
        <w:tabs>
          <w:tab w:leader="none" w:pos="1018"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Investment Company Status</w:t>
      </w:r>
      <w:r>
        <w:rPr>
          <w:rFonts w:ascii="Times New Roman" w:cs="Times New Roman" w:eastAsia="Times New Roman" w:hAnsi="Times New Roman"/>
          <w:sz w:val="20"/>
          <w:szCs w:val="20"/>
          <w:color w:val="auto"/>
        </w:rPr>
        <w:t>. The Company is not, and upon consummation of the Transaction will not be, an “investment company,” an affiliate of an “investment company,” a company controlled by an “investment company” or an “affiliated person” of, or “promoter” or “principal underwriter” for, an “investment company” as such terms are defined in the Investment Company Act of 1940, as amended.</w:t>
      </w:r>
    </w:p>
    <w:p>
      <w:pPr>
        <w:spacing w:after="0" w:line="179"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Disclosure</w:t>
      </w:r>
      <w:r>
        <w:rPr>
          <w:rFonts w:ascii="Times New Roman" w:cs="Times New Roman" w:eastAsia="Times New Roman" w:hAnsi="Times New Roman"/>
          <w:sz w:val="20"/>
          <w:szCs w:val="20"/>
          <w:color w:val="auto"/>
        </w:rPr>
        <w:t>. Other than as set forth in the 8-K Filing (as defined below), the Company confirms that neither it nor any other Person acting on its behalf has provided the Holder or its agents or counsel with any information that constitutes or could reasonably be expected to constitute material, nonpublic information. The Company understands and confirms that the Holder will rely on the foregoing representations in effecting transactions in the Securities.</w:t>
      </w:r>
    </w:p>
    <w:p>
      <w:pPr>
        <w:spacing w:after="0" w:line="18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(m)</w:t>
      </w:r>
      <w:r>
        <w:rPr>
          <w:rFonts w:ascii="Times New Roman" w:cs="Times New Roman" w:eastAsia="Times New Roman" w:hAnsi="Times New Roman"/>
          <w:sz w:val="20"/>
          <w:szCs w:val="20"/>
          <w:u w:val="single" w:color="auto"/>
          <w:color w:val="auto"/>
        </w:rPr>
        <w:t>No General Solicitation</w:t>
      </w:r>
      <w:r>
        <w:rPr>
          <w:rFonts w:ascii="Times New Roman" w:cs="Times New Roman" w:eastAsia="Times New Roman" w:hAnsi="Times New Roman"/>
          <w:sz w:val="20"/>
          <w:szCs w:val="20"/>
          <w:color w:val="auto"/>
        </w:rPr>
        <w:t>. Neither the Company nor any person acting on behalf of the Company has offered or issued any of the Warrant or Warrant Shares by any form of general solicitation or general advertising. The Company has offered the Warrant and Warrant Shares only to the Holder.</w:t>
      </w:r>
    </w:p>
    <w:p>
      <w:pPr>
        <w:spacing w:after="0" w:line="174" w:lineRule="exact"/>
        <w:rPr>
          <w:sz w:val="20"/>
          <w:szCs w:val="20"/>
          <w:color w:val="auto"/>
        </w:rPr>
      </w:pPr>
    </w:p>
    <w:p>
      <w:pPr>
        <w:ind w:left="880" w:hanging="440"/>
        <w:spacing w:after="0" w:line="269" w:lineRule="auto"/>
        <w:tabs>
          <w:tab w:leader="none" w:pos="88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 of the Holder</w:t>
      </w:r>
      <w:r>
        <w:rPr>
          <w:rFonts w:ascii="Times New Roman" w:cs="Times New Roman" w:eastAsia="Times New Roman" w:hAnsi="Times New Roman"/>
          <w:sz w:val="20"/>
          <w:szCs w:val="20"/>
          <w:color w:val="auto"/>
        </w:rPr>
        <w:t>. The Holder hereby represents and warrants to the Company as of the Effective Date as follows:</w:t>
      </w:r>
    </w:p>
    <w:p>
      <w:pPr>
        <w:spacing w:after="0" w:line="159" w:lineRule="exact"/>
        <w:rPr>
          <w:rFonts w:ascii="Times New Roman" w:cs="Times New Roman" w:eastAsia="Times New Roman" w:hAnsi="Times New Roman"/>
          <w:sz w:val="20"/>
          <w:szCs w:val="20"/>
          <w:color w:val="auto"/>
        </w:rPr>
      </w:pPr>
    </w:p>
    <w:p>
      <w:pPr>
        <w:jc w:val="both"/>
        <w:ind w:firstLine="1505"/>
        <w:spacing w:after="0" w:line="243" w:lineRule="auto"/>
        <w:tabs>
          <w:tab w:leader="none" w:pos="2036"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Authority; Enforceability</w:t>
      </w:r>
      <w:r>
        <w:rPr>
          <w:rFonts w:ascii="Times New Roman" w:cs="Times New Roman" w:eastAsia="Times New Roman" w:hAnsi="Times New Roman"/>
          <w:sz w:val="20"/>
          <w:szCs w:val="20"/>
          <w:color w:val="auto"/>
        </w:rPr>
        <w:t>. The Holder is an entity duly organized, validly existing and in good standing under the laws of the jurisdiction of its organization. The Holder has all requisite power and authority to enter into and to perform its obligations under the Transaction Documents, to consummate the transactions contemplated hereby and thereby. The execution, delivery and performance of this Agreement by the Holder and the consummation by it of the transactions contemplated hereby have been duly authorized by the Holder and no further consent or authorization of the Holder is required. This Agreement has been duly executed and delivered by the Holder and constitutes a legal, valid and binding obligation of the Holder enforceable against the Holder in accordance with its terms, except as enforceability may be limited by applicable bankruptcy, insolvency, reorganization, or moratorium or similar laws affecting creditors’ and contracting parties’ rights generally and except as enforceability may be subject to general principles of equity.</w:t>
      </w:r>
    </w:p>
    <w:p>
      <w:pPr>
        <w:spacing w:after="0" w:line="189" w:lineRule="exact"/>
        <w:rPr>
          <w:rFonts w:ascii="Times New Roman" w:cs="Times New Roman" w:eastAsia="Times New Roman" w:hAnsi="Times New Roman"/>
          <w:sz w:val="20"/>
          <w:szCs w:val="20"/>
          <w:color w:val="auto"/>
        </w:rPr>
      </w:pPr>
    </w:p>
    <w:p>
      <w:pPr>
        <w:jc w:val="both"/>
        <w:ind w:firstLine="1505"/>
        <w:spacing w:after="0" w:line="244" w:lineRule="auto"/>
        <w:tabs>
          <w:tab w:leader="none" w:pos="2036"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Conflict</w:t>
      </w:r>
      <w:r>
        <w:rPr>
          <w:rFonts w:ascii="Times New Roman" w:cs="Times New Roman" w:eastAsia="Times New Roman" w:hAnsi="Times New Roman"/>
          <w:sz w:val="20"/>
          <w:szCs w:val="20"/>
          <w:color w:val="auto"/>
        </w:rPr>
        <w:t>. The execution, delivery and performance of this Agreement by the Holder and the consummation by the Holder of the transactions contemplated hereby will not (i) conflict with or result in a violation of any provision of its organizational documents, (ii) violate or conflict with, or result in a breach of any provision of, or constitute a default under, or give rise to any right of termination or acceleration under, or constitute a change of control under, any agreement, indenture, or instrument to which the Holder or its subsidiaries is a party or it or any of its subsidiaries is bound, or (iii) result in a violation of any law, rule, regulation, order, judgment or decree applicable to the Holder or its subsidiaries is a party or it or any of its subsidiaries is bound, except in the case of clauses (ii) and (iii) only, for such</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Annex 1 - 5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7" w:name="page48"/>
    <w:bookmarkEnd w:id="47"/>
    <w:p>
      <w:pPr>
        <w:spacing w:after="0" w:line="269" w:lineRule="auto"/>
        <w:rPr>
          <w:sz w:val="20"/>
          <w:szCs w:val="20"/>
          <w:color w:val="auto"/>
        </w:rPr>
      </w:pPr>
      <w:r>
        <w:rPr>
          <w:rFonts w:ascii="Times New Roman" w:cs="Times New Roman" w:eastAsia="Times New Roman" w:hAnsi="Times New Roman"/>
          <w:sz w:val="20"/>
          <w:szCs w:val="20"/>
          <w:color w:val="auto"/>
        </w:rPr>
        <w:t>conflicts, breaches, defaults, and violations as would not reasonably be expected to have, individually or in the aggregate, a material adverse effect on the ability of the Holder to perform any material obligations pursuant to this Agreement.</w:t>
      </w:r>
    </w:p>
    <w:p>
      <w:pPr>
        <w:spacing w:after="0" w:line="159" w:lineRule="exact"/>
        <w:rPr>
          <w:sz w:val="20"/>
          <w:szCs w:val="20"/>
          <w:color w:val="auto"/>
        </w:rPr>
      </w:pPr>
    </w:p>
    <w:p>
      <w:pPr>
        <w:jc w:val="both"/>
        <w:ind w:firstLine="1505"/>
        <w:spacing w:after="0" w:line="243" w:lineRule="auto"/>
        <w:tabs>
          <w:tab w:leader="none" w:pos="2036"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Public Sale of Distribution</w:t>
      </w:r>
      <w:r>
        <w:rPr>
          <w:rFonts w:ascii="Times New Roman" w:cs="Times New Roman" w:eastAsia="Times New Roman" w:hAnsi="Times New Roman"/>
          <w:sz w:val="20"/>
          <w:szCs w:val="20"/>
          <w:color w:val="auto"/>
        </w:rPr>
        <w:t>. The Holder understands that the Warrant is a “restricted security” and has not been registered under the 1933 Act or any applicable state securities law and the Holder is acquiring the Warrant as principal for its own account and not with a view towards, or for resale in connection with, the public sale or distribution thereof in violation of applicable securities laws, except pursuant to sales registered or exempted under the 1933 Act; provided, however, by making the representations herein, the Holder does not agree, or make any representation or warranty, to hold any of the Securities for any minimum or other specific term and reserves the right to dispose of the Securities at any time in accordance with or pursuant to a registration statement or an exemption from registration under the 1933 Act. The Holder does not presently have any agreement or understanding, directly or indirectly, with any Person to distribute any of the Securities in violation of applicable securities laws. The Holder has no present intent to effect a “change of control” of the Company as such term is understood under the rules promulgated pursuant to Section 13(d) of the Exchange Act.</w:t>
      </w:r>
    </w:p>
    <w:p>
      <w:pPr>
        <w:spacing w:after="0" w:line="185" w:lineRule="exact"/>
        <w:rPr>
          <w:rFonts w:ascii="Times New Roman" w:cs="Times New Roman" w:eastAsia="Times New Roman" w:hAnsi="Times New Roman"/>
          <w:sz w:val="20"/>
          <w:szCs w:val="20"/>
          <w:color w:val="auto"/>
        </w:rPr>
      </w:pPr>
    </w:p>
    <w:p>
      <w:pPr>
        <w:jc w:val="both"/>
        <w:ind w:firstLine="1505"/>
        <w:spacing w:after="0" w:line="246" w:lineRule="auto"/>
        <w:tabs>
          <w:tab w:leader="none" w:pos="2036"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Accredited Investor Status</w:t>
      </w:r>
      <w:r>
        <w:rPr>
          <w:rFonts w:ascii="Times New Roman" w:cs="Times New Roman" w:eastAsia="Times New Roman" w:hAnsi="Times New Roman"/>
          <w:sz w:val="20"/>
          <w:szCs w:val="20"/>
          <w:color w:val="auto"/>
        </w:rPr>
        <w:t>. The Holder is (a) either an “accredited investor” as that term is defined in Rule 501(a) of Regulation D or a “qualified institutional buyer” as defined in Rule 144A(a) under the 1933 Act, (b) an “Institutional Account” as defined in FINRA Rule 4512(c) and (c) a sophisticated institutional investor, experienced in investing in private equity transactions and capable of evaluating investment risks independently, both in general and with regard to all transactions and investment strategies involving a security or securities, including the Holder’s participation in the transactions contemplated by this Agreement.</w:t>
      </w:r>
    </w:p>
    <w:p>
      <w:pPr>
        <w:spacing w:after="0" w:line="184" w:lineRule="exact"/>
        <w:rPr>
          <w:rFonts w:ascii="Times New Roman" w:cs="Times New Roman" w:eastAsia="Times New Roman" w:hAnsi="Times New Roman"/>
          <w:sz w:val="20"/>
          <w:szCs w:val="20"/>
          <w:color w:val="auto"/>
        </w:rPr>
      </w:pPr>
    </w:p>
    <w:p>
      <w:pPr>
        <w:jc w:val="both"/>
        <w:ind w:firstLine="1505"/>
        <w:spacing w:after="0" w:line="245" w:lineRule="auto"/>
        <w:tabs>
          <w:tab w:leader="none" w:pos="2036"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Reliance on Exemptions</w:t>
      </w:r>
      <w:r>
        <w:rPr>
          <w:rFonts w:ascii="Times New Roman" w:cs="Times New Roman" w:eastAsia="Times New Roman" w:hAnsi="Times New Roman"/>
          <w:sz w:val="20"/>
          <w:szCs w:val="20"/>
          <w:color w:val="auto"/>
        </w:rPr>
        <w:t>. The Holder understands that the Securities are being offered and issued to it in reliance on specific exemptions from the registration requirements of United States federal and state securities laws and that the Company is relying in part upon the truth and accuracy of, and the Holder’s compliance with, the representations, warranties, agreements, acknowledgments and understandings of the Holder set forth herein in order to determine the availability of such exemptions and the eligibility of the Holder to acquire the Securities. The Holder further acknowledges and understands that the Securities may not be resold or otherwise transferred except in a transaction registered under the 1933 Act or unless an exemption from such registration is available.</w:t>
      </w:r>
    </w:p>
    <w:p>
      <w:pPr>
        <w:spacing w:after="0" w:line="184" w:lineRule="exact"/>
        <w:rPr>
          <w:rFonts w:ascii="Times New Roman" w:cs="Times New Roman" w:eastAsia="Times New Roman" w:hAnsi="Times New Roman"/>
          <w:sz w:val="20"/>
          <w:szCs w:val="20"/>
          <w:color w:val="auto"/>
        </w:rPr>
      </w:pPr>
    </w:p>
    <w:p>
      <w:pPr>
        <w:jc w:val="both"/>
        <w:ind w:firstLine="1505"/>
        <w:spacing w:after="0" w:line="242" w:lineRule="auto"/>
        <w:tabs>
          <w:tab w:leader="none" w:pos="2036"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The Holder and its advisors, if any, have been furnished with all materials relating to the business, finances and operations of the Company and materials relating to the offer and sale of the Securities that have been requested by the Holder and that are sufficient to enable the Holder to evaluate its investment. The Holder and its advisors, if any, have been afforded the opportunity to ask questions of the Company regarding its investment and have been provided access to information about the Company and its financial condition, results of operations, business, properties, management and prospects sufficient to enable it to evaluate its investment. Neither such inquiries nor any other due diligence investigations conducted by the Holder or its advisors, if any, or its representatives shall modify, amend or affect the Holder’s right to rely on the Company’s representations and warranties contained herein. The Holder understands that its investment in the Securities involves a high degree of risk. The Holder has sought such accounting, legal and tax advice as it has considered necessary to make an informed investment decision with respect to its acquisition of the Securities. The Holder acknowledges and agrees that the Company does not make and has not made any representations or warranties with respect to the transactions contemplated hereby other than those specifically set forth in Section 1 of this Annex 1.</w:t>
      </w:r>
    </w:p>
    <w:p>
      <w:pPr>
        <w:spacing w:after="0" w:line="189" w:lineRule="exact"/>
        <w:rPr>
          <w:rFonts w:ascii="Times New Roman" w:cs="Times New Roman" w:eastAsia="Times New Roman" w:hAnsi="Times New Roman"/>
          <w:sz w:val="20"/>
          <w:szCs w:val="20"/>
          <w:color w:val="auto"/>
        </w:rPr>
      </w:pPr>
    </w:p>
    <w:p>
      <w:pPr>
        <w:ind w:firstLine="1505"/>
        <w:spacing w:after="0" w:line="269" w:lineRule="auto"/>
        <w:tabs>
          <w:tab w:leader="none" w:pos="2036"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 or Resale</w:t>
      </w:r>
      <w:r>
        <w:rPr>
          <w:rFonts w:ascii="Times New Roman" w:cs="Times New Roman" w:eastAsia="Times New Roman" w:hAnsi="Times New Roman"/>
          <w:sz w:val="20"/>
          <w:szCs w:val="20"/>
          <w:color w:val="auto"/>
        </w:rPr>
        <w:t>. The Holder understands that: (i) the Securities have not been and are not being registered under the 1933 Act or any state securities laws, and may not be offered for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Annex 1 - 6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8" w:name="page49"/>
    <w:bookmarkEnd w:id="48"/>
    <w:p>
      <w:pPr>
        <w:jc w:val="both"/>
        <w:spacing w:after="0" w:line="241" w:lineRule="auto"/>
        <w:rPr>
          <w:sz w:val="20"/>
          <w:szCs w:val="20"/>
          <w:color w:val="auto"/>
        </w:rPr>
      </w:pPr>
      <w:r>
        <w:rPr>
          <w:rFonts w:ascii="Times New Roman" w:cs="Times New Roman" w:eastAsia="Times New Roman" w:hAnsi="Times New Roman"/>
          <w:sz w:val="20"/>
          <w:szCs w:val="20"/>
          <w:color w:val="auto"/>
        </w:rPr>
        <w:t>sale, sold, assigned or transferred unless (A) subsequently registered thereunder, or (B) the Holder shall have delivered to the Company (if requested by the Company) an opinion of counsel, in a form reasonably acceptable to the Company, to the effect that such Securities to be sold, assigned or transferred may be sold, assigned or transferred pursuant to an exemption from such registration, or (C) the Holder provides the Company with reasonable assurance that such Securities can be sold, assigned or transferred pursuant to Rule 144 or Rule 144A promulgated under the 1933 Act (or a successor rule thereto) (collectively, “</w:t>
      </w:r>
      <w:r>
        <w:rPr>
          <w:rFonts w:ascii="Times New Roman" w:cs="Times New Roman" w:eastAsia="Times New Roman" w:hAnsi="Times New Roman"/>
          <w:sz w:val="20"/>
          <w:szCs w:val="20"/>
          <w:b w:val="1"/>
          <w:bCs w:val="1"/>
          <w:color w:val="auto"/>
        </w:rPr>
        <w:t>Rule 144</w:t>
      </w:r>
      <w:r>
        <w:rPr>
          <w:rFonts w:ascii="Times New Roman" w:cs="Times New Roman" w:eastAsia="Times New Roman" w:hAnsi="Times New Roman"/>
          <w:sz w:val="20"/>
          <w:szCs w:val="20"/>
          <w:color w:val="auto"/>
        </w:rPr>
        <w:t>”); (ii) any sale of the Securities made in reliance on Rule 144 may be made only in accordance with the terms of Rule 144, and further, if Rule 144 is not applicable, any resale of the Securities under circumstances in which the seller (or the Person through whom the sale is made) may be deemed to be an underwriter (as that term is defined in the 1933 Act) may require compliance with some other exemption under the 1933 Act or the rules and regulations of the SEC promulgated thereunder; and (iii) except as provided for in this Agreement, neither the Company nor any other Person is under any obligation to register the Warrant under the 1933 Act or any state securities laws or to comply with the terms and conditions of any exemption thereunder. Notwithstanding the foregoing, the Securities may be pledged in connection with a bona fide margin account or other loan or financing arrangement secured by the Securities and such pledge of Securities shall not be deemed to be a transfer, sale or assignment of the Securities hereunder, and no Holder effecting a pledge of Securities shall be required to provide the Company with any notice thereof or otherwise make any delivery to the Company pursuant to this Agreement or any other Transaction Document, including, without limitation, this Section 2(g) in connection with effecting such pledge.</w:t>
      </w:r>
    </w:p>
    <w:p>
      <w:pPr>
        <w:spacing w:after="0" w:line="194" w:lineRule="exact"/>
        <w:rPr>
          <w:sz w:val="20"/>
          <w:szCs w:val="20"/>
          <w:color w:val="auto"/>
        </w:rPr>
      </w:pPr>
    </w:p>
    <w:p>
      <w:pPr>
        <w:jc w:val="both"/>
        <w:ind w:firstLine="1505"/>
        <w:spacing w:after="0" w:line="254" w:lineRule="auto"/>
        <w:tabs>
          <w:tab w:leader="none" w:pos="2036"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Governmental Review</w:t>
      </w:r>
      <w:r>
        <w:rPr>
          <w:rFonts w:ascii="Times New Roman" w:cs="Times New Roman" w:eastAsia="Times New Roman" w:hAnsi="Times New Roman"/>
          <w:sz w:val="20"/>
          <w:szCs w:val="20"/>
          <w:color w:val="auto"/>
        </w:rPr>
        <w:t>. The Holder understands that no United States federal or state agency or any other government or governmental agency has passed on or made any recommendation or endorsement of the Securities or the fairness or suitability of the investment in the Securities nor have such authorities passed upon or endorsed the merits of the offering of the Securities.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Annex 1 - 7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20"/>
          <w:szCs w:val="20"/>
          <w:b w:val="1"/>
          <w:bCs w:val="1"/>
          <w:color w:val="auto"/>
        </w:rPr>
        <w:t>Annex 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Additional Covenants</w:t>
      </w:r>
    </w:p>
    <w:p>
      <w:pPr>
        <w:spacing w:after="0" w:line="220" w:lineRule="exact"/>
        <w:rPr>
          <w:sz w:val="20"/>
          <w:szCs w:val="20"/>
          <w:color w:val="auto"/>
        </w:rPr>
      </w:pPr>
    </w:p>
    <w:p>
      <w:pPr>
        <w:jc w:val="both"/>
        <w:ind w:firstLine="757"/>
        <w:spacing w:after="0" w:line="243" w:lineRule="auto"/>
        <w:tabs>
          <w:tab w:leader="none" w:pos="1018"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Blue Sky</w:t>
      </w:r>
      <w:r>
        <w:rPr>
          <w:rFonts w:ascii="Times New Roman" w:cs="Times New Roman" w:eastAsia="Times New Roman" w:hAnsi="Times New Roman"/>
          <w:sz w:val="20"/>
          <w:szCs w:val="20"/>
          <w:color w:val="auto"/>
        </w:rPr>
        <w:t>. The Company shall, on or before the Effective Date, take such action as the Company shall reasonably determine is necessary in order to obtain an exemption for, or to, qualify the Securities for issuance to the Holder pursuant to this Agreement under applicable securities or “Blue Sky” laws of the states of the United States (or to obtain an exemption from such qualification), and shall provide evidence of any such action so taken to the Holder on or prior to the Effective Date. Without limiting any other obligation of the Company under this Agreement, the Company shall timely make all filings and reports relating to the offer and sale of the Securities required under all applicable securities laws (including, without limitation, all applicable federal securities laws and all applicable “Blue Sky” laws), and the Company shall comply with all applicable foreign, federal, state and local laws, statutes, rules, regulations and the like relating to the offering and sale of the Securities to the Holder.</w:t>
      </w:r>
    </w:p>
    <w:p>
      <w:pPr>
        <w:spacing w:after="0" w:line="185" w:lineRule="exact"/>
        <w:rPr>
          <w:rFonts w:ascii="Times New Roman" w:cs="Times New Roman" w:eastAsia="Times New Roman" w:hAnsi="Times New Roman"/>
          <w:sz w:val="20"/>
          <w:szCs w:val="20"/>
          <w:color w:val="auto"/>
        </w:rPr>
      </w:pPr>
    </w:p>
    <w:p>
      <w:pPr>
        <w:jc w:val="both"/>
        <w:ind w:firstLine="757"/>
        <w:spacing w:after="0" w:line="247" w:lineRule="auto"/>
        <w:tabs>
          <w:tab w:leader="none" w:pos="1018"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Reporting Status</w:t>
      </w:r>
      <w:r>
        <w:rPr>
          <w:rFonts w:ascii="Times New Roman" w:cs="Times New Roman" w:eastAsia="Times New Roman" w:hAnsi="Times New Roman"/>
          <w:sz w:val="20"/>
          <w:szCs w:val="20"/>
          <w:color w:val="auto"/>
        </w:rPr>
        <w:t>. Until the date on which the Holder shall have sold all of the Warrant Shares (the “</w:t>
      </w:r>
      <w:r>
        <w:rPr>
          <w:rFonts w:ascii="Times New Roman" w:cs="Times New Roman" w:eastAsia="Times New Roman" w:hAnsi="Times New Roman"/>
          <w:sz w:val="20"/>
          <w:szCs w:val="20"/>
          <w:b w:val="1"/>
          <w:bCs w:val="1"/>
          <w:color w:val="auto"/>
        </w:rPr>
        <w:t>Reporting Period</w:t>
      </w:r>
      <w:r>
        <w:rPr>
          <w:rFonts w:ascii="Times New Roman" w:cs="Times New Roman" w:eastAsia="Times New Roman" w:hAnsi="Times New Roman"/>
          <w:sz w:val="20"/>
          <w:szCs w:val="20"/>
          <w:color w:val="auto"/>
        </w:rPr>
        <w:t>”), the Company shall timely file all reports required to be filed with the SEC pursuant to the Securities Exchange Act of 1934, as amended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and, other than as a result of a Fundamental Transaction (as defined in the Warrant) the Company shall not terminate its status as an issuer required to file reports under the Exchange Act even if the Exchange Act or the rules and regulations thereunder would no longer require or otherwise permit such termination.</w:t>
      </w:r>
    </w:p>
    <w:p>
      <w:pPr>
        <w:spacing w:after="0" w:line="184"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Financial Information</w:t>
      </w:r>
      <w:r>
        <w:rPr>
          <w:rFonts w:ascii="Times New Roman" w:cs="Times New Roman" w:eastAsia="Times New Roman" w:hAnsi="Times New Roman"/>
          <w:sz w:val="20"/>
          <w:szCs w:val="20"/>
          <w:color w:val="auto"/>
        </w:rPr>
        <w:t>. The Company agrees to send the following to the Holder during the Reporting Period (i) unless the following are filed with the SEC through EDGAR and are available to the public through the EDGAR system, within one (1) Business Day after the filing thereof with the SEC, a copy of its Annual Reports on Form 10-K and Quarterly Reports on Form 10-Q, any interim reports or any consolidated balance sheets, income statements, stockholders’ equity statements and/or cash flow statements for any period other than annual, any Current Reports on Form 8-K and any registration statements (other than on Form S-8) or amendments filed pursuant to the 1933 Act, (ii) unless the following are either filed with the SEC through EDGAR or are otherwise widely disseminated via a recognized news release service (such as PR Newswire), on the same day as the release thereof, e-mail copies of all press releases issued by the Company or any of its Subsidiaries and (iii) unless the following are filed with the SEC through EDGAR, copies of any notices and other information made available or given to the stockholders of the Company generally, contemporaneously with the making available or giving thereof to the stockholders.</w:t>
      </w:r>
    </w:p>
    <w:p>
      <w:pPr>
        <w:spacing w:after="0" w:line="192" w:lineRule="exact"/>
        <w:rPr>
          <w:rFonts w:ascii="Times New Roman" w:cs="Times New Roman" w:eastAsia="Times New Roman" w:hAnsi="Times New Roman"/>
          <w:sz w:val="20"/>
          <w:szCs w:val="20"/>
          <w:color w:val="auto"/>
        </w:rPr>
      </w:pPr>
    </w:p>
    <w:p>
      <w:pPr>
        <w:jc w:val="both"/>
        <w:ind w:firstLine="757"/>
        <w:spacing w:after="0" w:line="243" w:lineRule="auto"/>
        <w:tabs>
          <w:tab w:leader="none" w:pos="1018"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Listing</w:t>
      </w:r>
      <w:r>
        <w:rPr>
          <w:rFonts w:ascii="Times New Roman" w:cs="Times New Roman" w:eastAsia="Times New Roman" w:hAnsi="Times New Roman"/>
          <w:sz w:val="20"/>
          <w:szCs w:val="20"/>
          <w:color w:val="auto"/>
        </w:rPr>
        <w:t>. The Company shall promptly secure the listing or designation for quotation (as the case may be) of all of the Warrant Shares upon each national securities exchange and automated quotation system, if any, upon which the shares of Common Stock are then listed or designated for quotation (as the case may be) (subject to official notice of issuance) and shall maintain such listing or designation for quotation (as the case may be) of all the Warrant Shares from time to time issuable under the terms of the Transaction Documents on such national securities exchange or automated quotation system. The Company shall maintain the shares of Common Stock’ listing or authorization for quotation (as the case may be) on the Principal Market, the New York Stock Exchange, the NYSE American, the Nasdaq Global Select Market or the Nasdaq Global Market (each, an “</w:t>
      </w:r>
      <w:r>
        <w:rPr>
          <w:rFonts w:ascii="Times New Roman" w:cs="Times New Roman" w:eastAsia="Times New Roman" w:hAnsi="Times New Roman"/>
          <w:sz w:val="20"/>
          <w:szCs w:val="20"/>
          <w:b w:val="1"/>
          <w:bCs w:val="1"/>
          <w:color w:val="auto"/>
        </w:rPr>
        <w:t>Eligible Market</w:t>
      </w:r>
      <w:r>
        <w:rPr>
          <w:rFonts w:ascii="Times New Roman" w:cs="Times New Roman" w:eastAsia="Times New Roman" w:hAnsi="Times New Roman"/>
          <w:sz w:val="20"/>
          <w:szCs w:val="20"/>
          <w:color w:val="auto"/>
        </w:rPr>
        <w:t>”). Neither the Company nor any of its Subsidiaries shall take any action which could be reasonably expected to result in the delisting or suspension of the shares of Common Stock on an Eligible Market. The Company shall pay all fees and expenses in connection with satisfying its obligations under this Clause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50" w:name="page51"/>
    <w:bookmarkEnd w:id="50"/>
    <w:p>
      <w:pPr>
        <w:jc w:val="both"/>
        <w:ind w:left="-757" w:firstLine="757"/>
        <w:spacing w:after="0" w:line="254" w:lineRule="auto"/>
        <w:tabs>
          <w:tab w:leader="none" w:pos="261"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 The Company shall, on the date of this Agreement, reimburse the Holder’s documented and out-of-pocket legal costs and expenses incurred in connection with the drafting and negotiation of this Agreement and the Warrant, as well as the sale of the Securities to the Holder.</w:t>
      </w:r>
    </w:p>
    <w:p>
      <w:pPr>
        <w:spacing w:after="0" w:line="174" w:lineRule="exact"/>
        <w:rPr>
          <w:rFonts w:ascii="Times New Roman" w:cs="Times New Roman" w:eastAsia="Times New Roman" w:hAnsi="Times New Roman"/>
          <w:sz w:val="20"/>
          <w:szCs w:val="20"/>
          <w:color w:val="auto"/>
        </w:rPr>
      </w:pPr>
    </w:p>
    <w:p>
      <w:pPr>
        <w:jc w:val="both"/>
        <w:ind w:left="-757" w:firstLine="757"/>
        <w:spacing w:after="0" w:line="243" w:lineRule="auto"/>
        <w:tabs>
          <w:tab w:leader="none" w:pos="261"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Pledge of Securities</w:t>
      </w:r>
      <w:r>
        <w:rPr>
          <w:rFonts w:ascii="Times New Roman" w:cs="Times New Roman" w:eastAsia="Times New Roman" w:hAnsi="Times New Roman"/>
          <w:sz w:val="20"/>
          <w:szCs w:val="20"/>
          <w:color w:val="auto"/>
        </w:rPr>
        <w:t>. Notwithstanding anything to the contrary contained in this Agreement, the Company acknowledges and agrees that the Securities may be pledged by the Holder in connection with a bona fide margin agreement or other loan or financing arrangement that is secured by the Securities. The pledge of Securities shall not be deemed to be a transfer, sale or assignment of the Securities hereunder, and the Holder effecting a pledge of Securities shall be required to provide the Company with any notice thereof or otherwise make any delivery to the Company pursuant to this Agreement or the Warrant, including, without limitation, the representation of the Holder in Section 2(g) of Annex 1 hereof (the “</w:t>
      </w:r>
      <w:r>
        <w:rPr>
          <w:rFonts w:ascii="Times New Roman" w:cs="Times New Roman" w:eastAsia="Times New Roman" w:hAnsi="Times New Roman"/>
          <w:sz w:val="20"/>
          <w:szCs w:val="20"/>
          <w:b w:val="1"/>
          <w:bCs w:val="1"/>
          <w:color w:val="auto"/>
        </w:rPr>
        <w:t>Holder Transfer Representation</w:t>
      </w:r>
      <w:r>
        <w:rPr>
          <w:rFonts w:ascii="Times New Roman" w:cs="Times New Roman" w:eastAsia="Times New Roman" w:hAnsi="Times New Roman"/>
          <w:sz w:val="20"/>
          <w:szCs w:val="20"/>
          <w:color w:val="auto"/>
        </w:rPr>
        <w:t>”); provided that the Holder and its pledgee shall be required to comply with the provisions of the Holder Transfer Representation hereof in order to effect a sale, transfer or assignment of Securities to such pledgee. The Company hereby agrees to execute and deliver such documentation as a pledgee of the Securities may reasonably request in connection with a pledge of the Securities to such pledgee by the Holder.</w:t>
      </w:r>
    </w:p>
    <w:p>
      <w:pPr>
        <w:spacing w:after="0" w:line="185" w:lineRule="exact"/>
        <w:rPr>
          <w:rFonts w:ascii="Times New Roman" w:cs="Times New Roman" w:eastAsia="Times New Roman" w:hAnsi="Times New Roman"/>
          <w:sz w:val="20"/>
          <w:szCs w:val="20"/>
          <w:color w:val="auto"/>
        </w:rPr>
      </w:pPr>
    </w:p>
    <w:p>
      <w:pPr>
        <w:jc w:val="both"/>
        <w:ind w:left="-757" w:firstLine="757"/>
        <w:spacing w:after="0" w:line="253" w:lineRule="auto"/>
        <w:tabs>
          <w:tab w:leader="none" w:pos="261"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Disclosure of Transaction and Other Material Information</w:t>
      </w:r>
      <w:r>
        <w:rPr>
          <w:rFonts w:ascii="Times New Roman" w:cs="Times New Roman" w:eastAsia="Times New Roman" w:hAnsi="Times New Roman"/>
          <w:sz w:val="19"/>
          <w:szCs w:val="19"/>
          <w:color w:val="auto"/>
        </w:rPr>
        <w:t>. The Company shall, on or before 9:30 a.m., New York time, on the date that is four business days following the Effective Date, file a Current Report on Form 8-K describing all the material terms of the transactions contemplated by the Transaction Documents in the form required by the Exchange Act and attaching all the material Transaction Documents (including, without limitation, this Agreement and the form of the Warrant) (including all attachments, the “</w:t>
      </w:r>
      <w:r>
        <w:rPr>
          <w:rFonts w:ascii="Times New Roman" w:cs="Times New Roman" w:eastAsia="Times New Roman" w:hAnsi="Times New Roman"/>
          <w:sz w:val="19"/>
          <w:szCs w:val="19"/>
          <w:b w:val="1"/>
          <w:bCs w:val="1"/>
          <w:color w:val="auto"/>
        </w:rPr>
        <w:t>8-K Filing</w:t>
      </w:r>
      <w:r>
        <w:rPr>
          <w:rFonts w:ascii="Times New Roman" w:cs="Times New Roman" w:eastAsia="Times New Roman" w:hAnsi="Times New Roman"/>
          <w:sz w:val="19"/>
          <w:szCs w:val="19"/>
          <w:color w:val="auto"/>
        </w:rPr>
        <w:t>”). From and after the filing of the 8-K Filing, the Company shall have disclosed all material, non-public information (if any) provided to any of the Holder by the Company or any of its Subsidiaries or any of their respective officers, directors, employees or agents in connection with the transactions contemplated by the Transaction Documents. In addition, effective upon the filing of the 8-K Filing, the Company acknowledges and agrees that any and all confidentiality or similar obligations under any agreement, whether written or oral, between the Company, any of its Subsidiaries or any of their respective officers, directors, affiliates, employees or agents, on the one hand, and any of the Holder or any of their affiliates, on the other hand, shall terminate. The Company shall not, and the Company shall cause each of its Subsidiaries and each of its and their respective officers, directors, employees and agents not to, provide the Holder with any material, non-public information regarding the Company or any of its Subsidiaries from and after the date hereof without the express prior written consent of the Holder (which may be granted or withheld in the Holder’s sole discretion). In the event of a breach of any of the foregoing covenants, or any of the covenants or agreements contained in any other Transaction Document, by the Company, any of its Subsidiaries, or any of its or their respective officers, directors, employees and agents (as determined in the reasonable good faith judgment of the Holder), in addition to any other remedy provided herein or in the Transaction Documents, the Holder shall have the right to make a public disclosure, in the form of a press release, public advertisement or otherwise, of such breach or such material, non-public information, as applicable, without the prior approval by the Company, any of its Subsidiaries, or any of its or their respective officers, directors, employees or agents. The Holder shall not have any liability to the Company, any of its Subsidiaries, or any of its or their respective officers, directors, employees, affiliates, shareholder or agents, for any such disclosure. To the extent that the Company delivers any material, non-public information to the Holder without the Holder’s consent, the Company hereby covenants and agrees that the Holder shall not have any duty of confidentiality with respect to, or a duty not to trade on the basis of, such material, non-public information. Without the prior written consent of the Holder (which may be granted or withheld in the Holder’s sole discretion), the Company shall not (and shall cause each of its Subsidiaries and affiliates to not) disclose the name of the Holder in any filing, announcement, release or otherwise, unless required by applicable law or regulations. Notwithstanding anything contained in this Agreement to the contrary and without implication that the contrary would otherwise be true, the Company expressly acknowledges and agrees that the Holder shall not have (unless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1163320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3" w:right="339" w:bottom="1440" w:gutter="0" w:footer="0" w:header="0"/>
        </w:sectPr>
      </w:pPr>
    </w:p>
    <w:bookmarkStart w:id="51" w:name="page52"/>
    <w:bookmarkEnd w:id="51"/>
    <w:p>
      <w:pPr>
        <w:jc w:val="both"/>
        <w:spacing w:after="0" w:line="254" w:lineRule="auto"/>
        <w:rPr>
          <w:sz w:val="20"/>
          <w:szCs w:val="20"/>
          <w:color w:val="auto"/>
        </w:rPr>
      </w:pPr>
      <w:r>
        <w:rPr>
          <w:rFonts w:ascii="Times New Roman" w:cs="Times New Roman" w:eastAsia="Times New Roman" w:hAnsi="Times New Roman"/>
          <w:sz w:val="20"/>
          <w:szCs w:val="20"/>
          <w:color w:val="auto"/>
        </w:rPr>
        <w:t>expressly agreed to by a the Holder after the date hereof in a written definitive and binding agreement executed by the Company and the Holder), any duty of confidentiality with respect to, or a duty not to trade on the basis of, any material, non-public information regarding the Company or any of its Subsidiaries.</w:t>
      </w:r>
    </w:p>
    <w:p>
      <w:pPr>
        <w:spacing w:after="0" w:line="174" w:lineRule="exact"/>
        <w:rPr>
          <w:sz w:val="20"/>
          <w:szCs w:val="20"/>
          <w:color w:val="auto"/>
        </w:rPr>
      </w:pPr>
    </w:p>
    <w:p>
      <w:pPr>
        <w:jc w:val="both"/>
        <w:ind w:firstLine="757"/>
        <w:spacing w:after="0" w:line="242" w:lineRule="auto"/>
        <w:tabs>
          <w:tab w:leader="none" w:pos="1018"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Reservation of Shares</w:t>
      </w:r>
      <w:r>
        <w:rPr>
          <w:rFonts w:ascii="Times New Roman" w:cs="Times New Roman" w:eastAsia="Times New Roman" w:hAnsi="Times New Roman"/>
          <w:sz w:val="20"/>
          <w:szCs w:val="20"/>
          <w:color w:val="auto"/>
        </w:rPr>
        <w:t>. So long as the Warrant remains outstanding, the Company shall take all action necessary to at all times have authorized, and reserved for the purpose of issuance, no less than 100% of the maximum number of Warrant Shares issuable upon exercise of the Warrant (without regard to any limitations on the exercise of the Warrant set forth therein) (collectively, the “</w:t>
      </w:r>
      <w:r>
        <w:rPr>
          <w:rFonts w:ascii="Times New Roman" w:cs="Times New Roman" w:eastAsia="Times New Roman" w:hAnsi="Times New Roman"/>
          <w:sz w:val="20"/>
          <w:szCs w:val="20"/>
          <w:b w:val="1"/>
          <w:bCs w:val="1"/>
          <w:color w:val="auto"/>
        </w:rPr>
        <w:t>Required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Reserve Amount</w:t>
      </w:r>
      <w:r>
        <w:rPr>
          <w:rFonts w:ascii="Times New Roman" w:cs="Times New Roman" w:eastAsia="Times New Roman" w:hAnsi="Times New Roman"/>
          <w:sz w:val="20"/>
          <w:szCs w:val="20"/>
          <w:color w:val="auto"/>
        </w:rPr>
        <w:t>”); provided that at no time shall the number of shares of Common Stock reserved pursuant to this clause (h) be reduced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than proportionally in connection with any exercise and/or redemption, as applicable of Warrant. If at any time the number of shares of Common Stock authorized and reserved for issuance is not sufficient to meet the Required Reserve Amount, the Company will promptly take all corporate action necessary to authorize and reserve a sufficient number of shares, including, without limitation, calling a special meeting of shareholders to authorize additional shares to meet the Company’s obligations pursuant to the Transaction Documents, in the case of an insufficient number of authorized shares, obtain shareholder approval of an increase in such authorized number of shares, and voting the management shares of the Company in favor of an increase in the authorized shares of the Company to ensure that the number of authorized shares is sufficient to meet the Required Reserve Amount.</w:t>
      </w:r>
    </w:p>
    <w:p>
      <w:pPr>
        <w:spacing w:after="0" w:line="189"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Conduct of Business</w:t>
      </w:r>
      <w:r>
        <w:rPr>
          <w:rFonts w:ascii="Times New Roman" w:cs="Times New Roman" w:eastAsia="Times New Roman" w:hAnsi="Times New Roman"/>
          <w:sz w:val="20"/>
          <w:szCs w:val="20"/>
          <w:color w:val="auto"/>
        </w:rPr>
        <w:t>. The business of the Company and its Subsidiaries shall not be conducted in violation of any law, ordinance or regulation of any Governmental Entity (as defined below), except where such violations would not reasonably be expected to result, either individually or in the aggregate, in a Material Adverse Effect.</w:t>
      </w:r>
    </w:p>
    <w:p>
      <w:pPr>
        <w:spacing w:after="0" w:line="174"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Passive Foreign Investment Company</w:t>
      </w:r>
      <w:r>
        <w:rPr>
          <w:rFonts w:ascii="Times New Roman" w:cs="Times New Roman" w:eastAsia="Times New Roman" w:hAnsi="Times New Roman"/>
          <w:sz w:val="20"/>
          <w:szCs w:val="20"/>
          <w:color w:val="auto"/>
        </w:rPr>
        <w:t>. The Company shall conduct its business, and shall cause its Subsidiaries to conduct their respective businesses, in such a manner as will ensure that the Company will not be deemed to constitute a passive foreign investment company within the meaning of Section 1297 of the Code.</w:t>
      </w:r>
    </w:p>
    <w:p>
      <w:pPr>
        <w:spacing w:after="0" w:line="174"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Corporate Existence</w:t>
      </w:r>
      <w:r>
        <w:rPr>
          <w:rFonts w:ascii="Times New Roman" w:cs="Times New Roman" w:eastAsia="Times New Roman" w:hAnsi="Times New Roman"/>
          <w:sz w:val="20"/>
          <w:szCs w:val="20"/>
          <w:color w:val="auto"/>
        </w:rPr>
        <w:t>. So long as the Holder beneficially owns the Warrant, the Company shall not be party to any Fundamental Transaction unless the Company is in compliance with the applicable provisions governing Fundamental Transactions set forth in the Warrant.</w:t>
      </w:r>
    </w:p>
    <w:p>
      <w:pPr>
        <w:spacing w:after="0" w:line="174"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 Procedures</w:t>
      </w:r>
      <w:r>
        <w:rPr>
          <w:rFonts w:ascii="Times New Roman" w:cs="Times New Roman" w:eastAsia="Times New Roman" w:hAnsi="Times New Roman"/>
          <w:sz w:val="20"/>
          <w:szCs w:val="20"/>
          <w:color w:val="auto"/>
        </w:rPr>
        <w:t>. The form of Exercise Notice (as defined in the Warrant) included in the Warrant sets forth the totality of the procedures required of the Holder in order to exercise the Warrant. Except as provided in clause (t) below, no additional legal opinion, other information or instructions shall be required of the Holder to exercise the Warrant. The Company shall honor exercises of the Warrant and shall deliver the Warrant Shares in accordance with the terms, conditions and time periods set forth in the Warrant.</w:t>
      </w:r>
    </w:p>
    <w:p>
      <w:pPr>
        <w:spacing w:after="0" w:line="180" w:lineRule="exact"/>
        <w:rPr>
          <w:sz w:val="20"/>
          <w:szCs w:val="20"/>
          <w:color w:val="auto"/>
        </w:rPr>
      </w:pPr>
    </w:p>
    <w:p>
      <w:pPr>
        <w:ind w:right="20" w:firstLine="749"/>
        <w:spacing w:after="0" w:line="269" w:lineRule="auto"/>
        <w:rPr>
          <w:sz w:val="20"/>
          <w:szCs w:val="20"/>
          <w:color w:val="auto"/>
        </w:rPr>
      </w:pPr>
      <w:r>
        <w:rPr>
          <w:rFonts w:ascii="Times New Roman" w:cs="Times New Roman" w:eastAsia="Times New Roman" w:hAnsi="Times New Roman"/>
          <w:sz w:val="20"/>
          <w:szCs w:val="20"/>
          <w:color w:val="auto"/>
        </w:rPr>
        <w:t>(m)</w:t>
      </w:r>
      <w:r>
        <w:rPr>
          <w:rFonts w:ascii="Times New Roman" w:cs="Times New Roman" w:eastAsia="Times New Roman" w:hAnsi="Times New Roman"/>
          <w:sz w:val="20"/>
          <w:szCs w:val="20"/>
          <w:u w:val="single" w:color="auto"/>
          <w:color w:val="auto"/>
        </w:rPr>
        <w:t>Regulation M</w:t>
      </w:r>
      <w:r>
        <w:rPr>
          <w:rFonts w:ascii="Times New Roman" w:cs="Times New Roman" w:eastAsia="Times New Roman" w:hAnsi="Times New Roman"/>
          <w:sz w:val="20"/>
          <w:szCs w:val="20"/>
          <w:color w:val="auto"/>
        </w:rPr>
        <w:t>. The Company will not take any action prohibited by Regulation M under the Exchange Act in connection with the distribution of the Securities contemplated hereby.</w:t>
      </w:r>
    </w:p>
    <w:p>
      <w:pPr>
        <w:spacing w:after="0" w:line="159" w:lineRule="exact"/>
        <w:rPr>
          <w:sz w:val="20"/>
          <w:szCs w:val="20"/>
          <w:color w:val="auto"/>
        </w:rPr>
      </w:pPr>
    </w:p>
    <w:p>
      <w:pPr>
        <w:jc w:val="both"/>
        <w:ind w:firstLine="757"/>
        <w:spacing w:after="0" w:line="245" w:lineRule="auto"/>
        <w:tabs>
          <w:tab w:leader="none" w:pos="1018"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Integration</w:t>
      </w:r>
      <w:r>
        <w:rPr>
          <w:rFonts w:ascii="Times New Roman" w:cs="Times New Roman" w:eastAsia="Times New Roman" w:hAnsi="Times New Roman"/>
          <w:sz w:val="20"/>
          <w:szCs w:val="20"/>
          <w:color w:val="auto"/>
        </w:rPr>
        <w:t>. None of the Company, any of its affiliates (as defined in Rule 501(b) under the 1933 Act), or any person acting on behalf of the Company or such affiliate will sell, offer for sale, or solicit offers to buy or otherwise negotiate in respect of any security (as defined in the 1933 Act) which will be integrated with the sale of the Securities in a manner which would require the registration of the Securities under the 1933 Act or require shareholder approval under the rules and regulations of the Principal Market and the Company will take all action that is appropriate or necessary to assure that its offerings of other securities will not be integrated for purposes of the 1933 Act or the rules and regulations of the Principal Market, with the issuance of Securities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2" w:name="page53"/>
    <w:bookmarkEnd w:id="52"/>
    <w:p>
      <w:pPr>
        <w:jc w:val="both"/>
        <w:ind w:left="-757" w:firstLine="757"/>
        <w:spacing w:after="0" w:line="246" w:lineRule="auto"/>
        <w:tabs>
          <w:tab w:leader="none" w:pos="261"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Company shall maintain at its principal executive offices (or such other office or agency of the Company as it may designate by notice to each holder of Securities), a register for the Warrant in which the Company shall record the name and address of the Person in whose name the Warrant have been issued (including the name and address of each transferee) and the number of Warrant Shares issuable upon exercise of the Warrant held by such Person. The Company shall keep the register open and available at all times during business hours for inspection of the Holder or its legal representatives.</w:t>
      </w:r>
    </w:p>
    <w:p>
      <w:pPr>
        <w:spacing w:after="0" w:line="184" w:lineRule="exact"/>
        <w:rPr>
          <w:rFonts w:ascii="Times New Roman" w:cs="Times New Roman" w:eastAsia="Times New Roman" w:hAnsi="Times New Roman"/>
          <w:sz w:val="20"/>
          <w:szCs w:val="20"/>
          <w:color w:val="auto"/>
        </w:rPr>
      </w:pPr>
    </w:p>
    <w:p>
      <w:pPr>
        <w:jc w:val="both"/>
        <w:ind w:left="-757" w:firstLine="757"/>
        <w:spacing w:after="0" w:line="241" w:lineRule="auto"/>
        <w:tabs>
          <w:tab w:leader="none" w:pos="261"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 Agent Instructions</w:t>
      </w:r>
      <w:r>
        <w:rPr>
          <w:rFonts w:ascii="Times New Roman" w:cs="Times New Roman" w:eastAsia="Times New Roman" w:hAnsi="Times New Roman"/>
          <w:sz w:val="20"/>
          <w:szCs w:val="20"/>
          <w:color w:val="auto"/>
        </w:rPr>
        <w:t>. The Company shall issue a treasury direction to its transfer agent and any subsequent transfer agent (as applicable, the “</w:t>
      </w:r>
      <w:r>
        <w:rPr>
          <w:rFonts w:ascii="Times New Roman" w:cs="Times New Roman" w:eastAsia="Times New Roman" w:hAnsi="Times New Roman"/>
          <w:sz w:val="20"/>
          <w:szCs w:val="20"/>
          <w:b w:val="1"/>
          <w:bCs w:val="1"/>
          <w:color w:val="auto"/>
        </w:rPr>
        <w:t>Transfer Agent</w:t>
      </w:r>
      <w:r>
        <w:rPr>
          <w:rFonts w:ascii="Times New Roman" w:cs="Times New Roman" w:eastAsia="Times New Roman" w:hAnsi="Times New Roman"/>
          <w:sz w:val="20"/>
          <w:szCs w:val="20"/>
          <w:color w:val="auto"/>
        </w:rPr>
        <w:t>”) to issue certificates or credit shares to the applicable balance accounts at The Depository Trust Company (“</w:t>
      </w:r>
      <w:r>
        <w:rPr>
          <w:rFonts w:ascii="Times New Roman" w:cs="Times New Roman" w:eastAsia="Times New Roman" w:hAnsi="Times New Roman"/>
          <w:sz w:val="20"/>
          <w:szCs w:val="20"/>
          <w:b w:val="1"/>
          <w:bCs w:val="1"/>
          <w:color w:val="auto"/>
        </w:rPr>
        <w:t>DTC</w:t>
      </w:r>
      <w:r>
        <w:rPr>
          <w:rFonts w:ascii="Times New Roman" w:cs="Times New Roman" w:eastAsia="Times New Roman" w:hAnsi="Times New Roman"/>
          <w:sz w:val="20"/>
          <w:szCs w:val="20"/>
          <w:color w:val="auto"/>
        </w:rPr>
        <w:t>”), registered in the name of the Holder or its respective nominee(s), for the Warrant Shares in such amounts as specified from time to time by the Holder to the Company upon the exercise of the Warrant (as the case may be). The Company represents and warrants that the Securities shall otherwise be freely transferable on the books and records of the Company, as applicable, to the extent provided in this Agreement, the other Transaction Documents and in accordance with applicable law. If the Holder effects a sale, assignment or transfer of the Securities in accordance with the Holder Transfer Representation, the Company shall permit the transfer and shall promptly instruct its transfer agent to issue one or more certificates or credit shares to the applicable balance accounts at DTC in such name and in such denominations as specified by the Holder to effect such sale, transfer or assignment. In the event that such sale, assignment or transfer involves Warrant Shares sold, assigned or transferred pursuant to an effective registration statement or in compliance with Rule 144 or Regulation S, the Transfer Agent shall issue such shares to the Holder, assignee or transferee (as the case may be) without any restrictive legend in accordance with clause (t) below. The Company acknowledges that a breach by it of its obligations hereunder will cause irreparable harm to the Holder. Accordingly, the Company acknowledges that the remedy at law for a breach of its obligations under this clause (p) will be inadequate and agrees, in the event of a breach or threatened breach by the Company of the provisions of this clause (p), that the Holder shall be entitled, in addition to all other available remedies, to an order and/or injunction restraining any breach and requiring immediate issuance and transfer, without the necessity of showing economic loss and without any bond or other security being required. Any fees (with respect to the transfer agent, counsel to the Company or otherwise) associated with the issuance of such opinion or the removal of any legends on any of the Securities shall be borne by the Company.</w:t>
      </w:r>
    </w:p>
    <w:p>
      <w:pPr>
        <w:spacing w:after="0" w:line="190" w:lineRule="exact"/>
        <w:rPr>
          <w:rFonts w:ascii="Times New Roman" w:cs="Times New Roman" w:eastAsia="Times New Roman" w:hAnsi="Times New Roman"/>
          <w:sz w:val="20"/>
          <w:szCs w:val="20"/>
          <w:color w:val="auto"/>
        </w:rPr>
      </w:pPr>
    </w:p>
    <w:p>
      <w:pPr>
        <w:jc w:val="both"/>
        <w:ind w:left="-757" w:firstLine="757"/>
        <w:spacing w:after="0" w:line="249" w:lineRule="auto"/>
        <w:tabs>
          <w:tab w:leader="none" w:pos="261"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Legends</w:t>
      </w:r>
      <w:r>
        <w:rPr>
          <w:rFonts w:ascii="Times New Roman" w:cs="Times New Roman" w:eastAsia="Times New Roman" w:hAnsi="Times New Roman"/>
          <w:sz w:val="20"/>
          <w:szCs w:val="20"/>
          <w:color w:val="auto"/>
        </w:rPr>
        <w:t>. The Holder understands that the Securities have been issued (or will be issued in the case of the Warrant Shares) pursuant to an exemption from registration or qualification under the 1933 Act and applicable state securities laws, and except as set forth below, the Securities shall bear any legend as required by the “blue sky” laws of any state and shall bear a restrictive legend in substantially the following form (and a stop-transfer order may be placed against transfer of such share certificates):</w:t>
      </w:r>
    </w:p>
    <w:p>
      <w:pPr>
        <w:spacing w:after="0" w:line="180" w:lineRule="exact"/>
        <w:rPr>
          <w:sz w:val="20"/>
          <w:szCs w:val="20"/>
          <w:color w:val="auto"/>
        </w:rPr>
      </w:pPr>
    </w:p>
    <w:p>
      <w:pPr>
        <w:jc w:val="both"/>
        <w:ind w:left="3" w:right="740"/>
        <w:spacing w:after="0" w:line="242" w:lineRule="auto"/>
        <w:rPr>
          <w:sz w:val="20"/>
          <w:szCs w:val="20"/>
          <w:color w:val="auto"/>
        </w:rPr>
      </w:pPr>
      <w:r>
        <w:rPr>
          <w:rFonts w:ascii="Times New Roman" w:cs="Times New Roman" w:eastAsia="Times New Roman" w:hAnsi="Times New Roman"/>
          <w:sz w:val="20"/>
          <w:szCs w:val="20"/>
          <w:color w:val="auto"/>
        </w:rPr>
        <w:t>NEITHER THE ISSUANCE AND SALE OF THE SECURITIES REPRESENTED BY THIS CERTIFICATE [NOR THE SECURITIES INTO WHICH THESE SECURITIES ARE EXERCISABLE HAVE BEEN] [HAS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TO THE HOLDER (IF REQUESTED BY THE COMPANY), IN A FORM REASONABLY ACCEPTABLE TO THE COMPANY, THAT REGISTRATION IS NOT REQUIRED UNDER SAID ACT OR (II) UNLESS SOLD OR ELIGIBLE TO BE SOLD PURSUANT TO RULE 144 OR RULE 144A UNDER SAID ACT. NOTWITHSTANDING THE FOREGOING, THE SECURITIES MAY BE PLEDGED IN CONNECTION WITH A BONA FIDE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1015365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3" w:right="339" w:bottom="1440" w:gutter="0" w:footer="0" w:header="0"/>
        </w:sectPr>
      </w:pPr>
    </w:p>
    <w:bookmarkStart w:id="53" w:name="page54"/>
    <w:bookmarkEnd w:id="53"/>
    <w:p>
      <w:pPr>
        <w:ind w:left="760"/>
        <w:spacing w:after="0"/>
        <w:rPr>
          <w:sz w:val="20"/>
          <w:szCs w:val="20"/>
          <w:color w:val="auto"/>
        </w:rPr>
      </w:pPr>
      <w:r>
        <w:rPr>
          <w:rFonts w:ascii="Times New Roman" w:cs="Times New Roman" w:eastAsia="Times New Roman" w:hAnsi="Times New Roman"/>
          <w:sz w:val="20"/>
          <w:szCs w:val="20"/>
          <w:color w:val="auto"/>
        </w:rPr>
        <w:t>ACCOUNT OR OTHER LOAN OR FINANCING ARRANGEMENT SECURED BY THE SECURITIES.</w:t>
      </w:r>
    </w:p>
    <w:p>
      <w:pPr>
        <w:spacing w:after="0" w:line="216" w:lineRule="exact"/>
        <w:rPr>
          <w:sz w:val="20"/>
          <w:szCs w:val="20"/>
          <w:color w:val="auto"/>
        </w:rPr>
      </w:pPr>
    </w:p>
    <w:p>
      <w:pPr>
        <w:jc w:val="both"/>
        <w:ind w:firstLine="757"/>
        <w:spacing w:after="0"/>
        <w:tabs>
          <w:tab w:leader="none" w:pos="1018"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Removal of Legends</w:t>
      </w:r>
      <w:r>
        <w:rPr>
          <w:rFonts w:ascii="Times New Roman" w:cs="Times New Roman" w:eastAsia="Times New Roman" w:hAnsi="Times New Roman"/>
          <w:sz w:val="20"/>
          <w:szCs w:val="20"/>
          <w:color w:val="auto"/>
        </w:rPr>
        <w:t>. Certificates evidencing Securities shall not be required to contain the legend set forth in clause (q) above or any other legend, (i) following any sale of such Securities pursuant to a registration statement (including a Registration Statement) covering the resale of such Securities is effective under the 1933 Act, (ii) following any sale of such Securities pursuant to Rule 144 (assuming the transferor is not an affiliate of the Company), (iii) if such Securities are eligible to be sold, assigned or transferred under Rule 144 (provided that a Holder provides the Company with reasonable assurances that such Securities are eligible for sale, assignment or transfer under Rule 144 which shall not include an opinion of Holder’s counsel), (iv) in connection with a sale, assignment or other transfer (other than under Rule 144), provided that the Holder provides the Company with an opinion of counsel to the Holder, in a generally acceptable form, to the effect that such sale, assignment or transfer of the Securities may be made without registration under the applicable requirements of the 1933 Act or (v) if, in the reasonable determination of the Company and its legal counsel, such legend is not required under applicable requirements of the 1933 Act (including, without limitation, controlling judicial interpretations and pronouncements issued by the SEC). If a legend is not required pursuant to the foregoing, the Company shall no later than one (1) Trading Day (or such earlier date as required pursuant to the 1934 Act or other applicable law, rule or regulation for the settlement of a trade initiated on the date the Holder delivers such legended certificate representing such Securities to the Company) following the delivery by a Holder to the Company or the transfer agent (with notice to the Company) of a legended certificate representing such Securities (endorsed or with stock powers attached, signatures guaranteed, and otherwise in form necessary to affect the reissuance and/or transfer, if applicable), together with any other deliveries from the Holder as may be required above in this clause (r), as directed by the Holder, either: (A) provided that the Company’s transfer agent is participating in the DTC Fast Automated Securities Transfer Program (“</w:t>
      </w:r>
      <w:r>
        <w:rPr>
          <w:rFonts w:ascii="Times New Roman" w:cs="Times New Roman" w:eastAsia="Times New Roman" w:hAnsi="Times New Roman"/>
          <w:sz w:val="20"/>
          <w:szCs w:val="20"/>
          <w:b w:val="1"/>
          <w:bCs w:val="1"/>
          <w:color w:val="auto"/>
        </w:rPr>
        <w:t>FAST</w:t>
      </w:r>
      <w:r>
        <w:rPr>
          <w:rFonts w:ascii="Times New Roman" w:cs="Times New Roman" w:eastAsia="Times New Roman" w:hAnsi="Times New Roman"/>
          <w:sz w:val="20"/>
          <w:szCs w:val="20"/>
          <w:color w:val="auto"/>
        </w:rPr>
        <w:t>”) and such Securities are Warrant Shares, credit the aggregate number of shares of Common Stock to which the Holder shall be entitled to the Holder’s or its designee’s balance account with DTC through its Deposit/Withdrawal at Custodian system or (B) if the Company’s transfer agent is not participating in FAST, issue and deliver (via reputable overnight courier) to the Holder, a certificate representing such Securities that is free from all restrictive and other legends, registered in the name of the Holder or its designee (the date by which such credit is so required to be made to the balance account of the Holder’s or the Holder’s designee with DTC or such certificate is required to be delivered to the Holder pursuant to the foregoing is referred to herein as the “</w:t>
      </w:r>
      <w:r>
        <w:rPr>
          <w:rFonts w:ascii="Times New Roman" w:cs="Times New Roman" w:eastAsia="Times New Roman" w:hAnsi="Times New Roman"/>
          <w:sz w:val="20"/>
          <w:szCs w:val="20"/>
          <w:b w:val="1"/>
          <w:bCs w:val="1"/>
          <w:color w:val="auto"/>
        </w:rPr>
        <w:t>Required Delivery Date</w:t>
      </w:r>
      <w:r>
        <w:rPr>
          <w:rFonts w:ascii="Times New Roman" w:cs="Times New Roman" w:eastAsia="Times New Roman" w:hAnsi="Times New Roman"/>
          <w:sz w:val="20"/>
          <w:szCs w:val="20"/>
          <w:color w:val="auto"/>
        </w:rPr>
        <w:t>”, and the date such shares of Common Stock are actually delivered without restrictive legend to the Holder or the Holder’s designee with DTC, as applicable, the “</w:t>
      </w:r>
      <w:r>
        <w:rPr>
          <w:rFonts w:ascii="Times New Roman" w:cs="Times New Roman" w:eastAsia="Times New Roman" w:hAnsi="Times New Roman"/>
          <w:sz w:val="20"/>
          <w:szCs w:val="20"/>
          <w:b w:val="1"/>
          <w:bCs w:val="1"/>
          <w:color w:val="auto"/>
        </w:rPr>
        <w:t>Share Delivery Date</w:t>
      </w:r>
      <w:r>
        <w:rPr>
          <w:rFonts w:ascii="Times New Roman" w:cs="Times New Roman" w:eastAsia="Times New Roman" w:hAnsi="Times New Roman"/>
          <w:sz w:val="20"/>
          <w:szCs w:val="20"/>
          <w:color w:val="auto"/>
        </w:rPr>
        <w:t>”). The Company shall be responsible for any transfer agent fees or DTC fees with respect to any issuance of Securities or the removal of any legends with respect to any Securities in accordance herewith.</w:t>
      </w:r>
    </w:p>
    <w:p>
      <w:pPr>
        <w:spacing w:after="0" w:line="20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If the Company fails, for any reason or for no reason, to issue and deliver (or cause to be delivered) to the Holder (or its designee) by the Required Delivery Date, either (I) if the Transfer Agent is not participating in the DTC Fast Automated Securities Transfer Program, a certificate for the number of Warrant Shares to which the Holder is entitled and register such Warrant Shares on the Company’s share register or, if the Transfer Agent is participating in the DTC Fast Automated Securities Transfer Program and the Required Unrestricted Conditions are satisfied, to credit the balance account of the Holder or the Holder’s designee with DTC for such number of Warrant Shares submitted for legend removal by the Holder pursuant hereto or (II) if the Registration Statement covering the resale of the Warrant Shares submitted for legend removal by the Holder pursuant hereto (the “</w:t>
      </w:r>
      <w:r>
        <w:rPr>
          <w:rFonts w:ascii="Times New Roman" w:cs="Times New Roman" w:eastAsia="Times New Roman" w:hAnsi="Times New Roman"/>
          <w:sz w:val="20"/>
          <w:szCs w:val="20"/>
          <w:b w:val="1"/>
          <w:bCs w:val="1"/>
          <w:color w:val="auto"/>
        </w:rPr>
        <w:t>Unavailable Shares</w:t>
      </w:r>
      <w:r>
        <w:rPr>
          <w:rFonts w:ascii="Times New Roman" w:cs="Times New Roman" w:eastAsia="Times New Roman" w:hAnsi="Times New Roman"/>
          <w:sz w:val="20"/>
          <w:szCs w:val="20"/>
          <w:color w:val="auto"/>
        </w:rPr>
        <w:t>”) is not available for the resale of such Unavailable Shares and the Company fails to promptly, but in no event later than as required pursuant to clause (v) below (x) so notify the Holder and (y) deliver the Warrant Shares electronically without any restrictive legend by crediting such aggregate number of Warrant Shares submitted for legend removal by the Holder pursuant hereto to the Holder’s or its designee’s balance account with DTC through its Deposit/Withdrawal At Custodian system (the event described in the immediately foregoing clause (II) is hereinafter referred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1013460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4" w:name="page55"/>
    <w:bookmarkEnd w:id="54"/>
    <w:p>
      <w:pPr>
        <w:jc w:val="both"/>
        <w:spacing w:after="0"/>
        <w:rPr>
          <w:sz w:val="20"/>
          <w:szCs w:val="20"/>
          <w:color w:val="auto"/>
        </w:rPr>
      </w:pPr>
      <w:r>
        <w:rPr>
          <w:rFonts w:ascii="Times New Roman" w:cs="Times New Roman" w:eastAsia="Times New Roman" w:hAnsi="Times New Roman"/>
          <w:sz w:val="20"/>
          <w:szCs w:val="20"/>
          <w:color w:val="auto"/>
        </w:rPr>
        <w:t>a “</w:t>
      </w:r>
      <w:r>
        <w:rPr>
          <w:rFonts w:ascii="Times New Roman" w:cs="Times New Roman" w:eastAsia="Times New Roman" w:hAnsi="Times New Roman"/>
          <w:sz w:val="20"/>
          <w:szCs w:val="20"/>
          <w:b w:val="1"/>
          <w:bCs w:val="1"/>
          <w:color w:val="auto"/>
        </w:rPr>
        <w:t>Notice Failure</w:t>
      </w:r>
      <w:r>
        <w:rPr>
          <w:rFonts w:ascii="Times New Roman" w:cs="Times New Roman" w:eastAsia="Times New Roman" w:hAnsi="Times New Roman"/>
          <w:sz w:val="20"/>
          <w:szCs w:val="20"/>
          <w:color w:val="auto"/>
        </w:rPr>
        <w:t>” and together with the event described in clause (I) above, a “</w:t>
      </w:r>
      <w:r>
        <w:rPr>
          <w:rFonts w:ascii="Times New Roman" w:cs="Times New Roman" w:eastAsia="Times New Roman" w:hAnsi="Times New Roman"/>
          <w:sz w:val="20"/>
          <w:szCs w:val="20"/>
          <w:b w:val="1"/>
          <w:bCs w:val="1"/>
          <w:color w:val="auto"/>
        </w:rPr>
        <w:t>Delivery Failure</w:t>
      </w:r>
      <w:r>
        <w:rPr>
          <w:rFonts w:ascii="Times New Roman" w:cs="Times New Roman" w:eastAsia="Times New Roman" w:hAnsi="Times New Roman"/>
          <w:sz w:val="20"/>
          <w:szCs w:val="20"/>
          <w:color w:val="auto"/>
        </w:rPr>
        <w:t>”), then, in addition to all other remedies available to the Holder, the Company shall pay in cash to the Holder on each day after the Share Delivery Date and during such Delivery Failure an amount equal to 1% of the product of (A) the sum of the number of shares of Common Stock not issued to the Holder on or prior to the Required Delivery Date and to which the Holder is entitled, and (B) any trading price of the shares of Common Stock selected by the Holder in writing as in effect at any time during the period beginning on the date of the delivery by the Holder to the Company of the applicable Warrant Shares and ending on the applicable Share Delivery Date. In addition to the foregoing, if on or prior to the Required Delivery Date either (I) if the Transfer Agent is not participating in the DTC Fast Automated Securities Transfer Program, the Company shall fail to issue and deliver a certificate to the Holder and register such shares of Common Stock on the Company’s share register or, if the Transfer Agent is participating in the DTC Fast Automated Securities Transfer Program, credit the balance account of the Holder or the Holder’s designee with DTC for the number of shares of Common Stock to which the Holder submitted for legend removal by the Holder pursuant hereto or (II) a Notice Failure occurs, and if on or after such Trading Day the Holder purchases (in an open market transaction or otherwise) shares of Common Stock to deliver in satisfaction of a sale by the Holder of shares of Common Stock submitted for legend removal by the Holder pursuant hereto that the Holder is entitled to receive from the Company (a “</w:t>
      </w:r>
      <w:r>
        <w:rPr>
          <w:rFonts w:ascii="Times New Roman" w:cs="Times New Roman" w:eastAsia="Times New Roman" w:hAnsi="Times New Roman"/>
          <w:sz w:val="20"/>
          <w:szCs w:val="20"/>
          <w:b w:val="1"/>
          <w:bCs w:val="1"/>
          <w:color w:val="auto"/>
        </w:rPr>
        <w:t>Buy-In</w:t>
      </w:r>
      <w:r>
        <w:rPr>
          <w:rFonts w:ascii="Times New Roman" w:cs="Times New Roman" w:eastAsia="Times New Roman" w:hAnsi="Times New Roman"/>
          <w:sz w:val="20"/>
          <w:szCs w:val="20"/>
          <w:color w:val="auto"/>
        </w:rPr>
        <w:t>”), then the Company shall, within one (1) Trading Day after the Holder’s request and in the Holder’s discretion, either (i) pay cash to the Holder in an amount equal to the Holder’s total purchase price (including brokerage commissions and other out-of-pocket expenses, if any, for the shares of Common Stock so purchased) (the “</w:t>
      </w:r>
      <w:r>
        <w:rPr>
          <w:rFonts w:ascii="Times New Roman" w:cs="Times New Roman" w:eastAsia="Times New Roman" w:hAnsi="Times New Roman"/>
          <w:sz w:val="20"/>
          <w:szCs w:val="20"/>
          <w:b w:val="1"/>
          <w:bCs w:val="1"/>
          <w:color w:val="auto"/>
        </w:rPr>
        <w:t>Buy-In Price</w:t>
      </w:r>
      <w:r>
        <w:rPr>
          <w:rFonts w:ascii="Times New Roman" w:cs="Times New Roman" w:eastAsia="Times New Roman" w:hAnsi="Times New Roman"/>
          <w:sz w:val="20"/>
          <w:szCs w:val="20"/>
          <w:color w:val="auto"/>
        </w:rPr>
        <w:t>”), at which point the Company’s obligation to so deliver such certificate or credit the Holder’s balance account shall terminate and such shares shall be cancelled, or (ii) promptly honor its obligation to so deliver to the Holder a certificate or certificates or credit the balance account of the Holder or the Holder’s designee with DTC representing such number of shares of Common Stock that would have been so delivered if the Company timely complied with its obligations hereunder and pay cash to the Holder in an amount equal to the excess (if any) of the Buy-In Price over the product of (A) such number of Warrant Shares that the Company was required to deliver to the Holder by the Required Delivery Date multiplied by (B) the lowest Closing Sale Price (as defined in the Warrant) of the shares of Common Stock on any Trading Day during the period commencing on the date of the delivery by the Holder to the Company of the applicable Warrant Shares and ending on the date of such delivery and payment under this clause (ii).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as required pursuant to the terms hereof. Notwithstanding anything herein to the contrary, with respect to any given Notice Failure and/or Delivery Failure, this clause shall not apply to the Holder the extent the Company has already paid such amounts in full to the Holder with respect to such Notice Failure and/or Delivery Failure, as applicable, pursuant to the analogous sections of the Warrant held by the Holder.</w:t>
      </w:r>
    </w:p>
    <w:p>
      <w:pPr>
        <w:spacing w:after="0" w:line="206" w:lineRule="exact"/>
        <w:rPr>
          <w:sz w:val="20"/>
          <w:szCs w:val="20"/>
          <w:color w:val="auto"/>
        </w:rPr>
      </w:pPr>
    </w:p>
    <w:p>
      <w:pPr>
        <w:ind w:left="1020" w:hanging="263"/>
        <w:spacing w:after="0"/>
        <w:tabs>
          <w:tab w:leader="none" w:pos="102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firstLine="757"/>
        <w:spacing w:after="0" w:line="243" w:lineRule="auto"/>
        <w:tabs>
          <w:tab w:leader="none" w:pos="1018"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Registration Statement</w:t>
      </w:r>
      <w:r>
        <w:rPr>
          <w:rFonts w:ascii="Times New Roman" w:cs="Times New Roman" w:eastAsia="Times New Roman" w:hAnsi="Times New Roman"/>
          <w:sz w:val="20"/>
          <w:szCs w:val="20"/>
          <w:color w:val="auto"/>
        </w:rPr>
        <w:t>. As soon as practicable (and in any event within the later of (i) 30 calendar days following the date of this Agreement, (ii) 10 days following the date of the filing with the SEC of the Company’s Annual Report on Form 10-K for the year ended December 31, 2025, and (iii) March 31, 2026 (the “</w:t>
      </w:r>
      <w:r>
        <w:rPr>
          <w:rFonts w:ascii="Times New Roman" w:cs="Times New Roman" w:eastAsia="Times New Roman" w:hAnsi="Times New Roman"/>
          <w:sz w:val="20"/>
          <w:szCs w:val="20"/>
          <w:b w:val="1"/>
          <w:bCs w:val="1"/>
          <w:color w:val="auto"/>
        </w:rPr>
        <w:t>Filing Deadline</w:t>
      </w:r>
      <w:r>
        <w:rPr>
          <w:rFonts w:ascii="Times New Roman" w:cs="Times New Roman" w:eastAsia="Times New Roman" w:hAnsi="Times New Roman"/>
          <w:sz w:val="20"/>
          <w:szCs w:val="20"/>
          <w:color w:val="auto"/>
        </w:rPr>
        <w:t>”)), the Company shall file a registration statement on Form S-3 (or Form S-1 if Form S-3 is not available to the Company) providing for the resale by the Holder of the Warrant Shares issued and issuable upon exercise of the Warrant or shall include such Warrant Shares issued and issuable upon exercise of the Warrant in any other registration statement on Form S-3 filed by the Company. The Company shall use reasonable best efforts to cause such registration to become effective within 60 days (or 90 days if subject to a full review by the SEC) (the “</w:t>
      </w:r>
      <w:r>
        <w:rPr>
          <w:rFonts w:ascii="Times New Roman" w:cs="Times New Roman" w:eastAsia="Times New Roman" w:hAnsi="Times New Roman"/>
          <w:sz w:val="20"/>
          <w:szCs w:val="20"/>
          <w:b w:val="1"/>
          <w:bCs w:val="1"/>
          <w:color w:val="auto"/>
        </w:rPr>
        <w:t>Effectiveness Deadline</w:t>
      </w:r>
      <w:r>
        <w:rPr>
          <w:rFonts w:ascii="Times New Roman" w:cs="Times New Roman" w:eastAsia="Times New Roman" w:hAnsi="Times New Roman"/>
          <w:sz w:val="20"/>
          <w:szCs w:val="20"/>
          <w:color w:val="auto"/>
        </w:rPr>
        <w:t>”) following the Filing Deadline and to keep such registration statement effective at all times (except for any periods in connection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1013460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55" w:name="page56"/>
    <w:bookmarkEnd w:id="55"/>
    <w:p>
      <w:pPr>
        <w:spacing w:after="0" w:line="269" w:lineRule="auto"/>
        <w:rPr>
          <w:sz w:val="20"/>
          <w:szCs w:val="20"/>
          <w:color w:val="auto"/>
        </w:rPr>
      </w:pPr>
      <w:r>
        <w:rPr>
          <w:rFonts w:ascii="Times New Roman" w:cs="Times New Roman" w:eastAsia="Times New Roman" w:hAnsi="Times New Roman"/>
          <w:sz w:val="20"/>
          <w:szCs w:val="20"/>
          <w:color w:val="auto"/>
        </w:rPr>
        <w:t>with the filing of post-effective amendments as reasonably determined by the Company’s counsel to be required) until the Holder does not own any Warrant or Warrant Shares issuable upon exercise thereof.</w:t>
      </w:r>
    </w:p>
    <w:p>
      <w:pPr>
        <w:spacing w:after="0" w:line="159" w:lineRule="exact"/>
        <w:rPr>
          <w:sz w:val="20"/>
          <w:szCs w:val="20"/>
          <w:color w:val="auto"/>
        </w:rPr>
      </w:pPr>
    </w:p>
    <w:p>
      <w:pPr>
        <w:jc w:val="both"/>
        <w:ind w:firstLine="757"/>
        <w:spacing w:after="0"/>
        <w:tabs>
          <w:tab w:leader="none" w:pos="1018"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of Failure to File and Obtain and Maintain Effectiveness of any Registration Statement</w:t>
      </w:r>
      <w:r>
        <w:rPr>
          <w:rFonts w:ascii="Times New Roman" w:cs="Times New Roman" w:eastAsia="Times New Roman" w:hAnsi="Times New Roman"/>
          <w:sz w:val="20"/>
          <w:szCs w:val="20"/>
          <w:color w:val="auto"/>
        </w:rPr>
        <w:t>. If (i) a Registration Statement covering the resale of all of the Warrant Shares by the Holder is (A) not filed with the SEC on or before the Filing Deadline for such Registration Statement (a “</w:t>
      </w:r>
      <w:r>
        <w:rPr>
          <w:rFonts w:ascii="Times New Roman" w:cs="Times New Roman" w:eastAsia="Times New Roman" w:hAnsi="Times New Roman"/>
          <w:sz w:val="20"/>
          <w:szCs w:val="20"/>
          <w:b w:val="1"/>
          <w:bCs w:val="1"/>
          <w:color w:val="auto"/>
        </w:rPr>
        <w:t>Filing Failure</w:t>
      </w:r>
      <w:r>
        <w:rPr>
          <w:rFonts w:ascii="Times New Roman" w:cs="Times New Roman" w:eastAsia="Times New Roman" w:hAnsi="Times New Roman"/>
          <w:sz w:val="20"/>
          <w:szCs w:val="20"/>
          <w:color w:val="auto"/>
        </w:rPr>
        <w:t>”) or (B) not declared effective by the SEC on or before the Effectiveness Deadline for such Registration Statement (an “</w:t>
      </w:r>
      <w:r>
        <w:rPr>
          <w:rFonts w:ascii="Times New Roman" w:cs="Times New Roman" w:eastAsia="Times New Roman" w:hAnsi="Times New Roman"/>
          <w:sz w:val="20"/>
          <w:szCs w:val="20"/>
          <w:b w:val="1"/>
          <w:bCs w:val="1"/>
          <w:color w:val="auto"/>
        </w:rPr>
        <w:t>Effectiveness Failure</w:t>
      </w:r>
      <w:r>
        <w:rPr>
          <w:rFonts w:ascii="Times New Roman" w:cs="Times New Roman" w:eastAsia="Times New Roman" w:hAnsi="Times New Roman"/>
          <w:sz w:val="20"/>
          <w:szCs w:val="20"/>
          <w:color w:val="auto"/>
        </w:rPr>
        <w:t>”) (it being understood that if on the Business Day immediately following the Effective Date for such Registration Statement the Company shall not have filed a “final” prospectus for such Registration Statement with the SEC under Rule 424(b) (whether or not such a prospectus is technically required by such rule), the Company shall be deemed to not have satisfied this clause (i)(B) and such event shall be deemed to be an Effectiveness Failure), (ii) other than during an Allowable Grace Period (as defined below), on any day after the effective date of a Registration Statement sales of all of the Warrant Shares required to be included on such Registration Statement (cannot be made pursuant to such Registration Statement (including, without limitation, because of a failure to keep such Registration Statement effective, a failure to disclose such information as is necessary for sales to be made pursuant to such Registration Statement, a suspension or delisting of (or a failure to timely list) the shares of Common Stock on the Principal Market (as defined in the October 2024 Securities Purchase Agreement) or any other limitations imposed by the Principal Market, or a failure to register a sufficient number of shares of Common Stock or by reason of a stop order) or the prospectus contained therein is not available for use for any reason (a “</w:t>
      </w:r>
      <w:r>
        <w:rPr>
          <w:rFonts w:ascii="Times New Roman" w:cs="Times New Roman" w:eastAsia="Times New Roman" w:hAnsi="Times New Roman"/>
          <w:sz w:val="20"/>
          <w:szCs w:val="20"/>
          <w:b w:val="1"/>
          <w:bCs w:val="1"/>
          <w:color w:val="auto"/>
        </w:rPr>
        <w:t>Maintenance Failure</w:t>
      </w:r>
      <w:r>
        <w:rPr>
          <w:rFonts w:ascii="Times New Roman" w:cs="Times New Roman" w:eastAsia="Times New Roman" w:hAnsi="Times New Roman"/>
          <w:sz w:val="20"/>
          <w:szCs w:val="20"/>
          <w:color w:val="auto"/>
        </w:rPr>
        <w:t>”), or (iii) if a Registration Statement is not effective for any reason or the prospectus contained therein is not available for use for any reason (other than as is allowed under this clause (u)), and either (x) the Company fails for any reason to satisfy the requirements of Rule 144(c)(1), including, without limitation, the failure to satisfy the current public information requirement under Rule 144(c) or (y) the Company has ever been an issuer described in Rule 144(i)(1)(i) or becomes such an issuer in the future, and the Company shall fail to satisfy any condition set forth in Rule 144(i)(2) (a “</w:t>
      </w:r>
      <w:r>
        <w:rPr>
          <w:rFonts w:ascii="Times New Roman" w:cs="Times New Roman" w:eastAsia="Times New Roman" w:hAnsi="Times New Roman"/>
          <w:sz w:val="20"/>
          <w:szCs w:val="20"/>
          <w:b w:val="1"/>
          <w:bCs w:val="1"/>
          <w:color w:val="auto"/>
        </w:rPr>
        <w:t>Current Public Information Failure</w:t>
      </w:r>
      <w:r>
        <w:rPr>
          <w:rFonts w:ascii="Times New Roman" w:cs="Times New Roman" w:eastAsia="Times New Roman" w:hAnsi="Times New Roman"/>
          <w:sz w:val="20"/>
          <w:szCs w:val="20"/>
          <w:color w:val="auto"/>
        </w:rPr>
        <w:t>”) as a result of which the Holder is unable to sell Warrant Shares without restriction under Rule 144 (including, without limitation, volume restrictions), then, as partial relief for the damages to any holder by reason of any such delay in, or reduction of, its ability to sell the underlying shares of Common Stock (which remedy shall not be exclusive of any other remedies available at law or in equity, including, without limitation, specific performance), the Company shall pay to each holder of Registrable Securities relating to such Registration Statement an amount in cash equal to one and a half percent (1.5%) of the aggregate exercise price of the Holder’s Warrant (1) on the date of such Filing Failure, Effectiveness Failure, Maintenance Failure or Current Public Information Failure, as applicable, and (2) on every thirty (30) day anniversary of (I) a Filing Failure until such Filing Failure is cured; (II) an Effectiveness Failure until such Effectiveness Failure is cured; (III) a Maintenance Failure until such Maintenance Failure is cured; and (IV) a Current Public Information Failure until the earlier of (i) the date such Current Public Information Failure is cured and (ii) such time that such public information is no longer required pursuant to Rule 144 (in each case, pro-rated for periods totaling less than thirty (30) days). The payments to which a Holder shall be entitled pursuant to this Section (v) are referred to herein as “</w:t>
      </w:r>
      <w:r>
        <w:rPr>
          <w:rFonts w:ascii="Times New Roman" w:cs="Times New Roman" w:eastAsia="Times New Roman" w:hAnsi="Times New Roman"/>
          <w:sz w:val="20"/>
          <w:szCs w:val="20"/>
          <w:b w:val="1"/>
          <w:bCs w:val="1"/>
          <w:color w:val="auto"/>
        </w:rPr>
        <w:t>Registration Delay Payments</w:t>
      </w:r>
      <w:r>
        <w:rPr>
          <w:rFonts w:ascii="Times New Roman" w:cs="Times New Roman" w:eastAsia="Times New Roman" w:hAnsi="Times New Roman"/>
          <w:sz w:val="20"/>
          <w:szCs w:val="20"/>
          <w:color w:val="auto"/>
        </w:rPr>
        <w:t>.” Following the initial Registration Delay Payment for any particular event or failure (which shall be paid on the date of such event or failure, as set forth above), without limiting the foregoing, if an event or failure giving rise to the Registration Delay Payments is cured prior to any thirty (30) day anniversary of such event or failure, then such Registration Delay Payment shall be made on the third (3</w:t>
      </w:r>
      <w:r>
        <w:rPr>
          <w:rFonts w:ascii="Times New Roman" w:cs="Times New Roman" w:eastAsia="Times New Roman" w:hAnsi="Times New Roman"/>
          <w:sz w:val="13"/>
          <w:szCs w:val="13"/>
          <w:color w:val="auto"/>
        </w:rPr>
        <w:t>rd</w:t>
      </w:r>
      <w:r>
        <w:rPr>
          <w:rFonts w:ascii="Times New Roman" w:cs="Times New Roman" w:eastAsia="Times New Roman" w:hAnsi="Times New Roman"/>
          <w:sz w:val="20"/>
          <w:szCs w:val="20"/>
          <w:color w:val="auto"/>
        </w:rPr>
        <w:t>) Business Day after such cure. In the event the Company fails to make Registration Delay Payments in a timely manner in accordance with the foregoing, such Registration Delay Payments shall bear interest at the rate of one and a half percent (1.5%) per month (prorated for partial months) until paid in full. Notwithstanding the foregoing, no Registration Delay Payments shall be owed to a Holder (other than with respect to a Maintenance Failure resulting from a suspension or delisting of (or a failure to timely list) the shares of Common Stock on the Principal Market) with respect to any period during which all of the Holder’s Warrant Shares may be sold by the Holder without restriction under Rule 144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1019175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6" w:name="page57"/>
    <w:bookmarkEnd w:id="56"/>
    <w:p>
      <w:pPr>
        <w:spacing w:after="0" w:line="269" w:lineRule="auto"/>
        <w:rPr>
          <w:sz w:val="20"/>
          <w:szCs w:val="20"/>
          <w:color w:val="auto"/>
        </w:rPr>
      </w:pPr>
      <w:r>
        <w:rPr>
          <w:rFonts w:ascii="Times New Roman" w:cs="Times New Roman" w:eastAsia="Times New Roman" w:hAnsi="Times New Roman"/>
          <w:sz w:val="20"/>
          <w:szCs w:val="20"/>
          <w:color w:val="auto"/>
        </w:rPr>
        <w:t>without limitation, volume restrictions) and without the need for current public information required by Rule 144(c)(1) (or Rule 144(i)(2), if applicable).</w:t>
      </w:r>
    </w:p>
    <w:p>
      <w:pPr>
        <w:spacing w:after="0" w:line="159" w:lineRule="exact"/>
        <w:rPr>
          <w:sz w:val="20"/>
          <w:szCs w:val="20"/>
          <w:color w:val="auto"/>
        </w:rPr>
      </w:pPr>
    </w:p>
    <w:p>
      <w:pPr>
        <w:jc w:val="both"/>
        <w:ind w:firstLine="757"/>
        <w:spacing w:after="0" w:line="241" w:lineRule="auto"/>
        <w:tabs>
          <w:tab w:leader="none" w:pos="1018"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(but subject to the last sentence of this clause (v), at any time after the effective date of a particular Registration Statement, the Company may delay the disclosure of material, non-public information concerning the Company or any of its Subsidiaries the disclosure of which at the time is not, in the good faith opinion of the board of directors of the Company, in the best interest of the Company and, in based on the advice of counsel to the Company, otherwise required (a “</w:t>
      </w:r>
      <w:r>
        <w:rPr>
          <w:rFonts w:ascii="Times New Roman" w:cs="Times New Roman" w:eastAsia="Times New Roman" w:hAnsi="Times New Roman"/>
          <w:sz w:val="20"/>
          <w:szCs w:val="20"/>
          <w:b w:val="1"/>
          <w:bCs w:val="1"/>
          <w:color w:val="auto"/>
        </w:rPr>
        <w:t>Grace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Period</w:t>
      </w:r>
      <w:r>
        <w:rPr>
          <w:rFonts w:ascii="Times New Roman" w:cs="Times New Roman" w:eastAsia="Times New Roman" w:hAnsi="Times New Roman"/>
          <w:sz w:val="20"/>
          <w:szCs w:val="20"/>
          <w:color w:val="auto"/>
        </w:rPr>
        <w:t>”), provided that the Company shall promptly notify the Holder in writing of the (i) existence of material, non-public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giving rise to a Grace Period (provided that in each such notice the Company shall not disclose the content of such material, non-public information to the Holder) and the date on which such Grace Period will begin and (ii) date on which such Grace Period ends, provided further that (I) no Grace Period shall exceed ten (10) consecutive days and during any three hundred sixty five (365) day period all such Grace Periods shall not exceed an aggregate of thirty (30) days and (II) the first day of any Grace Period must be at least five (5) Trading Days after the last day of any prior Grace Period (each, an “</w:t>
      </w:r>
      <w:r>
        <w:rPr>
          <w:rFonts w:ascii="Times New Roman" w:cs="Times New Roman" w:eastAsia="Times New Roman" w:hAnsi="Times New Roman"/>
          <w:sz w:val="20"/>
          <w:szCs w:val="20"/>
          <w:b w:val="1"/>
          <w:bCs w:val="1"/>
          <w:color w:val="auto"/>
        </w:rPr>
        <w:t>Allowable Grace Period</w:t>
      </w:r>
      <w:r>
        <w:rPr>
          <w:rFonts w:ascii="Times New Roman" w:cs="Times New Roman" w:eastAsia="Times New Roman" w:hAnsi="Times New Roman"/>
          <w:sz w:val="20"/>
          <w:szCs w:val="20"/>
          <w:color w:val="auto"/>
        </w:rPr>
        <w:t>”). For purposes of determining the length of a Grace Period above, such Grace Period shall begin on and include the date the Holder receives the notice referred to in subclause (i) above and shall end on and include the later of the date the Holder receives the notice referred to in subclause (ii) above and the date referred to in such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1018540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7" w:name="page58"/>
    <w:bookmarkEnd w:id="5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1."/>
      <w:numFmt w:val="decimal"/>
      <w:start w:val="1"/>
    </w:lvl>
    <w:lvl w:ilvl="1">
      <w:lvlJc w:val="left"/>
      <w:lvlText w:val="(%2)"/>
      <w:numFmt w:val="lowerLetter"/>
      <w:start w:val="1"/>
    </w:lvl>
  </w:abstractNum>
  <w:abstractNum w:abstractNumId="3">
    <w:nsid w:val="5072367"/>
    <w:multiLevelType w:val="hybridMultilevel"/>
    <w:lvl w:ilvl="0">
      <w:lvlJc w:val="left"/>
      <w:lvlText w:val="(%1)"/>
      <w:numFmt w:val="decimal"/>
      <w:start w:val="1"/>
    </w:lvl>
    <w:lvl w:ilvl="1">
      <w:lvlJc w:val="left"/>
      <w:lvlText w:val="(%2)"/>
      <w:numFmt w:val="lowerLetter"/>
      <w:start w:val="2"/>
    </w:lvl>
  </w:abstractNum>
  <w:abstractNum w:abstractNumId="4">
    <w:nsid w:val="3804823E"/>
    <w:multiLevelType w:val="hybridMultilevel"/>
    <w:lvl w:ilvl="0">
      <w:lvlJc w:val="left"/>
      <w:lvlText w:val="(%1)"/>
      <w:numFmt w:val="lowerLetter"/>
      <w:start w:val="4"/>
    </w:lvl>
  </w:abstractNum>
  <w:abstractNum w:abstractNumId="5">
    <w:nsid w:val="77465F01"/>
    <w:multiLevelType w:val="hybridMultilevel"/>
    <w:lvl w:ilvl="0">
      <w:lvlJc w:val="left"/>
      <w:lvlText w:val="(%1)"/>
      <w:numFmt w:val="decimal"/>
      <w:start w:val="88"/>
    </w:lvl>
  </w:abstractNum>
  <w:abstractNum w:abstractNumId="6">
    <w:nsid w:val="7724C67E"/>
    <w:multiLevelType w:val="hybridMultilevel"/>
    <w:lvl w:ilvl="0">
      <w:lvlJc w:val="left"/>
      <w:lvlText w:val="%1"/>
      <w:numFmt w:val="lowerLetter"/>
      <w:start w:val="1"/>
    </w:lvl>
    <w:lvl w:ilvl="1">
      <w:lvlJc w:val="left"/>
      <w:lvlText w:val="(%2)"/>
      <w:numFmt w:val="lowerLetter"/>
      <w:start w:val="5"/>
    </w:lvl>
  </w:abstractNum>
  <w:abstractNum w:abstractNumId="7">
    <w:nsid w:val="5C482A97"/>
    <w:multiLevelType w:val="hybridMultilevel"/>
    <w:lvl w:ilvl="0">
      <w:lvlJc w:val="left"/>
      <w:lvlText w:val="(%1)"/>
      <w:numFmt w:val="lowerLetter"/>
      <w:start w:val="9"/>
    </w:lvl>
    <w:lvl w:ilvl="1">
      <w:lvlJc w:val="left"/>
      <w:lvlText w:val="%2"/>
      <w:numFmt w:val="lowerLetter"/>
      <w:start w:val="1"/>
    </w:lvl>
  </w:abstractNum>
  <w:abstractNum w:abstractNumId="8">
    <w:nsid w:val="2463B9EA"/>
    <w:multiLevelType w:val="hybridMultilevel"/>
    <w:lvl w:ilvl="0">
      <w:lvlJc w:val="left"/>
      <w:lvlText w:val="(%1)"/>
      <w:numFmt w:val="lowerLetter"/>
      <w:start w:val="7"/>
    </w:lvl>
    <w:lvl w:ilvl="1">
      <w:lvlJc w:val="left"/>
      <w:lvlText w:val="(%2)"/>
      <w:numFmt w:val="lowerLetter"/>
      <w:start w:val="9"/>
    </w:lvl>
  </w:abstractNum>
  <w:abstractNum w:abstractNumId="9">
    <w:nsid w:val="5E884ADC"/>
    <w:multiLevelType w:val="hybridMultilevel"/>
    <w:lvl w:ilvl="0">
      <w:lvlJc w:val="left"/>
      <w:lvlText w:val="(%1)"/>
      <w:numFmt w:val="lowerLetter"/>
      <w:start w:val="9"/>
    </w:lvl>
    <w:lvl w:ilvl="1">
      <w:lvlJc w:val="left"/>
      <w:lvlText w:val="%2"/>
      <w:numFmt w:val="lowerLetter"/>
      <w:start w:val="1"/>
    </w:lvl>
  </w:abstractNum>
  <w:abstractNum w:abstractNumId="10">
    <w:nsid w:val="51EAD36B"/>
    <w:multiLevelType w:val="hybridMultilevel"/>
    <w:lvl w:ilvl="0">
      <w:lvlJc w:val="left"/>
      <w:lvlText w:val="%1"/>
      <w:numFmt w:val="lowerLetter"/>
      <w:start w:val="1"/>
    </w:lvl>
    <w:lvl w:ilvl="1">
      <w:lvlJc w:val="left"/>
      <w:lvlText w:val="(%2)"/>
      <w:numFmt w:val="lowerLetter"/>
      <w:start w:val="35"/>
    </w:lvl>
  </w:abstractNum>
  <w:abstractNum w:abstractNumId="11">
    <w:nsid w:val="2D517796"/>
    <w:multiLevelType w:val="hybridMultilevel"/>
    <w:lvl w:ilvl="0">
      <w:lvlJc w:val="left"/>
      <w:lvlText w:val="(%1)"/>
      <w:numFmt w:val="lowerLetter"/>
      <w:start w:val="8"/>
    </w:lvl>
    <w:lvl w:ilvl="1">
      <w:lvlJc w:val="left"/>
      <w:lvlText w:val="%2"/>
      <w:numFmt w:val="lowerLetter"/>
      <w:start w:val="1"/>
    </w:lvl>
  </w:abstractNum>
  <w:abstractNum w:abstractNumId="12">
    <w:nsid w:val="580BD78F"/>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13">
    <w:nsid w:val="153EA438"/>
    <w:multiLevelType w:val="hybridMultilevel"/>
    <w:lvl w:ilvl="0">
      <w:lvlJc w:val="left"/>
      <w:lvlText w:val="(%1)"/>
      <w:numFmt w:val="lowerRoman"/>
      <w:start w:val="10"/>
    </w:lvl>
    <w:lvl w:ilvl="1">
      <w:lvlJc w:val="left"/>
      <w:lvlText w:val="(%2)"/>
      <w:numFmt w:val="lowerRoman"/>
      <w:start w:val="2"/>
    </w:lvl>
  </w:abstractNum>
  <w:abstractNum w:abstractNumId="14">
    <w:nsid w:val="3855585C"/>
    <w:multiLevelType w:val="hybridMultilevel"/>
    <w:lvl w:ilvl="0">
      <w:lvlJc w:val="left"/>
      <w:lvlText w:val="(%1)"/>
      <w:numFmt w:val="lowerRoman"/>
      <w:start w:val="3"/>
    </w:lvl>
  </w:abstractNum>
  <w:abstractNum w:abstractNumId="15">
    <w:nsid w:val="70A64E2A"/>
    <w:multiLevelType w:val="hybridMultilevel"/>
    <w:lvl w:ilvl="0">
      <w:lvlJc w:val="left"/>
      <w:lvlText w:val="(%1)"/>
      <w:numFmt w:val="decimal"/>
      <w:start w:val="5"/>
    </w:lvl>
  </w:abstractNum>
  <w:abstractNum w:abstractNumId="16">
    <w:nsid w:val="6A2342EC"/>
    <w:multiLevelType w:val="hybridMultilevel"/>
    <w:lvl w:ilvl="0">
      <w:lvlJc w:val="left"/>
      <w:lvlText w:val="(%1)"/>
      <w:numFmt w:val="upperLetter"/>
      <w:start w:val="2"/>
    </w:lvl>
    <w:lvl w:ilvl="1">
      <w:lvlJc w:val="left"/>
      <w:lvlText w:val="(%2)"/>
      <w:numFmt w:val="lowerLetter"/>
      <w:start w:val="4"/>
    </w:lvl>
  </w:abstractNum>
  <w:abstractNum w:abstractNumId="17">
    <w:nsid w:val="2A487CB0"/>
    <w:multiLevelType w:val="hybridMultilevel"/>
    <w:lvl w:ilvl="0">
      <w:lvlJc w:val="left"/>
      <w:lvlText w:val="%1"/>
      <w:numFmt w:val="decimal"/>
      <w:start w:val="1"/>
    </w:lvl>
    <w:lvl w:ilvl="1">
      <w:lvlJc w:val="left"/>
      <w:lvlText w:val="(%2)"/>
      <w:numFmt w:val="lowerLetter"/>
      <w:start w:val="6"/>
    </w:lvl>
  </w:abstractNum>
  <w:abstractNum w:abstractNumId="18">
    <w:nsid w:val="1D4ED43B"/>
    <w:multiLevelType w:val="hybridMultilevel"/>
    <w:lvl w:ilvl="0">
      <w:lvlJc w:val="left"/>
      <w:lvlText w:val="%1."/>
      <w:numFmt w:val="decimal"/>
      <w:start w:val="3"/>
    </w:lvl>
    <w:lvl w:ilvl="1">
      <w:lvlJc w:val="left"/>
      <w:lvlText w:val="(%2)"/>
      <w:numFmt w:val="lowerLetter"/>
      <w:start w:val="1"/>
    </w:lvl>
  </w:abstractNum>
  <w:abstractNum w:abstractNumId="19">
    <w:nsid w:val="725A06FB"/>
    <w:multiLevelType w:val="hybridMultilevel"/>
    <w:lvl w:ilvl="0">
      <w:lvlJc w:val="left"/>
      <w:lvlText w:val="(%1)"/>
      <w:numFmt w:val="lowerLetter"/>
      <w:start w:val="2"/>
    </w:lvl>
  </w:abstractNum>
  <w:abstractNum w:abstractNumId="20">
    <w:nsid w:val="2CD89A32"/>
    <w:multiLevelType w:val="hybridMultilevel"/>
    <w:lvl w:ilvl="0">
      <w:lvlJc w:val="left"/>
      <w:lvlText w:val="%1"/>
      <w:numFmt w:val="decimal"/>
      <w:start w:val="1"/>
    </w:lvl>
    <w:lvl w:ilvl="1">
      <w:lvlJc w:val="left"/>
      <w:lvlText w:val="(%2)"/>
      <w:numFmt w:val="lowerLetter"/>
      <w:start w:val="3"/>
    </w:lvl>
  </w:abstractNum>
  <w:abstractNum w:abstractNumId="21">
    <w:nsid w:val="57E4CCAF"/>
    <w:multiLevelType w:val="hybridMultilevel"/>
    <w:lvl w:ilvl="0">
      <w:lvlJc w:val="left"/>
      <w:lvlText w:val="%1."/>
      <w:numFmt w:val="decimal"/>
      <w:start w:val="5"/>
    </w:lvl>
    <w:lvl w:ilvl="1">
      <w:lvlJc w:val="left"/>
      <w:lvlText w:val="%2"/>
      <w:numFmt w:val="lowerLetter"/>
      <w:start w:val="1"/>
    </w:lvl>
  </w:abstractNum>
  <w:abstractNum w:abstractNumId="22">
    <w:nsid w:val="7A6D8D3C"/>
    <w:multiLevelType w:val="hybridMultilevel"/>
    <w:lvl w:ilvl="0">
      <w:lvlJc w:val="left"/>
      <w:lvlText w:val="%1."/>
      <w:numFmt w:val="decimal"/>
      <w:start w:val="6"/>
    </w:lvl>
    <w:lvl w:ilvl="1">
      <w:lvlJc w:val="left"/>
      <w:lvlText w:val="(%2)"/>
      <w:numFmt w:val="lowerLetter"/>
      <w:start w:val="1"/>
    </w:lvl>
  </w:abstractNum>
  <w:abstractNum w:abstractNumId="23">
    <w:nsid w:val="4B588F54"/>
    <w:multiLevelType w:val="hybridMultilevel"/>
    <w:lvl w:ilvl="0">
      <w:lvlJc w:val="left"/>
      <w:lvlText w:val="%1"/>
      <w:numFmt w:val="decimal"/>
      <w:start w:val="1"/>
    </w:lvl>
    <w:lvl w:ilvl="1">
      <w:lvlJc w:val="left"/>
      <w:lvlText w:val="(%2)"/>
      <w:numFmt w:val="lowerLetter"/>
      <w:start w:val="3"/>
    </w:lvl>
  </w:abstractNum>
  <w:abstractNum w:abstractNumId="24">
    <w:nsid w:val="542289EC"/>
    <w:multiLevelType w:val="hybridMultilevel"/>
    <w:lvl w:ilvl="0">
      <w:lvlJc w:val="left"/>
      <w:lvlText w:val="%1."/>
      <w:numFmt w:val="decimal"/>
      <w:start w:val="8"/>
    </w:lvl>
    <w:lvl w:ilvl="1">
      <w:lvlJc w:val="left"/>
      <w:lvlText w:val="%2"/>
      <w:numFmt w:val="lowerLetter"/>
      <w:start w:val="1"/>
    </w:lvl>
  </w:abstractNum>
  <w:abstractNum w:abstractNumId="25">
    <w:nsid w:val="6DE91B18"/>
    <w:multiLevelType w:val="hybridMultilevel"/>
    <w:lvl w:ilvl="0">
      <w:lvlJc w:val="left"/>
      <w:lvlText w:val="%1."/>
      <w:numFmt w:val="decimal"/>
      <w:start w:val="9"/>
    </w:lvl>
  </w:abstractNum>
  <w:abstractNum w:abstractNumId="26">
    <w:nsid w:val="38437FDB"/>
    <w:multiLevelType w:val="hybridMultilevel"/>
    <w:lvl w:ilvl="0">
      <w:lvlJc w:val="left"/>
      <w:lvlText w:val="%1."/>
      <w:numFmt w:val="decimal"/>
      <w:start w:val="13"/>
    </w:lvl>
  </w:abstractNum>
  <w:abstractNum w:abstractNumId="27">
    <w:nsid w:val="7644A45C"/>
    <w:multiLevelType w:val="hybridMultilevel"/>
    <w:lvl w:ilvl="0">
      <w:lvlJc w:val="left"/>
      <w:lvlText w:val="(%1)"/>
      <w:numFmt w:val="lowerLetter"/>
      <w:start w:val="1"/>
    </w:lvl>
    <w:lvl w:ilvl="1">
      <w:lvlJc w:val="left"/>
      <w:lvlText w:val="(%2)"/>
      <w:numFmt w:val="lowerRoman"/>
      <w:start w:val="1"/>
    </w:lvl>
  </w:abstractNum>
  <w:abstractNum w:abstractNumId="28">
    <w:nsid w:val="32FFF902"/>
    <w:multiLevelType w:val="hybridMultilevel"/>
    <w:lvl w:ilvl="0">
      <w:lvlJc w:val="left"/>
      <w:lvlText w:val="%1"/>
      <w:numFmt w:val="decimal"/>
      <w:start w:val="1"/>
    </w:lvl>
    <w:lvl w:ilvl="1">
      <w:lvlJc w:val="left"/>
      <w:lvlText w:val="(%2)"/>
      <w:numFmt w:val="lowerLetter"/>
      <w:start w:val="2"/>
    </w:lvl>
  </w:abstractNum>
  <w:abstractNum w:abstractNumId="29">
    <w:nsid w:val="684A481A"/>
    <w:multiLevelType w:val="hybridMultilevel"/>
    <w:lvl w:ilvl="0">
      <w:lvlJc w:val="left"/>
      <w:lvlText w:val="%1."/>
      <w:numFmt w:val="decimal"/>
      <w:start w:val="16"/>
    </w:lvl>
    <w:lvl w:ilvl="1">
      <w:lvlJc w:val="left"/>
      <w:lvlText w:val="%2"/>
      <w:numFmt w:val="lowerLetter"/>
      <w:start w:val="1"/>
    </w:lvl>
  </w:abstractNum>
  <w:abstractNum w:abstractNumId="30">
    <w:nsid w:val="579478FE"/>
    <w:multiLevelType w:val="hybridMultilevel"/>
    <w:lvl w:ilvl="0">
      <w:lvlJc w:val="left"/>
      <w:lvlText w:val="%1."/>
      <w:numFmt w:val="decimal"/>
      <w:start w:val="17"/>
    </w:lvl>
    <w:lvl w:ilvl="1">
      <w:lvlJc w:val="left"/>
      <w:lvlText w:val="(%2)"/>
      <w:numFmt w:val="lowerLetter"/>
      <w:start w:val="1"/>
    </w:lvl>
  </w:abstractNum>
  <w:abstractNum w:abstractNumId="31">
    <w:nsid w:val="749ABB43"/>
    <w:multiLevelType w:val="hybridMultilevel"/>
    <w:lvl w:ilvl="0">
      <w:lvlJc w:val="left"/>
      <w:lvlText w:val="(%1)"/>
      <w:numFmt w:val="lowerLetter"/>
      <w:start w:val="3"/>
    </w:lvl>
  </w:abstractNum>
  <w:abstractNum w:abstractNumId="32">
    <w:nsid w:val="3DC240FB"/>
    <w:multiLevelType w:val="hybridMultilevel"/>
    <w:lvl w:ilvl="0">
      <w:lvlJc w:val="left"/>
      <w:lvlText w:val="(%1)"/>
      <w:numFmt w:val="lowerLetter"/>
      <w:start w:val="5"/>
    </w:lvl>
  </w:abstractNum>
  <w:abstractNum w:abstractNumId="33">
    <w:nsid w:val="1BA026FA"/>
    <w:multiLevelType w:val="hybridMultilevel"/>
    <w:lvl w:ilvl="0">
      <w:lvlJc w:val="left"/>
      <w:lvlText w:val="(%1)"/>
      <w:numFmt w:val="lowerLetter"/>
      <w:start w:val="9"/>
    </w:lvl>
  </w:abstractNum>
  <w:abstractNum w:abstractNumId="34">
    <w:nsid w:val="79A1DEAA"/>
    <w:multiLevelType w:val="hybridMultilevel"/>
    <w:lvl w:ilvl="0">
      <w:lvlJc w:val="left"/>
      <w:lvlText w:val="(%1)"/>
      <w:numFmt w:val="lowerLetter"/>
      <w:start w:val="12"/>
    </w:lvl>
  </w:abstractNum>
  <w:abstractNum w:abstractNumId="35">
    <w:nsid w:val="75C6C33A"/>
    <w:multiLevelType w:val="hybridMultilevel"/>
    <w:lvl w:ilvl="0">
      <w:lvlJc w:val="left"/>
      <w:lvlText w:val="%1"/>
      <w:numFmt w:val="lowerLetter"/>
      <w:start w:val="1"/>
    </w:lvl>
    <w:lvl w:ilvl="1">
      <w:lvlJc w:val="left"/>
      <w:lvlText w:val="(%2)"/>
      <w:numFmt w:val="lowerLetter"/>
      <w:start w:val="18"/>
    </w:lvl>
  </w:abstractNum>
  <w:abstractNum w:abstractNumId="36">
    <w:nsid w:val="12E685FB"/>
    <w:multiLevelType w:val="hybridMultilevel"/>
    <w:lvl w:ilvl="0">
      <w:lvlJc w:val="left"/>
      <w:lvlText w:val="(%1)"/>
      <w:numFmt w:val="lowerLetter"/>
      <w:start w:val="9"/>
    </w:lvl>
    <w:lvl w:ilvl="1">
      <w:lvlJc w:val="left"/>
      <w:lvlText w:val="%2"/>
      <w:numFmt w:val="lowerLetter"/>
      <w:start w:val="1"/>
    </w:lvl>
  </w:abstractNum>
  <w:abstractNum w:abstractNumId="37">
    <w:nsid w:val="70C6A529"/>
    <w:multiLevelType w:val="hybridMultilevel"/>
    <w:lvl w:ilvl="0">
      <w:lvlJc w:val="left"/>
      <w:lvlText w:val="(%1)"/>
      <w:numFmt w:val="lowerLetter"/>
      <w:start w:val="19"/>
    </w:lvl>
  </w:abstractNum>
  <w:abstractNum w:abstractNumId="38">
    <w:nsid w:val="520EEDD1"/>
    <w:multiLevelType w:val="hybridMultilevel"/>
    <w:lvl w:ilvl="0">
      <w:lvlJc w:val="left"/>
      <w:lvlText w:val="%1."/>
      <w:numFmt w:val="decimal"/>
      <w:start w:val="1"/>
    </w:lvl>
    <w:lvl w:ilvl="1">
      <w:lvlJc w:val="left"/>
      <w:lvlText w:val="☐"/>
      <w:numFmt w:val="bullet"/>
      <w:start w:val="1"/>
    </w:lvl>
  </w:abstractNum>
  <w:abstractNum w:abstractNumId="39">
    <w:nsid w:val="374A3FE6"/>
    <w:multiLevelType w:val="hybridMultilevel"/>
    <w:lvl w:ilvl="0">
      <w:lvlJc w:val="left"/>
      <w:lvlText w:val="%1."/>
      <w:numFmt w:val="decimal"/>
      <w:start w:val="2"/>
    </w:lvl>
  </w:abstractNum>
  <w:abstractNum w:abstractNumId="40">
    <w:nsid w:val="4F4EF005"/>
    <w:multiLevelType w:val="hybridMultilevel"/>
    <w:lvl w:ilvl="0">
      <w:lvlJc w:val="left"/>
      <w:lvlText w:val="☐"/>
      <w:numFmt w:val="bullet"/>
      <w:start w:val="1"/>
    </w:lvl>
    <w:lvl w:ilvl="1">
      <w:lvlJc w:val="left"/>
      <w:lvlText w:val="☐"/>
      <w:numFmt w:val="bullet"/>
      <w:start w:val="1"/>
    </w:lvl>
  </w:abstractNum>
  <w:abstractNum w:abstractNumId="41">
    <w:nsid w:val="23F9C13C"/>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lowerLetter"/>
      <w:start w:val="1"/>
    </w:lvl>
  </w:abstractNum>
  <w:abstractNum w:abstractNumId="42">
    <w:nsid w:val="649BB77C"/>
    <w:multiLevelType w:val="hybridMultilevel"/>
    <w:lvl w:ilvl="0">
      <w:lvlJc w:val="left"/>
      <w:lvlText w:val="%1"/>
      <w:numFmt w:val="decimal"/>
      <w:start w:val="1"/>
    </w:lvl>
    <w:lvl w:ilvl="1">
      <w:lvlJc w:val="left"/>
      <w:lvlText w:val="%2."/>
      <w:numFmt w:val="decimal"/>
      <w:start w:val="2"/>
    </w:lvl>
    <w:lvl w:ilvl="2">
      <w:lvlJc w:val="left"/>
      <w:lvlText w:val="%3"/>
      <w:numFmt w:val="decimal"/>
      <w:start w:val="1"/>
    </w:lvl>
    <w:lvl w:ilvl="3">
      <w:lvlJc w:val="left"/>
      <w:lvlText w:val="%4"/>
      <w:numFmt w:val="lowerLetter"/>
      <w:start w:val="1"/>
    </w:lvl>
  </w:abstractNum>
  <w:abstractNum w:abstractNumId="43">
    <w:nsid w:val="275AC794"/>
    <w:multiLevelType w:val="hybridMultilevel"/>
    <w:lvl w:ilvl="0">
      <w:lvlJc w:val="left"/>
      <w:lvlText w:val="%1."/>
      <w:numFmt w:val="decimal"/>
      <w:start w:val="3"/>
    </w:lvl>
    <w:lvl w:ilvl="1">
      <w:lvlJc w:val="left"/>
      <w:lvlText w:val="%2"/>
      <w:numFmt w:val="decimal"/>
      <w:start w:val="1"/>
    </w:lvl>
    <w:lvl w:ilvl="2">
      <w:lvlJc w:val="left"/>
      <w:lvlText w:val="%3"/>
      <w:numFmt w:val="decimal"/>
      <w:start w:val="1"/>
    </w:lvl>
    <w:lvl w:ilvl="3">
      <w:lvlJc w:val="left"/>
      <w:lvlText w:val="(%4)"/>
      <w:numFmt w:val="lowerLetter"/>
      <w:start w:val="1"/>
    </w:lvl>
  </w:abstractNum>
  <w:abstractNum w:abstractNumId="44">
    <w:nsid w:val="39386575"/>
    <w:multiLevelType w:val="hybridMultilevel"/>
    <w:lvl w:ilvl="0">
      <w:lvlJc w:val="left"/>
      <w:lvlText w:val="(%1)"/>
      <w:numFmt w:val="lowerLetter"/>
      <w:start w:val="3"/>
    </w:lvl>
  </w:abstractNum>
  <w:abstractNum w:abstractNumId="45">
    <w:nsid w:val="1CF10FD8"/>
    <w:multiLevelType w:val="hybridMultilevel"/>
    <w:lvl w:ilvl="0">
      <w:lvlJc w:val="left"/>
      <w:lvlText w:val="(%1)"/>
      <w:numFmt w:val="lowerLetter"/>
      <w:start w:val="7"/>
    </w:lvl>
  </w:abstractNum>
  <w:abstractNum w:abstractNumId="46">
    <w:nsid w:val="180115BE"/>
    <w:multiLevelType w:val="hybridMultilevel"/>
    <w:lvl w:ilvl="0">
      <w:lvlJc w:val="left"/>
      <w:lvlText w:val="(%1)"/>
      <w:numFmt w:val="lowerLetter"/>
      <w:start w:val="10"/>
    </w:lvl>
  </w:abstractNum>
  <w:abstractNum w:abstractNumId="47">
    <w:nsid w:val="235BA861"/>
    <w:multiLevelType w:val="hybridMultilevel"/>
    <w:lvl w:ilvl="0">
      <w:lvlJc w:val="left"/>
      <w:lvlText w:val="%1."/>
      <w:numFmt w:val="decimal"/>
      <w:start w:val="1"/>
    </w:lvl>
    <w:lvl w:ilvl="1">
      <w:lvlJc w:val="left"/>
      <w:lvlText w:val="(%2)"/>
      <w:numFmt w:val="lowerLetter"/>
      <w:start w:val="1"/>
    </w:lvl>
  </w:abstractNum>
  <w:abstractNum w:abstractNumId="48">
    <w:nsid w:val="47398C89"/>
    <w:multiLevelType w:val="hybridMultilevel"/>
    <w:lvl w:ilvl="0">
      <w:lvlJc w:val="left"/>
      <w:lvlText w:val="(%1)"/>
      <w:numFmt w:val="lowerLetter"/>
      <w:start w:val="3"/>
    </w:lvl>
  </w:abstractNum>
  <w:abstractNum w:abstractNumId="49">
    <w:nsid w:val="354FE9F9"/>
    <w:multiLevelType w:val="hybridMultilevel"/>
    <w:lvl w:ilvl="0">
      <w:lvlJc w:val="left"/>
      <w:lvlText w:val="(%1)"/>
      <w:numFmt w:val="lowerLetter"/>
      <w:start w:val="8"/>
    </w:lvl>
    <w:lvl w:ilvl="1">
      <w:lvlJc w:val="left"/>
      <w:lvlText w:val="(%2)"/>
      <w:numFmt w:val="lowerLetter"/>
      <w:start w:val="9"/>
    </w:lvl>
  </w:abstractNum>
  <w:abstractNum w:abstractNumId="50">
    <w:nsid w:val="15B5AF5C"/>
    <w:multiLevelType w:val="hybridMultilevel"/>
    <w:lvl w:ilvl="0">
      <w:lvlJc w:val="left"/>
      <w:lvlText w:val="%1."/>
      <w:numFmt w:val="lowerRoman"/>
      <w:start w:val="1"/>
    </w:lvl>
  </w:abstractNum>
  <w:abstractNum w:abstractNumId="51">
    <w:nsid w:val="741226BB"/>
    <w:multiLevelType w:val="hybridMultilevel"/>
    <w:lvl w:ilvl="0">
      <w:lvlJc w:val="left"/>
      <w:lvlText w:val="%1"/>
      <w:numFmt w:val="lowerRoman"/>
      <w:start w:val="1"/>
    </w:lvl>
    <w:lvl w:ilvl="1">
      <w:lvlJc w:val="left"/>
      <w:lvlText w:val="%2."/>
      <w:numFmt w:val="lowerRoman"/>
      <w:start w:val="2"/>
    </w:lvl>
  </w:abstractNum>
  <w:abstractNum w:abstractNumId="52">
    <w:nsid w:val="D34B6A8"/>
    <w:multiLevelType w:val="hybridMultilevel"/>
    <w:lvl w:ilvl="0">
      <w:lvlJc w:val="left"/>
      <w:lvlText w:val="(%1)"/>
      <w:numFmt w:val="lowerRoman"/>
      <w:start w:val="2"/>
    </w:lvl>
    <w:lvl w:ilvl="1">
      <w:lvlJc w:val="left"/>
      <w:lvlText w:val="%2"/>
      <w:numFmt w:val="lowerRoman"/>
      <w:start w:val="1"/>
    </w:lvl>
  </w:abstractNum>
  <w:abstractNum w:abstractNumId="53">
    <w:nsid w:val="10233C99"/>
    <w:multiLevelType w:val="hybridMultilevel"/>
    <w:lvl w:ilvl="0">
      <w:lvlJc w:val="left"/>
      <w:lvlText w:val="%1"/>
      <w:numFmt w:val="lowerLetter"/>
      <w:start w:val="1"/>
    </w:lvl>
    <w:lvl w:ilvl="1">
      <w:lvlJc w:val="left"/>
      <w:lvlText w:val="(%2)"/>
      <w:numFmt w:val="lowerLetter"/>
      <w:start w:val="22"/>
    </w:lvl>
  </w:abstractNum>
  <w:abstractNum w:abstractNumId="54">
    <w:nsid w:val="3F6AB60F"/>
    <w:multiLevelType w:val="hybridMultilevel"/>
    <w:lvl w:ilvl="0">
      <w:lvlJc w:val="left"/>
      <w:lvlText w:val="(%1)"/>
      <w:numFmt w:val="lowerLetter"/>
      <w:start w:val="9"/>
    </w:lvl>
    <w:lvl w:ilvl="1">
      <w:lvlJc w:val="left"/>
      <w:lvlText w:val="%2"/>
      <w:numFmt w:val="lowerLetter"/>
      <w:start w:val="1"/>
    </w:lvl>
  </w:abstractNum>
  <w:abstractNum w:abstractNumId="55">
    <w:nsid w:val="61574095"/>
    <w:multiLevelType w:val="hybridMultilevel"/>
    <w:lvl w:ilvl="0">
      <w:lvlJc w:val="left"/>
      <w:lvlText w:val="(%1)"/>
      <w:numFmt w:val="lowerLetter"/>
      <w:start w:val="11"/>
    </w:lvl>
  </w:abstractNum>
  <w:abstractNum w:abstractNumId="56">
    <w:nsid w:val="7E0C57B1"/>
    <w:multiLevelType w:val="hybridMultilevel"/>
    <w:lvl w:ilvl="0">
      <w:lvlJc w:val="left"/>
      <w:lvlText w:val="%1."/>
      <w:numFmt w:val="decimal"/>
      <w:start w:val="2"/>
    </w:lvl>
    <w:lvl w:ilvl="1">
      <w:lvlJc w:val="left"/>
      <w:lvlText w:val="(%2)"/>
      <w:numFmt w:val="lowerLetter"/>
      <w:start w:val="1"/>
    </w:lvl>
  </w:abstractNum>
  <w:abstractNum w:abstractNumId="57">
    <w:nsid w:val="77AE35EB"/>
    <w:multiLevelType w:val="hybridMultilevel"/>
    <w:lvl w:ilvl="0">
      <w:lvlJc w:val="left"/>
      <w:lvlText w:val="(%1)"/>
      <w:numFmt w:val="lowerLetter"/>
      <w:start w:val="3"/>
    </w:lvl>
  </w:abstractNum>
  <w:abstractNum w:abstractNumId="58">
    <w:nsid w:val="579BE4F1"/>
    <w:multiLevelType w:val="hybridMultilevel"/>
    <w:lvl w:ilvl="0">
      <w:lvlJc w:val="left"/>
      <w:lvlText w:val="(%1)"/>
      <w:numFmt w:val="lowerLetter"/>
      <w:start w:val="8"/>
    </w:lvl>
  </w:abstractNum>
  <w:abstractNum w:abstractNumId="59">
    <w:nsid w:val="310C50B3"/>
    <w:multiLevelType w:val="hybridMultilevel"/>
    <w:lvl w:ilvl="0">
      <w:lvlJc w:val="left"/>
      <w:lvlText w:val="(%1)"/>
      <w:numFmt w:val="lowerLetter"/>
      <w:start w:val="1"/>
    </w:lvl>
  </w:abstractNum>
  <w:abstractNum w:abstractNumId="60">
    <w:nsid w:val="5FF87E05"/>
    <w:multiLevelType w:val="hybridMultilevel"/>
    <w:lvl w:ilvl="0">
      <w:lvlJc w:val="left"/>
      <w:lvlText w:val="(%1)"/>
      <w:numFmt w:val="lowerLetter"/>
      <w:start w:val="5"/>
    </w:lvl>
  </w:abstractNum>
  <w:abstractNum w:abstractNumId="61">
    <w:nsid w:val="2F305DEF"/>
    <w:multiLevelType w:val="hybridMultilevel"/>
    <w:lvl w:ilvl="0">
      <w:lvlJc w:val="left"/>
      <w:lvlText w:val="(%1)"/>
      <w:numFmt w:val="lowerLetter"/>
      <w:start w:val="8"/>
    </w:lvl>
  </w:abstractNum>
  <w:abstractNum w:abstractNumId="62">
    <w:nsid w:val="25A70BF7"/>
    <w:multiLevelType w:val="hybridMultilevel"/>
    <w:lvl w:ilvl="0">
      <w:lvlJc w:val="left"/>
      <w:lvlText w:val="(%1)"/>
      <w:numFmt w:val="lowerLetter"/>
      <w:start w:val="14"/>
    </w:lvl>
  </w:abstractNum>
  <w:abstractNum w:abstractNumId="63">
    <w:nsid w:val="1DBABF00"/>
    <w:multiLevelType w:val="hybridMultilevel"/>
    <w:lvl w:ilvl="0">
      <w:lvlJc w:val="left"/>
      <w:lvlText w:val="(%1)"/>
      <w:numFmt w:val="lowerLetter"/>
      <w:start w:val="15"/>
    </w:lvl>
  </w:abstractNum>
  <w:abstractNum w:abstractNumId="64">
    <w:nsid w:val="4AD084E9"/>
    <w:multiLevelType w:val="hybridMultilevel"/>
    <w:lvl w:ilvl="0">
      <w:lvlJc w:val="left"/>
      <w:lvlText w:val="(%1)"/>
      <w:numFmt w:val="lowerLetter"/>
      <w:start w:val="18"/>
    </w:lvl>
  </w:abstractNum>
  <w:abstractNum w:abstractNumId="65">
    <w:nsid w:val="1F48EAA1"/>
    <w:multiLevelType w:val="hybridMultilevel"/>
    <w:lvl w:ilvl="0">
      <w:lvlJc w:val="left"/>
      <w:lvlText w:val="(%1)"/>
      <w:numFmt w:val="lowerLetter"/>
      <w:start w:val="19"/>
    </w:lvl>
  </w:abstractNum>
  <w:abstractNum w:abstractNumId="66">
    <w:nsid w:val="1381823A"/>
    <w:multiLevelType w:val="hybridMultilevel"/>
    <w:lvl w:ilvl="0">
      <w:lvlJc w:val="left"/>
      <w:lvlText w:val="(%1)"/>
      <w:numFmt w:val="lowerLetter"/>
      <w:start w:val="21"/>
    </w:lvl>
  </w:abstractNum>
  <w:abstractNum w:abstractNumId="67">
    <w:nsid w:val="5DB70AE5"/>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2026-02-20T15:20:50Z</dcterms:created>
  <dcterms:modified xsi:type="dcterms:W3CDTF">2026-02-20T15:20:50Z</dcterms:modified>
</cp:coreProperties>
</file>