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 2025</w:t>
      </w:r>
    </w:p>
    <w:p>
      <w:pPr>
        <w:spacing w:after="0" w:line="6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41"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001-39852</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92-1062542</w:t>
            </w:r>
          </w:p>
        </w:tc>
      </w:tr>
      <w:tr>
        <w:trPr>
          <w:trHeight w:val="149"/>
        </w:trPr>
        <w:tc>
          <w:tcPr>
            <w:tcW w:w="20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2"/>
        </w:trPr>
        <w:tc>
          <w:tcPr>
            <w:tcW w:w="2080" w:type="dxa"/>
            <w:vAlign w:val="bottom"/>
          </w:tcPr>
          <w:p>
            <w:pPr>
              <w:spacing w:after="0"/>
              <w:rPr>
                <w:sz w:val="21"/>
                <w:szCs w:val="21"/>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960 San Antonio Road, Palo Alto, California, 94303</w:t>
            </w:r>
          </w:p>
        </w:tc>
        <w:tc>
          <w:tcPr>
            <w:tcW w:w="1700" w:type="dxa"/>
            <w:vAlign w:val="bottom"/>
          </w:tcPr>
          <w:p>
            <w:pPr>
              <w:spacing w:after="0"/>
              <w:rPr>
                <w:sz w:val="21"/>
                <w:szCs w:val="21"/>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(650) 516-4310</w:t>
            </w:r>
          </w:p>
        </w:tc>
        <w:tc>
          <w:tcPr>
            <w:tcW w:w="1700" w:type="dxa"/>
            <w:vAlign w:val="bottom"/>
          </w:tcPr>
          <w:p>
            <w:pPr>
              <w:spacing w:after="0"/>
              <w:rPr>
                <w:sz w:val="22"/>
                <w:szCs w:val="22"/>
                <w:color w:val="auto"/>
              </w:rPr>
            </w:pPr>
          </w:p>
        </w:tc>
      </w:tr>
      <w:tr>
        <w:trPr>
          <w:trHeight w:val="220"/>
        </w:trPr>
        <w:tc>
          <w:tcPr>
            <w:tcW w:w="2080" w:type="dxa"/>
            <w:vAlign w:val="bottom"/>
          </w:tcPr>
          <w:p>
            <w:pPr>
              <w:spacing w:after="0"/>
              <w:rPr>
                <w:sz w:val="19"/>
                <w:szCs w:val="19"/>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19"/>
                <w:szCs w:val="19"/>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00" w:type="dxa"/>
            <w:vAlign w:val="bottom"/>
          </w:tcPr>
          <w:p>
            <w:pPr>
              <w:spacing w:after="0"/>
              <w:rPr>
                <w:sz w:val="22"/>
                <w:szCs w:val="22"/>
                <w:color w:val="auto"/>
              </w:rPr>
            </w:pPr>
          </w:p>
        </w:tc>
      </w:tr>
    </w:tbl>
    <w:p>
      <w:pPr>
        <w:spacing w:after="0" w:line="36"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right="2120" w:firstLine="517"/>
        <w:spacing w:after="0" w:line="349" w:lineRule="auto"/>
        <w:tabs>
          <w:tab w:leader="none" w:pos="10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vMerge w:val="continue"/>
          </w:tcPr>
          <w:p>
            <w:pPr>
              <w:spacing w:after="0"/>
              <w:rPr>
                <w:sz w:val="15"/>
                <w:szCs w:val="15"/>
                <w:color w:val="auto"/>
              </w:rPr>
            </w:pPr>
          </w:p>
        </w:tc>
        <w:tc>
          <w:tcPr>
            <w:tcW w:w="2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SCLX</w:t>
            </w:r>
          </w:p>
        </w:tc>
        <w:tc>
          <w:tcPr>
            <w:tcW w:w="220" w:type="dxa"/>
            <w:vAlign w:val="bottom"/>
            <w:vMerge w:val="continue"/>
          </w:tcPr>
          <w:p>
            <w:pPr>
              <w:spacing w:after="0"/>
              <w:rPr>
                <w:sz w:val="15"/>
                <w:szCs w:val="15"/>
                <w:color w:val="auto"/>
              </w:rPr>
            </w:pPr>
          </w:p>
        </w:tc>
        <w:tc>
          <w:tcPr>
            <w:tcW w:w="4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to purchase one share of common</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SCLXW</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each at an exercise price of $402.50</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2025, Scilex Holding Company (the “Company”) entered into a Non-Recourse Loan and Securities Pledge Agreement (the “Loan Agreement”) with The St. James Bank &amp; Trust Company Ltd., a corporation existing under the laws of the Bahamas (the “Lender”), pursuant to which the Lender agreed to loan the Company an aggregate principal amount of up to $50 million in one or more tranches (the “Loan”). The timing and amount of any particular tranche of the Loan shall be determined at the sole discretion of the Lender and the Lender shall notify the Company in advance of its intention to fund a particular tranche.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 will accrue interest at the rate of the 12-month Secured Overnight Financing Rate plus 2.0% per annum, with such interest due and payable on the earlier of Maturity Date and the date of an event of default. The “Maturity Date” of the Loan is the fourth anniversary of the closing date of the first tranche of the Loan and may be extended by up to 12 months at the request of the Company. The Company is also required to pay a fee of 0.25% of the principal amount of each tranche.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Loan Agreement, the Company agreed to pledge approximately 39.2 million shares of common stock of Datavault AI Inc. currently held by Scilex (the “Pledged Securities”) in favor of the Lender as security for the Company’s satisfaction of its obligations thereunder. The Pledged Securities will be held in a securities account that the Company will open with the Lender.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Agreement contains certain events of default, including, without limitation: a decrease in the closing price of the Pledged Securities of more than 20%, provided that such decrease is not cured within three days by delivering additional securities into the securities account or depositing cash into a bank account with the Lender as security for the Loan; a decrease in the average trading volume of the Pledged Securities for any three consecutive trading days of more than 20% relative to the average trading volume of the 30 trading day period immediately preceding the closing of a tranche of the Loan; or the Pledged Securities are delisted from the national securities exchange on which they are currently listed. If an event of default occurs and is not cured within the specified cure period under the terms of the Loan Agreement, then the Lender has certain remedies under the Loan Agreement, in addition to any remedies provided at law or in equity, including, without limitation, the interest rate of the Loan will increase by an additional 5.0% per annum and the Loan Agreement will terminate automatically with the Lender entitled to foreclose upon or otherwise dispose of the Pledged Securities.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Loan Agreement also contains positive and negative covenants, representations and warranties and indemnification provisions that are customary for transactions of this type.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Loan Agreement does not purport to be complete and is qualified in its entirety by reference to the full text of the Loan Agreement, a copy of which is filed herewith as Exhibit 10.1 and is incorporated herein by reference.</w:t>
      </w:r>
    </w:p>
    <w:p>
      <w:pPr>
        <w:spacing w:after="0" w:line="158" w:lineRule="exact"/>
        <w:rPr>
          <w:sz w:val="20"/>
          <w:szCs w:val="20"/>
          <w:color w:val="auto"/>
        </w:rPr>
      </w:pPr>
    </w:p>
    <w:p>
      <w:pPr>
        <w:ind w:right="15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2.03. Creation of a Direct Financial Obligation or an Obligation under an Off-Balance Sheet Arrangement of a Registrant </w:t>
      </w:r>
      <w:r>
        <w:rPr>
          <w:rFonts w:ascii="Times New Roman" w:cs="Times New Roman" w:eastAsia="Times New Roman" w:hAnsi="Times New Roman"/>
          <w:sz w:val="18"/>
          <w:szCs w:val="18"/>
          <w:color w:val="auto"/>
        </w:rPr>
        <w:t>The information set forth under Item 1.01 above relating to the Loan Agreement is incorporated by reference herein.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141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Non-Recourse Loan and Securities Pledge Agreement, dated December 1, 2025, by and between Scilex Holding Company and The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99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James Bank &amp; Trust Company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16249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p>
      <w:pPr>
        <w:spacing w:after="0" w:line="200" w:lineRule="exact"/>
        <w:rPr>
          <w:sz w:val="20"/>
          <w:szCs w:val="20"/>
          <w:color w:val="auto"/>
        </w:rPr>
      </w:pPr>
    </w:p>
    <w:p>
      <w:pPr>
        <w:sectPr>
          <w:pgSz w:w="11900" w:h="16838" w:orient="portrait"/>
          <w:cols w:equalWidth="0" w:num="2">
            <w:col w:w="900" w:space="420"/>
            <w:col w:w="9920"/>
          </w:cols>
          <w:pgMar w:left="320" w:top="1413"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480" w:type="dxa"/>
            <w:vAlign w:val="bottom"/>
          </w:tcPr>
          <w:p>
            <w:pPr>
              <w:spacing w:after="0"/>
              <w:rPr>
                <w:sz w:val="24"/>
                <w:szCs w:val="24"/>
                <w:color w:val="auto"/>
              </w:rPr>
            </w:pPr>
          </w:p>
        </w:tc>
        <w:tc>
          <w:tcPr>
            <w:tcW w:w="23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Ji</w:t>
            </w:r>
          </w:p>
        </w:tc>
      </w:tr>
      <w:tr>
        <w:trPr>
          <w:trHeight w:val="191"/>
        </w:trPr>
        <w:tc>
          <w:tcPr>
            <w:tcW w:w="3480" w:type="dxa"/>
            <w:vAlign w:val="bottom"/>
          </w:tcPr>
          <w:p>
            <w:pPr>
              <w:spacing w:after="0"/>
              <w:rPr>
                <w:sz w:val="16"/>
                <w:szCs w:val="16"/>
                <w:color w:val="auto"/>
              </w:rPr>
            </w:pPr>
          </w:p>
        </w:tc>
        <w:tc>
          <w:tcPr>
            <w:tcW w:w="2380" w:type="dxa"/>
            <w:vAlign w:val="bottom"/>
          </w:tcPr>
          <w:p>
            <w:pPr>
              <w:ind w:left="1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Henry Ji</w:t>
            </w: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2025</w:t>
            </w:r>
          </w:p>
        </w:tc>
        <w:tc>
          <w:tcPr>
            <w:tcW w:w="23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648"/>
        </w:trPr>
        <w:tc>
          <w:tcPr>
            <w:tcW w:w="3480" w:type="dxa"/>
            <w:vAlign w:val="bottom"/>
          </w:tcPr>
          <w:p>
            <w:pPr>
              <w:spacing w:after="0"/>
              <w:rPr>
                <w:sz w:val="24"/>
                <w:szCs w:val="24"/>
                <w:color w:val="auto"/>
              </w:rPr>
            </w:pPr>
          </w:p>
        </w:tc>
        <w:tc>
          <w:tcPr>
            <w:tcW w:w="23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w:t>
            </w:r>
          </w:p>
        </w:tc>
        <w:tc>
          <w:tcPr>
            <w:tcW w:w="5380" w:type="dxa"/>
            <w:vAlign w:val="bottom"/>
          </w:tcPr>
          <w:p>
            <w:pPr>
              <w:spacing w:after="0"/>
              <w:rPr>
                <w:sz w:val="24"/>
                <w:szCs w:val="24"/>
                <w:color w:val="auto"/>
              </w:rPr>
            </w:pPr>
          </w:p>
        </w:tc>
      </w:tr>
      <w:tr>
        <w:trPr>
          <w:trHeight w:val="979"/>
        </w:trPr>
        <w:tc>
          <w:tcPr>
            <w:tcW w:w="34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NON-RECOURSE LOAN AND SECURITIES PLEDGE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b w:val="1"/>
          <w:bCs w:val="1"/>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b w:val="1"/>
          <w:bCs w:val="1"/>
          <w:color w:val="auto"/>
        </w:rPr>
        <w:t>THE ST. JAMES BANK &amp; TRUST COMPANY LTD.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9"/>
          <w:szCs w:val="19"/>
          <w:b w:val="1"/>
          <w:bCs w:val="1"/>
          <w:color w:val="auto"/>
        </w:rPr>
        <w:t>SCILEX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896620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8"/>
        </w:trPr>
        <w:tc>
          <w:tcPr>
            <w:tcW w:w="8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1560" w:type="dxa"/>
            <w:vAlign w:val="bottom"/>
          </w:tcPr>
          <w:p>
            <w:pPr>
              <w:spacing w:after="0"/>
              <w:rPr>
                <w:sz w:val="18"/>
                <w:szCs w:val="18"/>
                <w:color w:val="auto"/>
              </w:rPr>
            </w:pPr>
          </w:p>
        </w:tc>
      </w:tr>
      <w:tr>
        <w:trPr>
          <w:trHeight w:val="422"/>
        </w:trPr>
        <w:tc>
          <w:tcPr>
            <w:tcW w:w="460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ARTICLE I DEFINITIONS</w:t>
            </w:r>
          </w:p>
        </w:tc>
        <w:tc>
          <w:tcPr>
            <w:tcW w:w="204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1.1</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Definitions</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w:t>
            </w:r>
          </w:p>
        </w:tc>
      </w:tr>
      <w:tr>
        <w:trPr>
          <w:trHeight w:val="248"/>
        </w:trPr>
        <w:tc>
          <w:tcPr>
            <w:tcW w:w="8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1.2</w:t>
            </w:r>
          </w:p>
        </w:tc>
        <w:tc>
          <w:tcPr>
            <w:tcW w:w="888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Interpretation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r>
      <w:tr>
        <w:trPr>
          <w:trHeight w:val="400"/>
        </w:trPr>
        <w:tc>
          <w:tcPr>
            <w:tcW w:w="968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ARTICLE II LOAN AND PLEDGED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2.1</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Loan Terms</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5</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2.2</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Pledged Securities; Tranches</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6</w:t>
            </w:r>
          </w:p>
        </w:tc>
      </w:tr>
      <w:tr>
        <w:trPr>
          <w:trHeight w:val="248"/>
        </w:trPr>
        <w:tc>
          <w:tcPr>
            <w:tcW w:w="8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2.3</w:t>
            </w:r>
          </w:p>
        </w:tc>
        <w:tc>
          <w:tcPr>
            <w:tcW w:w="888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Dealing with the Pledged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400"/>
        </w:trPr>
        <w:tc>
          <w:tcPr>
            <w:tcW w:w="968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ARTICLE III MATURITY DATE, PREPAYMENT, REPAYMENT AND RE-DELIVERY</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3.1</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Extension of Maturity Date</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7</w:t>
            </w:r>
          </w:p>
        </w:tc>
      </w:tr>
      <w:tr>
        <w:trPr>
          <w:trHeight w:val="248"/>
        </w:trPr>
        <w:tc>
          <w:tcPr>
            <w:tcW w:w="8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3.2</w:t>
            </w:r>
          </w:p>
        </w:tc>
        <w:tc>
          <w:tcPr>
            <w:tcW w:w="888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Prepayment, Repayment and Re-Delivery</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r>
      <w:tr>
        <w:trPr>
          <w:trHeight w:val="400"/>
        </w:trPr>
        <w:tc>
          <w:tcPr>
            <w:tcW w:w="968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ARTICLE IV REPRESENTATIONS, WARRANTIES, COVENANTS AND ACKNOWLEDGMENTS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4.1</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Representations and Warranties of the Borrower</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8</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4.2</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Positive Covenants of the Borrower</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9</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4.3</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Negative Covenants of the Borrower</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4.4</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Acknowledgments of the Borrower</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10</w:t>
            </w:r>
          </w:p>
        </w:tc>
      </w:tr>
      <w:tr>
        <w:trPr>
          <w:trHeight w:val="248"/>
        </w:trPr>
        <w:tc>
          <w:tcPr>
            <w:tcW w:w="8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4.5</w:t>
            </w:r>
          </w:p>
        </w:tc>
        <w:tc>
          <w:tcPr>
            <w:tcW w:w="888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Survival</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400"/>
        </w:trPr>
        <w:tc>
          <w:tcPr>
            <w:tcW w:w="968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ARTICLE V NON-RECOURSE</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w:t>
            </w:r>
          </w:p>
        </w:tc>
      </w:tr>
      <w:tr>
        <w:trPr>
          <w:trHeight w:val="248"/>
        </w:trPr>
        <w:tc>
          <w:tcPr>
            <w:tcW w:w="8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5.1</w:t>
            </w:r>
          </w:p>
        </w:tc>
        <w:tc>
          <w:tcPr>
            <w:tcW w:w="888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Non-Recourse</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r>
      <w:tr>
        <w:trPr>
          <w:trHeight w:val="400"/>
        </w:trPr>
        <w:tc>
          <w:tcPr>
            <w:tcW w:w="968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ARTICLE VI EVENTS OF DEFAULT</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6.1</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Events of Default</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11</w:t>
            </w:r>
          </w:p>
        </w:tc>
      </w:tr>
      <w:tr>
        <w:trPr>
          <w:trHeight w:val="248"/>
        </w:trPr>
        <w:tc>
          <w:tcPr>
            <w:tcW w:w="8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6.2</w:t>
            </w:r>
          </w:p>
        </w:tc>
        <w:tc>
          <w:tcPr>
            <w:tcW w:w="888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Rights and Remedies of the Lender</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400"/>
        </w:trPr>
        <w:tc>
          <w:tcPr>
            <w:tcW w:w="968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ARTICLE VII GENERAL PROVISIONS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13</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7.1</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Confidentiality</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13</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7.2</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Indemnity</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13</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7.3</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Know Your Customer/Anti-Money Laundering (“AML/KYC”)</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14</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7.4</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Partial Invalidity</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14</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7.5</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Notices</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14</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7.6</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Statute of Limitations; Usury</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7.7</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Waiver of Immunity</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7.8</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Force Majeure</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7.9</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Governing Law; Venue; Arbitration</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15</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7.10</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Banking Days</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16</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7.11</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Assignment</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16</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7.12</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Rights Cumulative</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7.13</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No Waiver</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7.14</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Non-Merger</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7.15</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No Third Party Beneficiaries</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7.16</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Negotiations</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7.17</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Amendment</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w:t>
            </w:r>
          </w:p>
        </w:tc>
      </w:tr>
      <w:tr>
        <w:trPr>
          <w:trHeight w:val="216"/>
        </w:trPr>
        <w:tc>
          <w:tcPr>
            <w:tcW w:w="80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b w:val="1"/>
                <w:bCs w:val="1"/>
                <w:color w:val="auto"/>
              </w:rPr>
              <w:t>7.18</w:t>
            </w:r>
          </w:p>
        </w:tc>
        <w:tc>
          <w:tcPr>
            <w:tcW w:w="8880" w:type="dxa"/>
            <w:vAlign w:val="bottom"/>
            <w:gridSpan w:val="3"/>
          </w:tcPr>
          <w:p>
            <w:pPr>
              <w:ind w:left="240"/>
              <w:spacing w:after="0" w:line="216" w:lineRule="exact"/>
              <w:rPr>
                <w:sz w:val="20"/>
                <w:szCs w:val="20"/>
                <w:color w:val="auto"/>
              </w:rPr>
            </w:pPr>
            <w:r>
              <w:rPr>
                <w:rFonts w:ascii="Times New Roman" w:cs="Times New Roman" w:eastAsia="Times New Roman" w:hAnsi="Times New Roman"/>
                <w:sz w:val="19"/>
                <w:szCs w:val="19"/>
                <w:color w:val="auto"/>
              </w:rPr>
              <w:t>Entire Agreement; Paramountcy</w:t>
            </w:r>
          </w:p>
        </w:tc>
        <w:tc>
          <w:tcPr>
            <w:tcW w:w="1560" w:type="dxa"/>
            <w:vAlign w:val="bottom"/>
          </w:tcPr>
          <w:p>
            <w:pPr>
              <w:jc w:val="right"/>
              <w:spacing w:after="0" w:line="216" w:lineRule="exact"/>
              <w:rPr>
                <w:sz w:val="20"/>
                <w:szCs w:val="20"/>
                <w:color w:val="auto"/>
              </w:rPr>
            </w:pPr>
            <w:r>
              <w:rPr>
                <w:rFonts w:ascii="Times New Roman" w:cs="Times New Roman" w:eastAsia="Times New Roman" w:hAnsi="Times New Roman"/>
                <w:sz w:val="19"/>
                <w:szCs w:val="19"/>
                <w:color w:val="auto"/>
              </w:rPr>
              <w:t>17</w:t>
            </w:r>
          </w:p>
        </w:tc>
      </w:tr>
      <w:tr>
        <w:trPr>
          <w:trHeight w:val="248"/>
        </w:trPr>
        <w:tc>
          <w:tcPr>
            <w:tcW w:w="80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7.19</w:t>
            </w:r>
          </w:p>
        </w:tc>
        <w:tc>
          <w:tcPr>
            <w:tcW w:w="888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Expenses</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1409"/>
        </w:trPr>
        <w:tc>
          <w:tcPr>
            <w:tcW w:w="8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2"/>
        </w:trPr>
        <w:tc>
          <w:tcPr>
            <w:tcW w:w="8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160" w:type="dxa"/>
            <w:vAlign w:val="bottom"/>
          </w:tcPr>
          <w:p>
            <w:pPr>
              <w:jc w:val="right"/>
              <w:ind w:right="5344"/>
              <w:spacing w:after="0"/>
              <w:rPr>
                <w:sz w:val="20"/>
                <w:szCs w:val="20"/>
                <w:color w:val="auto"/>
              </w:rPr>
            </w:pPr>
            <w:r>
              <w:rPr>
                <w:rFonts w:ascii="Times New Roman" w:cs="Times New Roman" w:eastAsia="Times New Roman" w:hAnsi="Times New Roman"/>
                <w:sz w:val="22"/>
                <w:szCs w:val="22"/>
                <w:color w:val="auto"/>
              </w:rPr>
              <w:t>- ii -</w:t>
            </w:r>
          </w:p>
        </w:tc>
      </w:tr>
      <w:tr>
        <w:trPr>
          <w:trHeight w:val="579"/>
        </w:trPr>
        <w:tc>
          <w:tcPr>
            <w:tcW w:w="800" w:type="dxa"/>
            <w:vAlign w:val="bottom"/>
          </w:tcPr>
          <w:p>
            <w:pPr>
              <w:jc w:val="right"/>
              <w:ind w:right="146"/>
              <w:spacing w:after="0"/>
              <w:rPr>
                <w:sz w:val="20"/>
                <w:szCs w:val="20"/>
                <w:color w:val="auto"/>
              </w:rPr>
            </w:pPr>
            <w:r>
              <w:rPr>
                <w:rFonts w:ascii="Times New Roman" w:cs="Times New Roman" w:eastAsia="Times New Roman" w:hAnsi="Times New Roman"/>
                <w:sz w:val="19"/>
                <w:szCs w:val="19"/>
                <w:b w:val="1"/>
                <w:bCs w:val="1"/>
                <w:color w:val="auto"/>
              </w:rPr>
              <w:t>7.20</w:t>
            </w:r>
          </w:p>
        </w:tc>
        <w:tc>
          <w:tcPr>
            <w:tcW w:w="4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Successors and Assigns</w:t>
            </w:r>
          </w:p>
        </w:tc>
        <w:tc>
          <w:tcPr>
            <w:tcW w:w="61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18</w:t>
            </w:r>
          </w:p>
        </w:tc>
      </w:tr>
      <w:tr>
        <w:trPr>
          <w:trHeight w:val="216"/>
        </w:trPr>
        <w:tc>
          <w:tcPr>
            <w:tcW w:w="800" w:type="dxa"/>
            <w:vAlign w:val="bottom"/>
          </w:tcPr>
          <w:p>
            <w:pPr>
              <w:jc w:val="right"/>
              <w:ind w:right="146"/>
              <w:spacing w:after="0" w:line="216" w:lineRule="exact"/>
              <w:rPr>
                <w:sz w:val="20"/>
                <w:szCs w:val="20"/>
                <w:color w:val="auto"/>
              </w:rPr>
            </w:pPr>
            <w:r>
              <w:rPr>
                <w:rFonts w:ascii="Times New Roman" w:cs="Times New Roman" w:eastAsia="Times New Roman" w:hAnsi="Times New Roman"/>
                <w:sz w:val="19"/>
                <w:szCs w:val="19"/>
                <w:b w:val="1"/>
                <w:bCs w:val="1"/>
                <w:color w:val="auto"/>
              </w:rPr>
              <w:t>7.21</w:t>
            </w:r>
          </w:p>
        </w:tc>
        <w:tc>
          <w:tcPr>
            <w:tcW w:w="428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Currency</w:t>
            </w:r>
          </w:p>
        </w:tc>
        <w:tc>
          <w:tcPr>
            <w:tcW w:w="6160" w:type="dxa"/>
            <w:vAlign w:val="bottom"/>
          </w:tcPr>
          <w:p>
            <w:pPr>
              <w:jc w:val="right"/>
              <w:ind w:right="44"/>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16"/>
        </w:trPr>
        <w:tc>
          <w:tcPr>
            <w:tcW w:w="800" w:type="dxa"/>
            <w:vAlign w:val="bottom"/>
          </w:tcPr>
          <w:p>
            <w:pPr>
              <w:jc w:val="right"/>
              <w:ind w:right="146"/>
              <w:spacing w:after="0" w:line="216" w:lineRule="exact"/>
              <w:rPr>
                <w:sz w:val="20"/>
                <w:szCs w:val="20"/>
                <w:color w:val="auto"/>
              </w:rPr>
            </w:pPr>
            <w:r>
              <w:rPr>
                <w:rFonts w:ascii="Times New Roman" w:cs="Times New Roman" w:eastAsia="Times New Roman" w:hAnsi="Times New Roman"/>
                <w:sz w:val="19"/>
                <w:szCs w:val="19"/>
                <w:b w:val="1"/>
                <w:bCs w:val="1"/>
                <w:color w:val="auto"/>
              </w:rPr>
              <w:t>7.22</w:t>
            </w:r>
          </w:p>
        </w:tc>
        <w:tc>
          <w:tcPr>
            <w:tcW w:w="428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Language</w:t>
            </w:r>
          </w:p>
        </w:tc>
        <w:tc>
          <w:tcPr>
            <w:tcW w:w="6160" w:type="dxa"/>
            <w:vAlign w:val="bottom"/>
          </w:tcPr>
          <w:p>
            <w:pPr>
              <w:jc w:val="right"/>
              <w:ind w:right="44"/>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16"/>
        </w:trPr>
        <w:tc>
          <w:tcPr>
            <w:tcW w:w="800" w:type="dxa"/>
            <w:vAlign w:val="bottom"/>
          </w:tcPr>
          <w:p>
            <w:pPr>
              <w:jc w:val="right"/>
              <w:ind w:right="146"/>
              <w:spacing w:after="0" w:line="216" w:lineRule="exact"/>
              <w:rPr>
                <w:sz w:val="20"/>
                <w:szCs w:val="20"/>
                <w:color w:val="auto"/>
              </w:rPr>
            </w:pPr>
            <w:r>
              <w:rPr>
                <w:rFonts w:ascii="Times New Roman" w:cs="Times New Roman" w:eastAsia="Times New Roman" w:hAnsi="Times New Roman"/>
                <w:sz w:val="19"/>
                <w:szCs w:val="19"/>
                <w:b w:val="1"/>
                <w:bCs w:val="1"/>
                <w:color w:val="auto"/>
              </w:rPr>
              <w:t>7.23</w:t>
            </w:r>
          </w:p>
        </w:tc>
        <w:tc>
          <w:tcPr>
            <w:tcW w:w="428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Recapitalizations, Share Splits or Consolidations</w:t>
            </w:r>
          </w:p>
        </w:tc>
        <w:tc>
          <w:tcPr>
            <w:tcW w:w="6160" w:type="dxa"/>
            <w:vAlign w:val="bottom"/>
          </w:tcPr>
          <w:p>
            <w:pPr>
              <w:jc w:val="right"/>
              <w:ind w:right="44"/>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16"/>
        </w:trPr>
        <w:tc>
          <w:tcPr>
            <w:tcW w:w="800" w:type="dxa"/>
            <w:vAlign w:val="bottom"/>
          </w:tcPr>
          <w:p>
            <w:pPr>
              <w:jc w:val="right"/>
              <w:ind w:right="146"/>
              <w:spacing w:after="0" w:line="216" w:lineRule="exact"/>
              <w:rPr>
                <w:sz w:val="20"/>
                <w:szCs w:val="20"/>
                <w:color w:val="auto"/>
              </w:rPr>
            </w:pPr>
            <w:r>
              <w:rPr>
                <w:rFonts w:ascii="Times New Roman" w:cs="Times New Roman" w:eastAsia="Times New Roman" w:hAnsi="Times New Roman"/>
                <w:sz w:val="19"/>
                <w:szCs w:val="19"/>
                <w:b w:val="1"/>
                <w:bCs w:val="1"/>
                <w:color w:val="auto"/>
              </w:rPr>
              <w:t>7.24</w:t>
            </w:r>
          </w:p>
        </w:tc>
        <w:tc>
          <w:tcPr>
            <w:tcW w:w="428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Further Assurances</w:t>
            </w:r>
          </w:p>
        </w:tc>
        <w:tc>
          <w:tcPr>
            <w:tcW w:w="6160" w:type="dxa"/>
            <w:vAlign w:val="bottom"/>
          </w:tcPr>
          <w:p>
            <w:pPr>
              <w:jc w:val="right"/>
              <w:ind w:right="44"/>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16"/>
        </w:trPr>
        <w:tc>
          <w:tcPr>
            <w:tcW w:w="800" w:type="dxa"/>
            <w:vAlign w:val="bottom"/>
          </w:tcPr>
          <w:p>
            <w:pPr>
              <w:jc w:val="right"/>
              <w:ind w:right="146"/>
              <w:spacing w:after="0" w:line="216" w:lineRule="exact"/>
              <w:rPr>
                <w:sz w:val="20"/>
                <w:szCs w:val="20"/>
                <w:color w:val="auto"/>
              </w:rPr>
            </w:pPr>
            <w:r>
              <w:rPr>
                <w:rFonts w:ascii="Times New Roman" w:cs="Times New Roman" w:eastAsia="Times New Roman" w:hAnsi="Times New Roman"/>
                <w:sz w:val="19"/>
                <w:szCs w:val="19"/>
                <w:b w:val="1"/>
                <w:bCs w:val="1"/>
                <w:color w:val="auto"/>
              </w:rPr>
              <w:t>7.25</w:t>
            </w:r>
          </w:p>
        </w:tc>
        <w:tc>
          <w:tcPr>
            <w:tcW w:w="428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Independent Legal Advice</w:t>
            </w:r>
          </w:p>
        </w:tc>
        <w:tc>
          <w:tcPr>
            <w:tcW w:w="6160" w:type="dxa"/>
            <w:vAlign w:val="bottom"/>
          </w:tcPr>
          <w:p>
            <w:pPr>
              <w:jc w:val="right"/>
              <w:ind w:right="44"/>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16"/>
        </w:trPr>
        <w:tc>
          <w:tcPr>
            <w:tcW w:w="800" w:type="dxa"/>
            <w:vAlign w:val="bottom"/>
          </w:tcPr>
          <w:p>
            <w:pPr>
              <w:jc w:val="right"/>
              <w:ind w:right="146"/>
              <w:spacing w:after="0" w:line="216" w:lineRule="exact"/>
              <w:rPr>
                <w:sz w:val="20"/>
                <w:szCs w:val="20"/>
                <w:color w:val="auto"/>
              </w:rPr>
            </w:pPr>
            <w:r>
              <w:rPr>
                <w:rFonts w:ascii="Times New Roman" w:cs="Times New Roman" w:eastAsia="Times New Roman" w:hAnsi="Times New Roman"/>
                <w:sz w:val="19"/>
                <w:szCs w:val="19"/>
                <w:b w:val="1"/>
                <w:bCs w:val="1"/>
                <w:color w:val="auto"/>
              </w:rPr>
              <w:t>7.26</w:t>
            </w:r>
          </w:p>
        </w:tc>
        <w:tc>
          <w:tcPr>
            <w:tcW w:w="4280" w:type="dxa"/>
            <w:vAlign w:val="bottom"/>
          </w:tcPr>
          <w:p>
            <w:pPr>
              <w:ind w:left="240"/>
              <w:spacing w:after="0" w:line="216" w:lineRule="exact"/>
              <w:rPr>
                <w:sz w:val="20"/>
                <w:szCs w:val="20"/>
                <w:color w:val="auto"/>
              </w:rPr>
            </w:pPr>
            <w:r>
              <w:rPr>
                <w:rFonts w:ascii="Times New Roman" w:cs="Times New Roman" w:eastAsia="Times New Roman" w:hAnsi="Times New Roman"/>
                <w:sz w:val="19"/>
                <w:szCs w:val="19"/>
                <w:color w:val="auto"/>
              </w:rPr>
              <w:t>Counterparts and Transmission</w:t>
            </w:r>
          </w:p>
        </w:tc>
        <w:tc>
          <w:tcPr>
            <w:tcW w:w="6160" w:type="dxa"/>
            <w:vAlign w:val="bottom"/>
          </w:tcPr>
          <w:p>
            <w:pPr>
              <w:jc w:val="right"/>
              <w:ind w:right="44"/>
              <w:spacing w:after="0" w:line="216" w:lineRule="exact"/>
              <w:rPr>
                <w:sz w:val="20"/>
                <w:szCs w:val="20"/>
                <w:color w:val="auto"/>
              </w:rPr>
            </w:pPr>
            <w:r>
              <w:rPr>
                <w:rFonts w:ascii="Times New Roman" w:cs="Times New Roman" w:eastAsia="Times New Roman" w:hAnsi="Times New Roman"/>
                <w:sz w:val="19"/>
                <w:szCs w:val="19"/>
                <w:color w:val="auto"/>
              </w:rPr>
              <w:t>18</w:t>
            </w:r>
          </w:p>
        </w:tc>
      </w:tr>
      <w:tr>
        <w:trPr>
          <w:trHeight w:val="248"/>
        </w:trPr>
        <w:tc>
          <w:tcPr>
            <w:tcW w:w="800" w:type="dxa"/>
            <w:vAlign w:val="bottom"/>
          </w:tcPr>
          <w:p>
            <w:pPr>
              <w:jc w:val="right"/>
              <w:ind w:right="146"/>
              <w:spacing w:after="0"/>
              <w:rPr>
                <w:sz w:val="20"/>
                <w:szCs w:val="20"/>
                <w:color w:val="auto"/>
              </w:rPr>
            </w:pPr>
            <w:r>
              <w:rPr>
                <w:rFonts w:ascii="Times New Roman" w:cs="Times New Roman" w:eastAsia="Times New Roman" w:hAnsi="Times New Roman"/>
                <w:sz w:val="19"/>
                <w:szCs w:val="19"/>
                <w:b w:val="1"/>
                <w:bCs w:val="1"/>
                <w:color w:val="auto"/>
              </w:rPr>
              <w:t>7.27</w:t>
            </w:r>
          </w:p>
        </w:tc>
        <w:tc>
          <w:tcPr>
            <w:tcW w:w="428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Copy Received</w:t>
            </w:r>
          </w:p>
        </w:tc>
        <w:tc>
          <w:tcPr>
            <w:tcW w:w="61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18</w:t>
            </w:r>
          </w:p>
        </w:tc>
      </w:tr>
      <w:tr>
        <w:trPr>
          <w:trHeight w:val="1409"/>
        </w:trPr>
        <w:tc>
          <w:tcPr>
            <w:tcW w:w="8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NON-RECOURSE LOAN AND SECURITIES PLEDGE AGREEMENT</w:t>
      </w:r>
    </w:p>
    <w:p>
      <w:pPr>
        <w:spacing w:after="0" w:line="333" w:lineRule="exact"/>
        <w:rPr>
          <w:sz w:val="20"/>
          <w:szCs w:val="20"/>
          <w:color w:val="auto"/>
        </w:rPr>
      </w:pPr>
    </w:p>
    <w:p>
      <w:pPr>
        <w:ind w:left="760"/>
        <w:spacing w:after="0"/>
        <w:tabs>
          <w:tab w:leader="none" w:pos="4900" w:val="left"/>
        </w:tabs>
        <w:rPr>
          <w:sz w:val="20"/>
          <w:szCs w:val="20"/>
          <w:color w:val="auto"/>
        </w:rPr>
      </w:pPr>
      <w:r>
        <w:rPr>
          <w:rFonts w:ascii="Times New Roman" w:cs="Times New Roman" w:eastAsia="Times New Roman" w:hAnsi="Times New Roman"/>
          <w:sz w:val="19"/>
          <w:szCs w:val="19"/>
          <w:b w:val="1"/>
          <w:bCs w:val="1"/>
          <w:color w:val="auto"/>
        </w:rPr>
        <w:t xml:space="preserve">THIS AGREEMENT </w:t>
      </w:r>
      <w:r>
        <w:rPr>
          <w:rFonts w:ascii="Times New Roman" w:cs="Times New Roman" w:eastAsia="Times New Roman" w:hAnsi="Times New Roman"/>
          <w:sz w:val="19"/>
          <w:szCs w:val="19"/>
          <w:color w:val="auto"/>
        </w:rPr>
        <w:t>dated with effect as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1</w:t>
      </w:r>
      <w:r>
        <w:rPr>
          <w:rFonts w:ascii="Times New Roman" w:cs="Times New Roman" w:eastAsia="Times New Roman" w:hAnsi="Times New Roman"/>
          <w:sz w:val="25"/>
          <w:szCs w:val="25"/>
          <w:u w:val="single" w:color="auto"/>
          <w:color w:val="auto"/>
          <w:vertAlign w:val="superscript"/>
        </w:rPr>
        <w:t>st</w:t>
      </w:r>
      <w:r>
        <w:rPr>
          <w:sz w:val="20"/>
          <w:szCs w:val="20"/>
          <w:color w:val="auto"/>
        </w:rPr>
        <w:tab/>
      </w:r>
      <w:r>
        <w:rPr>
          <w:rFonts w:ascii="Times New Roman" w:cs="Times New Roman" w:eastAsia="Times New Roman" w:hAnsi="Times New Roman"/>
          <w:sz w:val="18"/>
          <w:szCs w:val="18"/>
          <w:color w:val="auto"/>
        </w:rPr>
        <w:t>day of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-50165</wp:posOffset>
            </wp:positionV>
            <wp:extent cx="1200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BETWEEN:</w:t>
      </w:r>
    </w:p>
    <w:p>
      <w:pPr>
        <w:spacing w:after="0" w:line="322" w:lineRule="exact"/>
        <w:rPr>
          <w:sz w:val="20"/>
          <w:szCs w:val="20"/>
          <w:color w:val="auto"/>
        </w:rPr>
      </w:pPr>
    </w:p>
    <w:p>
      <w:pPr>
        <w:ind w:left="1500" w:right="1160"/>
        <w:spacing w:after="0" w:line="476" w:lineRule="auto"/>
        <w:rPr>
          <w:sz w:val="20"/>
          <w:szCs w:val="20"/>
          <w:color w:val="auto"/>
        </w:rPr>
      </w:pPr>
      <w:r>
        <w:rPr>
          <w:rFonts w:ascii="Times New Roman" w:cs="Times New Roman" w:eastAsia="Times New Roman" w:hAnsi="Times New Roman"/>
          <w:sz w:val="19"/>
          <w:szCs w:val="19"/>
          <w:b w:val="1"/>
          <w:bCs w:val="1"/>
          <w:color w:val="auto"/>
        </w:rPr>
        <w:t xml:space="preserve">THE ST. JAMES BANK &amp; TRUST COMPANY LTD., </w:t>
      </w:r>
      <w:r>
        <w:rPr>
          <w:rFonts w:ascii="Times New Roman" w:cs="Times New Roman" w:eastAsia="Times New Roman" w:hAnsi="Times New Roman"/>
          <w:sz w:val="19"/>
          <w:szCs w:val="19"/>
          <w:color w:val="auto"/>
        </w:rPr>
        <w:t>a corporation existing under the laws of The Bahamas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color w:val="auto"/>
        </w:rPr>
        <w:t>OF THE FIRST PART;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and -</w:t>
      </w:r>
    </w:p>
    <w:p>
      <w:pPr>
        <w:spacing w:after="0" w:line="318" w:lineRule="exact"/>
        <w:rPr>
          <w:sz w:val="20"/>
          <w:szCs w:val="20"/>
          <w:color w:val="auto"/>
        </w:rPr>
      </w:pPr>
    </w:p>
    <w:p>
      <w:pPr>
        <w:ind w:left="1500" w:right="2260"/>
        <w:spacing w:after="0" w:line="476" w:lineRule="auto"/>
        <w:rPr>
          <w:sz w:val="20"/>
          <w:szCs w:val="20"/>
          <w:color w:val="auto"/>
        </w:rPr>
      </w:pPr>
      <w:r>
        <w:rPr>
          <w:rFonts w:ascii="Times New Roman" w:cs="Times New Roman" w:eastAsia="Times New Roman" w:hAnsi="Times New Roman"/>
          <w:sz w:val="19"/>
          <w:szCs w:val="19"/>
          <w:b w:val="1"/>
          <w:bCs w:val="1"/>
          <w:color w:val="auto"/>
        </w:rPr>
        <w:t xml:space="preserve">SCILEX HOLDING COMPANY. </w:t>
      </w:r>
      <w:r>
        <w:rPr>
          <w:rFonts w:ascii="Times New Roman" w:cs="Times New Roman" w:eastAsia="Times New Roman" w:hAnsi="Times New Roman"/>
          <w:sz w:val="19"/>
          <w:szCs w:val="19"/>
          <w:color w:val="auto"/>
        </w:rPr>
        <w:t>a corporation existing under the laws of the State of Delaware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OF THE SECOND PART.</w:t>
      </w:r>
    </w:p>
    <w:p>
      <w:pPr>
        <w:spacing w:after="0" w:line="200" w:lineRule="exact"/>
        <w:rPr>
          <w:sz w:val="20"/>
          <w:szCs w:val="20"/>
          <w:color w:val="auto"/>
        </w:rPr>
      </w:pPr>
    </w:p>
    <w:p>
      <w:pPr>
        <w:spacing w:after="0" w:line="237" w:lineRule="exact"/>
        <w:rPr>
          <w:sz w:val="20"/>
          <w:szCs w:val="20"/>
          <w:color w:val="auto"/>
        </w:rPr>
      </w:pPr>
    </w:p>
    <w:p>
      <w:pPr>
        <w:jc w:val="both"/>
        <w:ind w:firstLine="1497"/>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WHEREAS </w:t>
      </w:r>
      <w:r>
        <w:rPr>
          <w:rFonts w:ascii="Times New Roman" w:cs="Times New Roman" w:eastAsia="Times New Roman" w:hAnsi="Times New Roman"/>
          <w:sz w:val="19"/>
          <w:szCs w:val="19"/>
          <w:color w:val="auto"/>
        </w:rPr>
        <w:t>the Lender agrees to make financial accommodations to and for the benefit of the Borrower, on the terms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conditions hereinafter set forth;</w:t>
      </w:r>
    </w:p>
    <w:p>
      <w:pPr>
        <w:spacing w:after="0" w:line="4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AND WHEREAS </w:t>
      </w:r>
      <w:r>
        <w:rPr>
          <w:rFonts w:ascii="Times New Roman" w:cs="Times New Roman" w:eastAsia="Times New Roman" w:hAnsi="Times New Roman"/>
          <w:sz w:val="19"/>
          <w:szCs w:val="19"/>
          <w:color w:val="auto"/>
        </w:rPr>
        <w:t>the Borrower owns shares of common stock of Datavault AI Inc. (the “</w:t>
      </w:r>
      <w:r>
        <w:rPr>
          <w:rFonts w:ascii="Times New Roman" w:cs="Times New Roman" w:eastAsia="Times New Roman" w:hAnsi="Times New Roman"/>
          <w:sz w:val="19"/>
          <w:szCs w:val="19"/>
          <w:b w:val="1"/>
          <w:bCs w:val="1"/>
          <w:color w:val="auto"/>
        </w:rPr>
        <w:t>Issuer</w:t>
      </w:r>
      <w:r>
        <w:rPr>
          <w:rFonts w:ascii="Times New Roman" w:cs="Times New Roman" w:eastAsia="Times New Roman" w:hAnsi="Times New Roman"/>
          <w:sz w:val="19"/>
          <w:szCs w:val="19"/>
          <w:color w:val="auto"/>
        </w:rPr>
        <w:t>”), which are quoted 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Nasdaq Capital Market (the “</w:t>
      </w:r>
      <w:r>
        <w:rPr>
          <w:rFonts w:ascii="Times New Roman" w:cs="Times New Roman" w:eastAsia="Times New Roman" w:hAnsi="Times New Roman"/>
          <w:sz w:val="19"/>
          <w:szCs w:val="19"/>
          <w:b w:val="1"/>
          <w:bCs w:val="1"/>
          <w:color w:val="auto"/>
        </w:rPr>
        <w:t>Exchange</w:t>
      </w:r>
      <w:r>
        <w:rPr>
          <w:rFonts w:ascii="Times New Roman" w:cs="Times New Roman" w:eastAsia="Times New Roman" w:hAnsi="Times New Roman"/>
          <w:sz w:val="19"/>
          <w:szCs w:val="19"/>
          <w:color w:val="auto"/>
        </w:rPr>
        <w:t>”) under the stock symbol “DVLT” (the “</w:t>
      </w:r>
      <w:r>
        <w:rPr>
          <w:rFonts w:ascii="Times New Roman" w:cs="Times New Roman" w:eastAsia="Times New Roman" w:hAnsi="Times New Roman"/>
          <w:sz w:val="19"/>
          <w:szCs w:val="19"/>
          <w:b w:val="1"/>
          <w:bCs w:val="1"/>
          <w:color w:val="auto"/>
        </w:rPr>
        <w:t>Listco Securities</w:t>
      </w:r>
      <w:r>
        <w:rPr>
          <w:rFonts w:ascii="Times New Roman" w:cs="Times New Roman" w:eastAsia="Times New Roman" w:hAnsi="Times New Roman"/>
          <w:sz w:val="19"/>
          <w:szCs w:val="19"/>
          <w:color w:val="auto"/>
        </w:rPr>
        <w:t>”), and agrees to pledge certain Listco Securities in favour of the Lender as general and continuing security for the due, prompt and complete performance and satisfaction of the Obligations (as defined below).</w:t>
      </w:r>
    </w:p>
    <w:p>
      <w:pPr>
        <w:spacing w:after="0" w:line="69"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NOW THEREFORE, </w:t>
      </w:r>
      <w:r>
        <w:rPr>
          <w:rFonts w:ascii="Times New Roman" w:cs="Times New Roman" w:eastAsia="Times New Roman" w:hAnsi="Times New Roman"/>
          <w:sz w:val="19"/>
          <w:szCs w:val="19"/>
          <w:color w:val="auto"/>
        </w:rPr>
        <w:t>in consideration of the foregoing and the representations, warranties, covenants, conditions, agreements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promises contained in this Agreement and for other good and valuable consideration, the receipt and sufficiency of which are hereby acknowledged by the parties hereto, the parties hereby agree as follows:</w:t>
      </w:r>
    </w:p>
    <w:p>
      <w:pPr>
        <w:spacing w:after="0" w:line="6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9"/>
          <w:szCs w:val="19"/>
          <w:b w:val="1"/>
          <w:bCs w:val="1"/>
          <w:color w:val="auto"/>
        </w:rPr>
        <w:t>ARTICLE I</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DEFINITIONS</w:t>
      </w:r>
    </w:p>
    <w:p>
      <w:pPr>
        <w:spacing w:after="0" w:line="8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Definitions</w:t>
      </w:r>
    </w:p>
    <w:p>
      <w:pPr>
        <w:spacing w:after="0" w:line="1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In this Agreement, the following defined terms shall have the following meanings:</w:t>
      </w:r>
    </w:p>
    <w:p>
      <w:pPr>
        <w:spacing w:after="0" w:line="102" w:lineRule="exact"/>
        <w:rPr>
          <w:sz w:val="20"/>
          <w:szCs w:val="20"/>
          <w:color w:val="auto"/>
        </w:rPr>
      </w:pPr>
    </w:p>
    <w:p>
      <w:pPr>
        <w:ind w:left="1500" w:hanging="743"/>
        <w:spacing w:after="0"/>
        <w:tabs>
          <w:tab w:leader="none" w:pos="15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“Agents” </w:t>
      </w:r>
      <w:r>
        <w:rPr>
          <w:rFonts w:ascii="Times New Roman" w:cs="Times New Roman" w:eastAsia="Times New Roman" w:hAnsi="Times New Roman"/>
          <w:sz w:val="19"/>
          <w:szCs w:val="19"/>
          <w:color w:val="auto"/>
        </w:rPr>
        <w:t>has the meaning set out in Section 4.4(e).</w:t>
      </w:r>
    </w:p>
    <w:p>
      <w:pPr>
        <w:spacing w:after="0" w:line="105"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“Agreement” </w:t>
      </w:r>
      <w:r>
        <w:rPr>
          <w:rFonts w:ascii="Times New Roman" w:cs="Times New Roman" w:eastAsia="Times New Roman" w:hAnsi="Times New Roman"/>
          <w:sz w:val="19"/>
          <w:szCs w:val="19"/>
          <w:color w:val="auto"/>
        </w:rPr>
        <w:t>means this agreement, as it may be amended or supplemented from time to time.</w:t>
      </w:r>
    </w:p>
    <w:p>
      <w:pPr>
        <w:spacing w:after="0" w:line="105" w:lineRule="exact"/>
        <w:rPr>
          <w:rFonts w:ascii="Times New Roman" w:cs="Times New Roman" w:eastAsia="Times New Roman" w:hAnsi="Times New Roman"/>
          <w:sz w:val="19"/>
          <w:szCs w:val="19"/>
          <w:color w:val="auto"/>
        </w:rPr>
      </w:pPr>
    </w:p>
    <w:p>
      <w:pPr>
        <w:jc w:val="both"/>
        <w:ind w:left="1500" w:hanging="743"/>
        <w:spacing w:after="0" w:line="253" w:lineRule="auto"/>
        <w:tabs>
          <w:tab w:leader="none" w:pos="15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“Applicable Law” </w:t>
      </w:r>
      <w:r>
        <w:rPr>
          <w:rFonts w:ascii="Times New Roman" w:cs="Times New Roman" w:eastAsia="Times New Roman" w:hAnsi="Times New Roman"/>
          <w:sz w:val="19"/>
          <w:szCs w:val="19"/>
          <w:color w:val="auto"/>
        </w:rPr>
        <w:t>means all laws, statutes, regulations, codes, by-laws, ordinances, treaties, orders, judgments, decrees,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directives, rules, guidelines, orders, policies and other requirements of any Governmental Authority having jurisdiction, whether or not having the force of law.</w:t>
      </w:r>
    </w:p>
    <w:p>
      <w:pPr>
        <w:spacing w:after="0" w:line="65"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“Assignee” </w:t>
      </w:r>
      <w:r>
        <w:rPr>
          <w:rFonts w:ascii="Times New Roman" w:cs="Times New Roman" w:eastAsia="Times New Roman" w:hAnsi="Times New Roman"/>
          <w:sz w:val="19"/>
          <w:szCs w:val="19"/>
          <w:color w:val="auto"/>
        </w:rPr>
        <w:t>has the meaning set out in Section 7.11(b).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7" w:name="page8"/>
    <w:bookmarkEnd w:id="7"/>
    <w:p>
      <w:pPr>
        <w:ind w:left="4723"/>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337" w:lineRule="exact"/>
        <w:rPr>
          <w:sz w:val="20"/>
          <w:szCs w:val="20"/>
          <w:color w:val="auto"/>
        </w:rPr>
      </w:pPr>
    </w:p>
    <w:p>
      <w:pPr>
        <w:ind w:left="743" w:hanging="743"/>
        <w:spacing w:after="0"/>
        <w:tabs>
          <w:tab w:leader="none" w:pos="74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“Associate”</w:t>
      </w:r>
      <w:r>
        <w:rPr>
          <w:rFonts w:ascii="Times New Roman" w:cs="Times New Roman" w:eastAsia="Times New Roman" w:hAnsi="Times New Roman"/>
          <w:sz w:val="19"/>
          <w:szCs w:val="19"/>
          <w:color w:val="auto"/>
        </w:rPr>
        <w:t>, where used to indicate a relationship with any Person, means:</w:t>
      </w:r>
    </w:p>
    <w:p>
      <w:pPr>
        <w:spacing w:after="0" w:line="109" w:lineRule="exact"/>
        <w:rPr>
          <w:rFonts w:ascii="Times New Roman" w:cs="Times New Roman" w:eastAsia="Times New Roman" w:hAnsi="Times New Roman"/>
          <w:sz w:val="19"/>
          <w:szCs w:val="19"/>
          <w:color w:val="auto"/>
        </w:rPr>
      </w:pPr>
    </w:p>
    <w:p>
      <w:pPr>
        <w:ind w:left="1503" w:hanging="755"/>
        <w:spacing w:after="0" w:line="265" w:lineRule="auto"/>
        <w:tabs>
          <w:tab w:leader="none" w:pos="1503"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of which such Person owns, directly or indirectly, voting securities carrying more than 10% of the voting rights attached to all voting securities of the Person for the time being outstanding;</w:t>
      </w:r>
    </w:p>
    <w:p>
      <w:pPr>
        <w:spacing w:after="0" w:line="57" w:lineRule="exact"/>
        <w:rPr>
          <w:rFonts w:ascii="Times New Roman" w:cs="Times New Roman" w:eastAsia="Times New Roman" w:hAnsi="Times New Roman"/>
          <w:sz w:val="19"/>
          <w:szCs w:val="19"/>
          <w:color w:val="auto"/>
        </w:rPr>
      </w:pPr>
    </w:p>
    <w:p>
      <w:pPr>
        <w:ind w:left="1503" w:hanging="755"/>
        <w:spacing w:after="0"/>
        <w:tabs>
          <w:tab w:leader="none" w:pos="1503"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partner, member, director or officer of that Person;</w:t>
      </w:r>
    </w:p>
    <w:p>
      <w:pPr>
        <w:spacing w:after="0" w:line="105" w:lineRule="exact"/>
        <w:rPr>
          <w:rFonts w:ascii="Times New Roman" w:cs="Times New Roman" w:eastAsia="Times New Roman" w:hAnsi="Times New Roman"/>
          <w:sz w:val="19"/>
          <w:szCs w:val="19"/>
          <w:color w:val="auto"/>
        </w:rPr>
      </w:pPr>
    </w:p>
    <w:p>
      <w:pPr>
        <w:ind w:left="1503" w:hanging="755"/>
        <w:spacing w:after="0" w:line="265" w:lineRule="auto"/>
        <w:tabs>
          <w:tab w:leader="none" w:pos="1503"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trust or estate in which such Person has a beneficial interest or as to which such Person served as a founder or serves as a trustee or in a similar capacity;</w:t>
      </w:r>
    </w:p>
    <w:p>
      <w:pPr>
        <w:spacing w:after="0" w:line="57" w:lineRule="exact"/>
        <w:rPr>
          <w:rFonts w:ascii="Times New Roman" w:cs="Times New Roman" w:eastAsia="Times New Roman" w:hAnsi="Times New Roman"/>
          <w:sz w:val="19"/>
          <w:szCs w:val="19"/>
          <w:color w:val="auto"/>
        </w:rPr>
      </w:pPr>
    </w:p>
    <w:p>
      <w:pPr>
        <w:ind w:left="1503" w:hanging="755"/>
        <w:spacing w:after="0"/>
        <w:tabs>
          <w:tab w:leader="none" w:pos="1503"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individual, any relative of that Person who resides in the same home as that Person;</w:t>
      </w:r>
    </w:p>
    <w:p>
      <w:pPr>
        <w:spacing w:after="0" w:line="105" w:lineRule="exact"/>
        <w:rPr>
          <w:rFonts w:ascii="Times New Roman" w:cs="Times New Roman" w:eastAsia="Times New Roman" w:hAnsi="Times New Roman"/>
          <w:sz w:val="19"/>
          <w:szCs w:val="19"/>
          <w:color w:val="auto"/>
        </w:rPr>
      </w:pPr>
    </w:p>
    <w:p>
      <w:pPr>
        <w:ind w:left="1503" w:right="20" w:hanging="755"/>
        <w:spacing w:after="0" w:line="265" w:lineRule="auto"/>
        <w:tabs>
          <w:tab w:leader="none" w:pos="1503"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individual, any Person who resides in the same home as that Person and to whom that person is married or with whom that person is living in a conjugal relationship outside marriage;</w:t>
      </w:r>
    </w:p>
    <w:p>
      <w:pPr>
        <w:spacing w:after="0" w:line="57" w:lineRule="exact"/>
        <w:rPr>
          <w:rFonts w:ascii="Times New Roman" w:cs="Times New Roman" w:eastAsia="Times New Roman" w:hAnsi="Times New Roman"/>
          <w:sz w:val="19"/>
          <w:szCs w:val="19"/>
          <w:color w:val="auto"/>
        </w:rPr>
      </w:pPr>
    </w:p>
    <w:p>
      <w:pPr>
        <w:ind w:left="1503" w:hanging="755"/>
        <w:spacing w:after="0"/>
        <w:tabs>
          <w:tab w:leader="none" w:pos="1503"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 individual, any relative of a Person mentioned in clause (v) who has the same home as that Person; or</w:t>
      </w:r>
    </w:p>
    <w:p>
      <w:pPr>
        <w:spacing w:after="0" w:line="105" w:lineRule="exact"/>
        <w:rPr>
          <w:rFonts w:ascii="Times New Roman" w:cs="Times New Roman" w:eastAsia="Times New Roman" w:hAnsi="Times New Roman"/>
          <w:sz w:val="19"/>
          <w:szCs w:val="19"/>
          <w:color w:val="auto"/>
        </w:rPr>
      </w:pPr>
    </w:p>
    <w:p>
      <w:pPr>
        <w:ind w:left="1503" w:hanging="755"/>
        <w:spacing w:after="0" w:line="265" w:lineRule="auto"/>
        <w:tabs>
          <w:tab w:leader="none" w:pos="1503"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determined by the Lender, acting reasonably, to be, directly or indirectly, affiliated or associated with that Person.</w:t>
      </w:r>
    </w:p>
    <w:p>
      <w:pPr>
        <w:spacing w:after="0" w:line="53"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“Banking Day” </w:t>
      </w:r>
      <w:r>
        <w:rPr>
          <w:rFonts w:ascii="Times New Roman" w:cs="Times New Roman" w:eastAsia="Times New Roman" w:hAnsi="Times New Roman"/>
          <w:sz w:val="19"/>
          <w:szCs w:val="19"/>
          <w:color w:val="auto"/>
        </w:rPr>
        <w:t>means any day upon which banks are generally open for business in New York, NY and Nassau, Bahamas.</w:t>
      </w:r>
    </w:p>
    <w:p>
      <w:pPr>
        <w:spacing w:after="0" w:line="105"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“Borrower Account” </w:t>
      </w:r>
      <w:r>
        <w:rPr>
          <w:rFonts w:ascii="Times New Roman" w:cs="Times New Roman" w:eastAsia="Times New Roman" w:hAnsi="Times New Roman"/>
          <w:sz w:val="19"/>
          <w:szCs w:val="19"/>
          <w:color w:val="auto"/>
        </w:rPr>
        <w:t>has the meaning set out in Section 2.1(c).</w:t>
      </w:r>
    </w:p>
    <w:p>
      <w:pPr>
        <w:spacing w:after="0" w:line="105"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“Borrower Securities Account” </w:t>
      </w:r>
      <w:r>
        <w:rPr>
          <w:rFonts w:ascii="Times New Roman" w:cs="Times New Roman" w:eastAsia="Times New Roman" w:hAnsi="Times New Roman"/>
          <w:sz w:val="19"/>
          <w:szCs w:val="19"/>
          <w:color w:val="auto"/>
        </w:rPr>
        <w:t>has the meaning set out in Section 2.1(c).</w:t>
      </w:r>
    </w:p>
    <w:p>
      <w:pPr>
        <w:spacing w:after="0" w:line="105" w:lineRule="exact"/>
        <w:rPr>
          <w:rFonts w:ascii="Times New Roman" w:cs="Times New Roman" w:eastAsia="Times New Roman" w:hAnsi="Times New Roman"/>
          <w:sz w:val="19"/>
          <w:szCs w:val="19"/>
          <w:color w:val="auto"/>
        </w:rPr>
      </w:pPr>
    </w:p>
    <w:p>
      <w:pPr>
        <w:jc w:val="both"/>
        <w:ind w:left="743" w:hanging="743"/>
        <w:spacing w:after="0" w:line="253" w:lineRule="auto"/>
        <w:tabs>
          <w:tab w:leader="none" w:pos="74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“Closing Date”</w:t>
      </w:r>
      <w:r>
        <w:rPr>
          <w:rFonts w:ascii="Times New Roman" w:cs="Times New Roman" w:eastAsia="Times New Roman" w:hAnsi="Times New Roman"/>
          <w:sz w:val="19"/>
          <w:szCs w:val="19"/>
          <w:color w:val="auto"/>
        </w:rPr>
        <w:t>, in respect of a particular Tranche, means the date on which that Tranche is advanced by the Lender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Borrower, which is generally expected to be within four (4) Banking Days after the Value Date in connection with such Tranche.</w:t>
      </w:r>
    </w:p>
    <w:p>
      <w:pPr>
        <w:spacing w:after="0" w:line="65" w:lineRule="exact"/>
        <w:rPr>
          <w:rFonts w:ascii="Times New Roman" w:cs="Times New Roman" w:eastAsia="Times New Roman" w:hAnsi="Times New Roman"/>
          <w:sz w:val="19"/>
          <w:szCs w:val="19"/>
          <w:color w:val="auto"/>
        </w:rPr>
      </w:pPr>
    </w:p>
    <w:p>
      <w:pPr>
        <w:jc w:val="both"/>
        <w:ind w:left="743" w:hanging="743"/>
        <w:spacing w:after="0" w:line="248" w:lineRule="auto"/>
        <w:tabs>
          <w:tab w:leader="none" w:pos="74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“Collateral Value” </w:t>
      </w:r>
      <w:r>
        <w:rPr>
          <w:rFonts w:ascii="Times New Roman" w:cs="Times New Roman" w:eastAsia="Times New Roman" w:hAnsi="Times New Roman"/>
          <w:sz w:val="19"/>
          <w:szCs w:val="19"/>
          <w:color w:val="auto"/>
        </w:rPr>
        <w:t>means, in respect of a particular Tranche, the amount obtained by multiplying (i) the number of Listco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Securities required to become Pledged Securities in connection with such Tranche as set forth in the applicable Funding Notification by (ii) one of the following prices, as determined by the Lender, in its sole discretion (the </w:t>
      </w:r>
      <w:r>
        <w:rPr>
          <w:rFonts w:ascii="Times New Roman" w:cs="Times New Roman" w:eastAsia="Times New Roman" w:hAnsi="Times New Roman"/>
          <w:sz w:val="19"/>
          <w:szCs w:val="19"/>
          <w:b w:val="1"/>
          <w:bCs w:val="1"/>
          <w:color w:val="auto"/>
        </w:rPr>
        <w:t>“Collateral Share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Price”</w:t>
      </w:r>
      <w:r>
        <w:rPr>
          <w:rFonts w:ascii="Times New Roman" w:cs="Times New Roman" w:eastAsia="Times New Roman" w:hAnsi="Times New Roman"/>
          <w:sz w:val="19"/>
          <w:szCs w:val="19"/>
          <w:color w:val="auto"/>
        </w:rPr>
        <w:t>):</w:t>
      </w:r>
    </w:p>
    <w:p>
      <w:pPr>
        <w:spacing w:after="0" w:line="72" w:lineRule="exact"/>
        <w:rPr>
          <w:rFonts w:ascii="Times New Roman" w:cs="Times New Roman" w:eastAsia="Times New Roman" w:hAnsi="Times New Roman"/>
          <w:sz w:val="19"/>
          <w:szCs w:val="19"/>
          <w:color w:val="auto"/>
        </w:rPr>
      </w:pPr>
    </w:p>
    <w:p>
      <w:pPr>
        <w:ind w:left="1503" w:hanging="755"/>
        <w:spacing w:after="0" w:line="265" w:lineRule="auto"/>
        <w:tabs>
          <w:tab w:leader="none" w:pos="1503"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volume weighted average closing price of the Listco Securities on the Exchange for the three (3) Trading Days immediately preceding the Value Date relating to such Tranche; or</w:t>
      </w:r>
    </w:p>
    <w:p>
      <w:pPr>
        <w:spacing w:after="0" w:line="57" w:lineRule="exact"/>
        <w:rPr>
          <w:rFonts w:ascii="Times New Roman" w:cs="Times New Roman" w:eastAsia="Times New Roman" w:hAnsi="Times New Roman"/>
          <w:sz w:val="19"/>
          <w:szCs w:val="19"/>
          <w:color w:val="auto"/>
        </w:rPr>
      </w:pPr>
    </w:p>
    <w:p>
      <w:pPr>
        <w:jc w:val="both"/>
        <w:ind w:left="1503" w:hanging="755"/>
        <w:spacing w:after="0" w:line="251" w:lineRule="auto"/>
        <w:tabs>
          <w:tab w:leader="none" w:pos="1503"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the Listco Securities are suspended from trading, the Listco Securities have not for any reason traded for more than fifteen (15) consecutive Trading Days on the Exchange or the Lender reasonably determines that the Borrower is not in compliance with Section 4.3(g), the price determined by the Lender, acting reasonably.</w:t>
      </w:r>
    </w:p>
    <w:p>
      <w:pPr>
        <w:spacing w:after="0" w:line="66"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“Confidential Information” </w:t>
      </w:r>
      <w:r>
        <w:rPr>
          <w:rFonts w:ascii="Times New Roman" w:cs="Times New Roman" w:eastAsia="Times New Roman" w:hAnsi="Times New Roman"/>
          <w:sz w:val="19"/>
          <w:szCs w:val="19"/>
          <w:color w:val="auto"/>
        </w:rPr>
        <w:t>has the meaning set out in Section 7.1.</w:t>
      </w:r>
    </w:p>
    <w:p>
      <w:pPr>
        <w:spacing w:after="0" w:line="105" w:lineRule="exact"/>
        <w:rPr>
          <w:rFonts w:ascii="Times New Roman" w:cs="Times New Roman" w:eastAsia="Times New Roman" w:hAnsi="Times New Roman"/>
          <w:sz w:val="19"/>
          <w:szCs w:val="19"/>
          <w:color w:val="auto"/>
        </w:rPr>
      </w:pPr>
    </w:p>
    <w:p>
      <w:pPr>
        <w:ind w:left="743" w:hanging="743"/>
        <w:spacing w:after="0" w:line="270" w:lineRule="auto"/>
        <w:tabs>
          <w:tab w:leader="none" w:pos="74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“Custodian Management Agreement” </w:t>
      </w:r>
      <w:r>
        <w:rPr>
          <w:rFonts w:ascii="Times New Roman" w:cs="Times New Roman" w:eastAsia="Times New Roman" w:hAnsi="Times New Roman"/>
          <w:sz w:val="19"/>
          <w:szCs w:val="19"/>
          <w:color w:val="auto"/>
        </w:rPr>
        <w:t>means the Custodian Agreement between the Borrower and the Lender contained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Borrower’s Account Opening Package.</w:t>
      </w:r>
    </w:p>
    <w:p>
      <w:pPr>
        <w:spacing w:after="0" w:line="48" w:lineRule="exact"/>
        <w:rPr>
          <w:rFonts w:ascii="Times New Roman" w:cs="Times New Roman" w:eastAsia="Times New Roman" w:hAnsi="Times New Roman"/>
          <w:sz w:val="19"/>
          <w:szCs w:val="19"/>
          <w:color w:val="auto"/>
        </w:rPr>
      </w:pPr>
    </w:p>
    <w:p>
      <w:pPr>
        <w:jc w:val="both"/>
        <w:ind w:left="743" w:hanging="743"/>
        <w:spacing w:after="0" w:line="256" w:lineRule="auto"/>
        <w:tabs>
          <w:tab w:leader="none" w:pos="743"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“Delivery”</w:t>
      </w:r>
      <w:r>
        <w:rPr>
          <w:rFonts w:ascii="Times New Roman" w:cs="Times New Roman" w:eastAsia="Times New Roman" w:hAnsi="Times New Roman"/>
          <w:sz w:val="19"/>
          <w:szCs w:val="19"/>
          <w:color w:val="auto"/>
        </w:rPr>
        <w:t>, in relation to any Listco Securities, means: (i) in the case of Listco Securities held by a nominee, agent or within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clearing or settlement system, the crediting of such securities to the Borrower Securities Account (or as the Lender may otherwise direct); or </w:t>
      </w:r>
      <w:r>
        <w:rPr>
          <w:rFonts w:ascii="Times New Roman" w:cs="Times New Roman" w:eastAsia="Times New Roman" w:hAnsi="Times New Roman"/>
          <w:sz w:val="17"/>
          <w:szCs w:val="17"/>
          <w:color w:val="auto"/>
        </w:rPr>
        <w:t>(ii) in the case of Listco Securities otherwise held, the delivery to the Lender (or as it may otherwise direct)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 xml:space="preserve">the relevant instruments of transfer relating thereto, and </w:t>
      </w:r>
      <w:r>
        <w:rPr>
          <w:rFonts w:ascii="Times New Roman" w:cs="Times New Roman" w:eastAsia="Times New Roman" w:hAnsi="Times New Roman"/>
          <w:sz w:val="17"/>
          <w:szCs w:val="17"/>
          <w:b w:val="1"/>
          <w:bCs w:val="1"/>
          <w:color w:val="auto"/>
        </w:rPr>
        <w:t>“Deliver”, “Delivered”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“Delivering”</w:t>
      </w:r>
      <w:r>
        <w:rPr>
          <w:rFonts w:ascii="Times New Roman" w:cs="Times New Roman" w:eastAsia="Times New Roman" w:hAnsi="Times New Roman"/>
          <w:sz w:val="17"/>
          <w:szCs w:val="17"/>
          <w:color w:val="auto"/>
        </w:rPr>
        <w:t xml:space="preserve"> have corresponding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870585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8" w:name="page9"/>
    <w:bookmarkEnd w:id="8"/>
    <w:p>
      <w:pPr>
        <w:ind w:left="4723"/>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337" w:lineRule="exact"/>
        <w:rPr>
          <w:sz w:val="20"/>
          <w:szCs w:val="20"/>
          <w:color w:val="auto"/>
        </w:rPr>
      </w:pPr>
    </w:p>
    <w:p>
      <w:pPr>
        <w:ind w:left="743" w:hanging="743"/>
        <w:spacing w:after="0"/>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“Dispute” </w:t>
      </w:r>
      <w:r>
        <w:rPr>
          <w:rFonts w:ascii="Times New Roman" w:cs="Times New Roman" w:eastAsia="Times New Roman" w:hAnsi="Times New Roman"/>
          <w:sz w:val="19"/>
          <w:szCs w:val="19"/>
          <w:color w:val="auto"/>
        </w:rPr>
        <w:t>has the meaning set out in Section 7.9(b).</w:t>
      </w:r>
    </w:p>
    <w:p>
      <w:pPr>
        <w:spacing w:after="0" w:line="105" w:lineRule="exact"/>
        <w:rPr>
          <w:rFonts w:ascii="Times New Roman" w:cs="Times New Roman" w:eastAsia="Times New Roman" w:hAnsi="Times New Roman"/>
          <w:sz w:val="19"/>
          <w:szCs w:val="19"/>
          <w:color w:val="auto"/>
        </w:rPr>
      </w:pPr>
    </w:p>
    <w:p>
      <w:pPr>
        <w:ind w:left="743" w:hanging="743"/>
        <w:spacing w:after="0" w:line="270" w:lineRule="auto"/>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“Encumbrance” </w:t>
      </w:r>
      <w:r>
        <w:rPr>
          <w:rFonts w:ascii="Times New Roman" w:cs="Times New Roman" w:eastAsia="Times New Roman" w:hAnsi="Times New Roman"/>
          <w:sz w:val="19"/>
          <w:szCs w:val="19"/>
          <w:color w:val="auto"/>
        </w:rPr>
        <w:t>means a lien, claim, charge, pledge, hypothecation, security interest, mortgage, title retention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option or encumbrance of any nature or kind whatsoever.</w:t>
      </w:r>
    </w:p>
    <w:p>
      <w:pPr>
        <w:spacing w:after="0" w:line="48"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“Event of Default” </w:t>
      </w:r>
      <w:r>
        <w:rPr>
          <w:rFonts w:ascii="Times New Roman" w:cs="Times New Roman" w:eastAsia="Times New Roman" w:hAnsi="Times New Roman"/>
          <w:sz w:val="19"/>
          <w:szCs w:val="19"/>
          <w:color w:val="auto"/>
        </w:rPr>
        <w:t>has the meaning set out in Section 6.1.</w:t>
      </w:r>
    </w:p>
    <w:p>
      <w:pPr>
        <w:spacing w:after="0" w:line="105" w:lineRule="exact"/>
        <w:rPr>
          <w:rFonts w:ascii="Times New Roman" w:cs="Times New Roman" w:eastAsia="Times New Roman" w:hAnsi="Times New Roman"/>
          <w:sz w:val="19"/>
          <w:szCs w:val="19"/>
          <w:color w:val="auto"/>
        </w:rPr>
      </w:pPr>
    </w:p>
    <w:p>
      <w:pPr>
        <w:jc w:val="both"/>
        <w:ind w:left="743" w:hanging="743"/>
        <w:spacing w:after="0" w:line="264" w:lineRule="auto"/>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“Event of Insolvency” </w:t>
      </w:r>
      <w:r>
        <w:rPr>
          <w:rFonts w:ascii="Times New Roman" w:cs="Times New Roman" w:eastAsia="Times New Roman" w:hAnsi="Times New Roman"/>
          <w:sz w:val="19"/>
          <w:szCs w:val="19"/>
          <w:color w:val="auto"/>
        </w:rPr>
        <w:t>is the occurrence of any one of the following events: (i) if a Person: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7"/>
          <w:szCs w:val="17"/>
          <w:color w:val="auto"/>
        </w:rPr>
        <w:t>(x) is wound up, dissolved, liquidated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7"/>
          <w:szCs w:val="17"/>
          <w:color w:val="auto"/>
        </w:rPr>
        <w:t>or has its existence terminated (unless such existence is immediately reinstated) or has any resolution passed to effect such winding up, dissolution, liquidation or termination, (y) makes a general assignment for the benefit of its creditors or a proposal under applicable bankruptcy or insolvency legislation, or is adjudged bankrupt or insolvent, or (z) institutes proceedings to be adjudicated a voluntary bankrupt or consents to or files any order, petition or answer seeking any reorganization, arrangement, composition, readjustment, liquidation or similar relief for itself under any present or future law relating to bankruptcy, insolvency or other relief for or against debtors generally; or (ii) if a court of competent jurisdiction enters an order, judgment or decree against a Person seeking any reorganization, arrangement, composition, readjustment, liquidation, dissolution, winding-up, termination of existence, declaration of bankruptcy or insolvency or similar relief under any present or future law relating to bankruptcy, insolvency or other relief for or against debtors generally, and the Person acquiesces in the entry of such order, judgment or decree or such order, judgment or decree remains unvacated or unstayed for five (5) days (whether or not consecutive) from the date of entry thereof or if a trustee in bankruptcy, receiver, receiver and manager, liquidator or any other officer with similar powers is appointed for the Person with the consent or acquiescence of the Person and such appointment remains unvacated or unstayed for five (5) days (whether or not consecutive).</w:t>
      </w:r>
    </w:p>
    <w:p>
      <w:pPr>
        <w:spacing w:after="0" w:line="286"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“Exchange” </w:t>
      </w:r>
      <w:r>
        <w:rPr>
          <w:rFonts w:ascii="Times New Roman" w:cs="Times New Roman" w:eastAsia="Times New Roman" w:hAnsi="Times New Roman"/>
          <w:sz w:val="19"/>
          <w:szCs w:val="19"/>
          <w:color w:val="auto"/>
        </w:rPr>
        <w:t>has the meaning set out in the recitals hereto, and includes any successor thereto.</w:t>
      </w:r>
    </w:p>
    <w:p>
      <w:pPr>
        <w:spacing w:after="0" w:line="105"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“Extension Request” </w:t>
      </w:r>
      <w:r>
        <w:rPr>
          <w:rFonts w:ascii="Times New Roman" w:cs="Times New Roman" w:eastAsia="Times New Roman" w:hAnsi="Times New Roman"/>
          <w:sz w:val="19"/>
          <w:szCs w:val="19"/>
          <w:color w:val="auto"/>
        </w:rPr>
        <w:t>has the meaning set out in Section 3.1(b).</w:t>
      </w:r>
    </w:p>
    <w:p>
      <w:pPr>
        <w:spacing w:after="0" w:line="105"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“Force Majeure Event” </w:t>
      </w:r>
      <w:r>
        <w:rPr>
          <w:rFonts w:ascii="Times New Roman" w:cs="Times New Roman" w:eastAsia="Times New Roman" w:hAnsi="Times New Roman"/>
          <w:sz w:val="19"/>
          <w:szCs w:val="19"/>
          <w:color w:val="auto"/>
        </w:rPr>
        <w:t>has the meaning set out in Section 7.8.</w:t>
      </w:r>
    </w:p>
    <w:p>
      <w:pPr>
        <w:spacing w:after="0" w:line="105"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“Funding Notification” </w:t>
      </w:r>
      <w:r>
        <w:rPr>
          <w:rFonts w:ascii="Times New Roman" w:cs="Times New Roman" w:eastAsia="Times New Roman" w:hAnsi="Times New Roman"/>
          <w:sz w:val="19"/>
          <w:szCs w:val="19"/>
          <w:color w:val="auto"/>
        </w:rPr>
        <w:t>has the meaning set out in Section 2.2(b).</w:t>
      </w:r>
    </w:p>
    <w:p>
      <w:pPr>
        <w:spacing w:after="0" w:line="105" w:lineRule="exact"/>
        <w:rPr>
          <w:rFonts w:ascii="Times New Roman" w:cs="Times New Roman" w:eastAsia="Times New Roman" w:hAnsi="Times New Roman"/>
          <w:sz w:val="19"/>
          <w:szCs w:val="19"/>
          <w:color w:val="auto"/>
        </w:rPr>
      </w:pPr>
    </w:p>
    <w:p>
      <w:pPr>
        <w:jc w:val="both"/>
        <w:ind w:left="743" w:hanging="743"/>
        <w:spacing w:after="0" w:line="253" w:lineRule="auto"/>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“Governmental Authority” </w:t>
      </w:r>
      <w:r>
        <w:rPr>
          <w:rFonts w:ascii="Times New Roman" w:cs="Times New Roman" w:eastAsia="Times New Roman" w:hAnsi="Times New Roman"/>
          <w:sz w:val="19"/>
          <w:szCs w:val="19"/>
          <w:color w:val="auto"/>
        </w:rPr>
        <w:t>means any government, whether federal, state, provincial, territorial, municipal, local or other,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ministry, department, agency, whether administrative or regulatory or other body relating thereto or any other body which may exercise similar functions and, for the purposes hereof, includes the Exchange.</w:t>
      </w:r>
    </w:p>
    <w:p>
      <w:pPr>
        <w:spacing w:after="0" w:line="65"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“Indemnified Parties” </w:t>
      </w:r>
      <w:r>
        <w:rPr>
          <w:rFonts w:ascii="Times New Roman" w:cs="Times New Roman" w:eastAsia="Times New Roman" w:hAnsi="Times New Roman"/>
          <w:sz w:val="19"/>
          <w:szCs w:val="19"/>
          <w:color w:val="auto"/>
        </w:rPr>
        <w:t>has the meaning set out in Section 7.2.</w:t>
      </w:r>
    </w:p>
    <w:p>
      <w:pPr>
        <w:spacing w:after="0" w:line="105"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“Issuer” </w:t>
      </w:r>
      <w:r>
        <w:rPr>
          <w:rFonts w:ascii="Times New Roman" w:cs="Times New Roman" w:eastAsia="Times New Roman" w:hAnsi="Times New Roman"/>
          <w:sz w:val="19"/>
          <w:szCs w:val="19"/>
          <w:color w:val="auto"/>
        </w:rPr>
        <w:t>has the meaning set out in the recitals hereto, and includes any successor thereto.</w:t>
      </w:r>
    </w:p>
    <w:p>
      <w:pPr>
        <w:spacing w:after="0" w:line="105"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“Listco Securities” </w:t>
      </w:r>
      <w:r>
        <w:rPr>
          <w:rFonts w:ascii="Times New Roman" w:cs="Times New Roman" w:eastAsia="Times New Roman" w:hAnsi="Times New Roman"/>
          <w:sz w:val="19"/>
          <w:szCs w:val="19"/>
          <w:color w:val="auto"/>
        </w:rPr>
        <w:t>has the meaning set out in the recitals hereto.</w:t>
      </w:r>
    </w:p>
    <w:p>
      <w:pPr>
        <w:spacing w:after="0" w:line="105" w:lineRule="exact"/>
        <w:rPr>
          <w:rFonts w:ascii="Times New Roman" w:cs="Times New Roman" w:eastAsia="Times New Roman" w:hAnsi="Times New Roman"/>
          <w:sz w:val="19"/>
          <w:szCs w:val="19"/>
          <w:color w:val="auto"/>
        </w:rPr>
      </w:pPr>
    </w:p>
    <w:p>
      <w:pPr>
        <w:ind w:left="743" w:hanging="743"/>
        <w:spacing w:after="0"/>
        <w:tabs>
          <w:tab w:leader="none" w:pos="74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“Loan” </w:t>
      </w:r>
      <w:r>
        <w:rPr>
          <w:rFonts w:ascii="Times New Roman" w:cs="Times New Roman" w:eastAsia="Times New Roman" w:hAnsi="Times New Roman"/>
          <w:sz w:val="19"/>
          <w:szCs w:val="19"/>
          <w:color w:val="auto"/>
        </w:rPr>
        <w:t>has the meaning set out in Section 2.1(a).</w:t>
      </w:r>
    </w:p>
    <w:p>
      <w:pPr>
        <w:spacing w:after="0" w:line="114" w:lineRule="exact"/>
        <w:rPr>
          <w:sz w:val="20"/>
          <w:szCs w:val="20"/>
          <w:color w:val="auto"/>
        </w:rPr>
      </w:pPr>
    </w:p>
    <w:p>
      <w:pPr>
        <w:ind w:left="743" w:hanging="743"/>
        <w:spacing w:after="0"/>
        <w:tabs>
          <w:tab w:leader="none" w:pos="7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“Loan Amount” </w:t>
      </w:r>
      <w:r>
        <w:rPr>
          <w:rFonts w:ascii="Times New Roman" w:cs="Times New Roman" w:eastAsia="Times New Roman" w:hAnsi="Times New Roman"/>
          <w:sz w:val="18"/>
          <w:szCs w:val="18"/>
          <w:color w:val="auto"/>
        </w:rPr>
        <w:t>has the meaning set out in Section 2.1(a).</w:t>
      </w:r>
    </w:p>
    <w:p>
      <w:pPr>
        <w:spacing w:after="0" w:line="117" w:lineRule="exact"/>
        <w:rPr>
          <w:rFonts w:ascii="Times New Roman" w:cs="Times New Roman" w:eastAsia="Times New Roman" w:hAnsi="Times New Roman"/>
          <w:sz w:val="18"/>
          <w:szCs w:val="18"/>
          <w:color w:val="auto"/>
        </w:rPr>
      </w:pPr>
    </w:p>
    <w:p>
      <w:pPr>
        <w:ind w:left="743" w:right="60" w:hanging="743"/>
        <w:spacing w:after="0" w:line="257" w:lineRule="auto"/>
        <w:tabs>
          <w:tab w:leader="none" w:pos="7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“loan-to-value” </w:t>
      </w:r>
      <w:r>
        <w:rPr>
          <w:rFonts w:ascii="Times New Roman" w:cs="Times New Roman" w:eastAsia="Times New Roman" w:hAnsi="Times New Roman"/>
          <w:sz w:val="18"/>
          <w:szCs w:val="18"/>
          <w:color w:val="auto"/>
        </w:rPr>
        <w:t>means, at any time, the ratio of the outstanding principal amount of the Loan to the market value of the Pledged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with the market value thereof being determined by the Lender by multiplying (i) the total number of such Pledged Securities by (ii) (x) the closing price of the Listco Securities on the Exchange on the relevant Trading Day, or (y) in the event that the Listco Securities are suspended from trading, the Listco Securities have not for any reason traded for more than fifteen (15) consecutive Trading Days on the Exchange or the Lender reasonably determines that the Borrower is not in compliance with Section 4.3(g), the price determined by the Lender, acting reasonably.</w:t>
      </w:r>
    </w:p>
    <w:p>
      <w:pPr>
        <w:spacing w:after="0" w:line="74"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18"/>
          <w:szCs w:val="18"/>
          <w:color w:val="auto"/>
        </w:rPr>
        <w:t>has the meaning set out in Section 2.1(d), as the same may be modified in accordance with Section 3.1(b).</w:t>
      </w:r>
    </w:p>
    <w:p>
      <w:pPr>
        <w:spacing w:after="0" w:line="117" w:lineRule="exact"/>
        <w:rPr>
          <w:rFonts w:ascii="Times New Roman" w:cs="Times New Roman" w:eastAsia="Times New Roman" w:hAnsi="Times New Roman"/>
          <w:sz w:val="18"/>
          <w:szCs w:val="18"/>
          <w:color w:val="auto"/>
        </w:rPr>
      </w:pPr>
    </w:p>
    <w:p>
      <w:pPr>
        <w:ind w:left="743" w:hanging="743"/>
        <w:spacing w:after="0"/>
        <w:tabs>
          <w:tab w:leader="none" w:pos="7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has the meaning set out in Section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898525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0" w:lineRule="exact"/>
        <w:rPr>
          <w:sz w:val="20"/>
          <w:szCs w:val="20"/>
          <w:color w:val="auto"/>
        </w:rPr>
      </w:pPr>
    </w:p>
    <w:p>
      <w:pPr>
        <w:spacing w:after="0" w:line="345" w:lineRule="exact"/>
        <w:rPr>
          <w:sz w:val="20"/>
          <w:szCs w:val="20"/>
          <w:color w:val="auto"/>
        </w:rPr>
      </w:pPr>
    </w:p>
    <w:p>
      <w:pPr>
        <w:jc w:val="both"/>
        <w:ind w:left="1500" w:right="20" w:hanging="743"/>
        <w:spacing w:after="0" w:line="268"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“Obligations” </w:t>
      </w:r>
      <w:r>
        <w:rPr>
          <w:rFonts w:ascii="Times New Roman" w:cs="Times New Roman" w:eastAsia="Times New Roman" w:hAnsi="Times New Roman"/>
          <w:sz w:val="18"/>
          <w:szCs w:val="18"/>
          <w:color w:val="auto"/>
        </w:rPr>
        <w:t>means the principal amount of the Loan owing from time to time, any accrued and unpaid interest thereon and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now or hereafter payable hereunder, in any currency at any time owing by the Borrower to the Lender or remaining unpaid by the Borrower to the Lender.</w:t>
      </w:r>
    </w:p>
    <w:p>
      <w:pPr>
        <w:spacing w:after="0" w:line="62"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“Onlending” </w:t>
      </w:r>
      <w:r>
        <w:rPr>
          <w:rFonts w:ascii="Times New Roman" w:cs="Times New Roman" w:eastAsia="Times New Roman" w:hAnsi="Times New Roman"/>
          <w:sz w:val="18"/>
          <w:szCs w:val="18"/>
          <w:color w:val="auto"/>
        </w:rPr>
        <w:t>has the meaning set out in Section 4.3(e).</w:t>
      </w:r>
    </w:p>
    <w:p>
      <w:pPr>
        <w:spacing w:after="0" w:line="117" w:lineRule="exact"/>
        <w:rPr>
          <w:rFonts w:ascii="Times New Roman" w:cs="Times New Roman" w:eastAsia="Times New Roman" w:hAnsi="Times New Roman"/>
          <w:sz w:val="18"/>
          <w:szCs w:val="18"/>
          <w:color w:val="auto"/>
        </w:rPr>
      </w:pPr>
    </w:p>
    <w:p>
      <w:pPr>
        <w:ind w:left="1500" w:right="360" w:hanging="743"/>
        <w:spacing w:after="0" w:line="268"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 </w:t>
      </w:r>
      <w:r>
        <w:rPr>
          <w:rFonts w:ascii="Times New Roman" w:cs="Times New Roman" w:eastAsia="Times New Roman" w:hAnsi="Times New Roman"/>
          <w:sz w:val="18"/>
          <w:szCs w:val="18"/>
          <w:color w:val="auto"/>
        </w:rPr>
        <w:t>includes a natural person, a partnership of any type, a corporation, a company, an unlimited liability company, a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a joint venture, a syndicate, a bank, a trust, a trust company, a Governmental Authority or an agency thereof, a trustee or an executor, an administrator or other legal representative or entity.</w:t>
      </w:r>
    </w:p>
    <w:p>
      <w:pPr>
        <w:spacing w:after="0" w:line="62" w:lineRule="exact"/>
        <w:rPr>
          <w:rFonts w:ascii="Times New Roman" w:cs="Times New Roman" w:eastAsia="Times New Roman" w:hAnsi="Times New Roman"/>
          <w:sz w:val="18"/>
          <w:szCs w:val="18"/>
          <w:color w:val="auto"/>
        </w:rPr>
      </w:pPr>
    </w:p>
    <w:p>
      <w:pPr>
        <w:ind w:left="1500" w:right="420" w:hanging="743"/>
        <w:spacing w:after="0" w:line="268"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“Personal Information” </w:t>
      </w:r>
      <w:r>
        <w:rPr>
          <w:rFonts w:ascii="Times New Roman" w:cs="Times New Roman" w:eastAsia="Times New Roman" w:hAnsi="Times New Roman"/>
          <w:sz w:val="18"/>
          <w:szCs w:val="18"/>
          <w:color w:val="auto"/>
        </w:rPr>
        <w:t>means information about the Borrower (whether an individual or otherwise), if applicable, its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signing officers, direct or indirect shareholders or members or other Persons in control of the Borrower and includes information contained in this Agreement and the transactions contemplated hereby.</w:t>
      </w:r>
    </w:p>
    <w:p>
      <w:pPr>
        <w:spacing w:after="0" w:line="62"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“Pledged Securities” </w:t>
      </w:r>
      <w:r>
        <w:rPr>
          <w:rFonts w:ascii="Times New Roman" w:cs="Times New Roman" w:eastAsia="Times New Roman" w:hAnsi="Times New Roman"/>
          <w:sz w:val="18"/>
          <w:szCs w:val="18"/>
          <w:color w:val="auto"/>
        </w:rPr>
        <w:t>has the meaning set out in Section 2.2(a).</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“Prepayment Date” </w:t>
      </w:r>
      <w:r>
        <w:rPr>
          <w:rFonts w:ascii="Times New Roman" w:cs="Times New Roman" w:eastAsia="Times New Roman" w:hAnsi="Times New Roman"/>
          <w:sz w:val="18"/>
          <w:szCs w:val="18"/>
          <w:color w:val="auto"/>
        </w:rPr>
        <w:t>has the meaning set out in Section 3.2(a).</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“Re-delivery” </w:t>
      </w:r>
      <w:r>
        <w:rPr>
          <w:rFonts w:ascii="Times New Roman" w:cs="Times New Roman" w:eastAsia="Times New Roman" w:hAnsi="Times New Roman"/>
          <w:sz w:val="18"/>
          <w:szCs w:val="18"/>
          <w:color w:val="auto"/>
        </w:rPr>
        <w:t>has the meaning set out in Section 3.2(b)</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“Re-delivery Date” </w:t>
      </w:r>
      <w:r>
        <w:rPr>
          <w:rFonts w:ascii="Times New Roman" w:cs="Times New Roman" w:eastAsia="Times New Roman" w:hAnsi="Times New Roman"/>
          <w:sz w:val="18"/>
          <w:szCs w:val="18"/>
          <w:color w:val="auto"/>
        </w:rPr>
        <w:t>has the meaning set out in Section 3.2(b).</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“Repayment” </w:t>
      </w:r>
      <w:r>
        <w:rPr>
          <w:rFonts w:ascii="Times New Roman" w:cs="Times New Roman" w:eastAsia="Times New Roman" w:hAnsi="Times New Roman"/>
          <w:sz w:val="18"/>
          <w:szCs w:val="18"/>
          <w:color w:val="auto"/>
        </w:rPr>
        <w:t>has the meaning set out in Section 3.2(b).</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 Price Default” </w:t>
      </w:r>
      <w:r>
        <w:rPr>
          <w:rFonts w:ascii="Times New Roman" w:cs="Times New Roman" w:eastAsia="Times New Roman" w:hAnsi="Times New Roman"/>
          <w:sz w:val="18"/>
          <w:szCs w:val="18"/>
          <w:color w:val="auto"/>
        </w:rPr>
        <w:t>has the meaning set out in Section 6.1(d).</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“sole discretion” </w:t>
      </w:r>
      <w:r>
        <w:rPr>
          <w:rFonts w:ascii="Times New Roman" w:cs="Times New Roman" w:eastAsia="Times New Roman" w:hAnsi="Times New Roman"/>
          <w:sz w:val="18"/>
          <w:szCs w:val="18"/>
          <w:color w:val="auto"/>
        </w:rPr>
        <w:t>means sole, absolute and unfettered discretion.</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“Trading Day” </w:t>
      </w:r>
      <w:r>
        <w:rPr>
          <w:rFonts w:ascii="Times New Roman" w:cs="Times New Roman" w:eastAsia="Times New Roman" w:hAnsi="Times New Roman"/>
          <w:sz w:val="18"/>
          <w:szCs w:val="18"/>
          <w:color w:val="auto"/>
        </w:rPr>
        <w:t>means a day upon which securities are traded on the Exchange.</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“Tranche” </w:t>
      </w:r>
      <w:r>
        <w:rPr>
          <w:rFonts w:ascii="Times New Roman" w:cs="Times New Roman" w:eastAsia="Times New Roman" w:hAnsi="Times New Roman"/>
          <w:sz w:val="18"/>
          <w:szCs w:val="18"/>
          <w:color w:val="auto"/>
        </w:rPr>
        <w:t>has the meaning set out in Section 2.1(b).</w:t>
      </w:r>
    </w:p>
    <w:p>
      <w:pPr>
        <w:spacing w:after="0" w:line="117" w:lineRule="exact"/>
        <w:rPr>
          <w:rFonts w:ascii="Times New Roman" w:cs="Times New Roman" w:eastAsia="Times New Roman" w:hAnsi="Times New Roman"/>
          <w:sz w:val="18"/>
          <w:szCs w:val="18"/>
          <w:color w:val="auto"/>
        </w:rPr>
      </w:pPr>
    </w:p>
    <w:p>
      <w:pPr>
        <w:ind w:left="1500" w:right="200" w:hanging="743"/>
        <w:spacing w:after="0" w:line="268"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“Value Date” </w:t>
      </w:r>
      <w:r>
        <w:rPr>
          <w:rFonts w:ascii="Times New Roman" w:cs="Times New Roman" w:eastAsia="Times New Roman" w:hAnsi="Times New Roman"/>
          <w:sz w:val="18"/>
          <w:szCs w:val="18"/>
          <w:color w:val="auto"/>
        </w:rPr>
        <w:t>means, to the extent that Section 2.2(c) applies, the date upon which the requisite number of Listco Securities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in the Borrower Securities Account (or as the Lender may otherwise direct), and, to the extent that Section 2.2(c) does not so apply, the date of delivery of the Funding Notification to the Borrower.</w:t>
      </w:r>
    </w:p>
    <w:p>
      <w:pPr>
        <w:spacing w:after="0" w:line="5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1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In this Agreement:</w:t>
      </w:r>
    </w:p>
    <w:p>
      <w:pPr>
        <w:spacing w:after="0" w:line="106" w:lineRule="exact"/>
        <w:rPr>
          <w:sz w:val="20"/>
          <w:szCs w:val="20"/>
          <w:color w:val="auto"/>
        </w:rPr>
      </w:pPr>
    </w:p>
    <w:p>
      <w:pPr>
        <w:ind w:left="1500" w:hanging="743"/>
        <w:spacing w:after="0"/>
        <w:tabs>
          <w:tab w:leader="none" w:pos="15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time is of the essence of all terms of this Agreement;</w:t>
      </w:r>
    </w:p>
    <w:p>
      <w:pPr>
        <w:spacing w:after="0" w:line="105"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words and personal pronouns relating thereto shall be read and construed as the number and gender of the party or parties requires and the verb shall be read and construed as agreeing with the required word and pronoun;</w:t>
      </w:r>
    </w:p>
    <w:p>
      <w:pPr>
        <w:spacing w:after="0" w:line="53" w:lineRule="exact"/>
        <w:rPr>
          <w:rFonts w:ascii="Times New Roman" w:cs="Times New Roman" w:eastAsia="Times New Roman" w:hAnsi="Times New Roman"/>
          <w:sz w:val="19"/>
          <w:szCs w:val="19"/>
          <w:color w:val="auto"/>
        </w:rPr>
      </w:pPr>
    </w:p>
    <w:p>
      <w:pPr>
        <w:jc w:val="both"/>
        <w:ind w:left="1500" w:hanging="743"/>
        <w:spacing w:after="0" w:line="279" w:lineRule="auto"/>
        <w:tabs>
          <w:tab w:leader="none" w:pos="15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word </w:t>
      </w:r>
      <w:r>
        <w:rPr>
          <w:rFonts w:ascii="Times New Roman" w:cs="Times New Roman" w:eastAsia="Times New Roman" w:hAnsi="Times New Roman"/>
          <w:sz w:val="19"/>
          <w:szCs w:val="19"/>
          <w:b w:val="1"/>
          <w:bCs w:val="1"/>
          <w:color w:val="auto"/>
        </w:rPr>
        <w:t>“include”, “includes”</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color w:val="auto"/>
        </w:rPr>
        <w:t>“including”</w:t>
      </w:r>
      <w:r>
        <w:rPr>
          <w:rFonts w:ascii="Times New Roman" w:cs="Times New Roman" w:eastAsia="Times New Roman" w:hAnsi="Times New Roman"/>
          <w:sz w:val="19"/>
          <w:szCs w:val="19"/>
          <w:color w:val="auto"/>
        </w:rPr>
        <w:t xml:space="preserve"> means “include, without limitation”, </w:t>
      </w:r>
      <w:r>
        <w:rPr>
          <w:rFonts w:ascii="Times New Roman" w:cs="Times New Roman" w:eastAsia="Times New Roman" w:hAnsi="Times New Roman"/>
          <w:sz w:val="17"/>
          <w:szCs w:val="17"/>
          <w:color w:val="auto"/>
        </w:rPr>
        <w:t>“includes, without limitation”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 xml:space="preserve">“including, without limitation”, respectively, and the words following </w:t>
      </w:r>
      <w:r>
        <w:rPr>
          <w:rFonts w:ascii="Times New Roman" w:cs="Times New Roman" w:eastAsia="Times New Roman" w:hAnsi="Times New Roman"/>
          <w:sz w:val="17"/>
          <w:szCs w:val="17"/>
          <w:b w:val="1"/>
          <w:bCs w:val="1"/>
          <w:color w:val="auto"/>
        </w:rPr>
        <w:t>“include”, “includes”</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“including”</w:t>
      </w:r>
      <w:r>
        <w:rPr>
          <w:rFonts w:ascii="Times New Roman" w:cs="Times New Roman" w:eastAsia="Times New Roman" w:hAnsi="Times New Roman"/>
          <w:sz w:val="17"/>
          <w:szCs w:val="17"/>
          <w:color w:val="auto"/>
        </w:rPr>
        <w:t xml:space="preserve"> shall not be considered to set forth an exhaustive list;</w:t>
      </w:r>
    </w:p>
    <w:p>
      <w:pPr>
        <w:spacing w:after="0" w:line="51"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division of this Agreement into separate Articles and Sections, the provision of a Table of Contents and the insertion of headings is for convenience of reference only and shall not affect the construction or interpretation of this Agreement;</w:t>
      </w:r>
    </w:p>
    <w:p>
      <w:pPr>
        <w:spacing w:after="0" w:line="57"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specified otherwise, a reference in this Agreement to an agreement or document at any time refers (subject to all relevant approvals) to that agreement or document, as amended, supplemented, restated, substituted, replaced, extended, novated and/or assigned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0" w:lineRule="exact"/>
        <w:rPr>
          <w:sz w:val="20"/>
          <w:szCs w:val="20"/>
          <w:color w:val="auto"/>
        </w:rPr>
      </w:pPr>
    </w:p>
    <w:p>
      <w:pPr>
        <w:spacing w:after="0" w:line="337" w:lineRule="exact"/>
        <w:rPr>
          <w:sz w:val="20"/>
          <w:szCs w:val="20"/>
          <w:color w:val="auto"/>
        </w:rPr>
      </w:pPr>
    </w:p>
    <w:p>
      <w:pPr>
        <w:ind w:left="1500" w:hanging="743"/>
        <w:spacing w:after="0" w:line="270" w:lineRule="auto"/>
        <w:tabs>
          <w:tab w:leader="none" w:pos="15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words </w:t>
      </w:r>
      <w:r>
        <w:rPr>
          <w:rFonts w:ascii="Times New Roman" w:cs="Times New Roman" w:eastAsia="Times New Roman" w:hAnsi="Times New Roman"/>
          <w:sz w:val="19"/>
          <w:szCs w:val="19"/>
          <w:b w:val="1"/>
          <w:bCs w:val="1"/>
          <w:color w:val="auto"/>
        </w:rPr>
        <w:t>“herein”, “hereof”, “hereunder”, “hereinafter”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“hereto</w:t>
      </w:r>
      <w:r>
        <w:rPr>
          <w:rFonts w:ascii="Times New Roman" w:cs="Times New Roman" w:eastAsia="Times New Roman" w:hAnsi="Times New Roman"/>
          <w:sz w:val="19"/>
          <w:szCs w:val="19"/>
          <w:color w:val="auto"/>
        </w:rPr>
        <w:t>” and words of similar import refer to this Agreement as a whole and not to any particular Article or Section hereof; and</w:t>
      </w:r>
    </w:p>
    <w:p>
      <w:pPr>
        <w:spacing w:after="0" w:line="52"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recitals herein are true and correct and the parties rely thereon.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LOAN AND PLEDGED SECURITIES</w:t>
      </w:r>
    </w:p>
    <w:p>
      <w:pPr>
        <w:spacing w:after="0" w:line="8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Loan Terms</w:t>
      </w:r>
    </w:p>
    <w:p>
      <w:pPr>
        <w:spacing w:after="0" w:line="103" w:lineRule="exact"/>
        <w:rPr>
          <w:sz w:val="20"/>
          <w:szCs w:val="20"/>
          <w:color w:val="auto"/>
        </w:rPr>
      </w:pPr>
    </w:p>
    <w:p>
      <w:pPr>
        <w:ind w:left="1500" w:hanging="743"/>
        <w:spacing w:after="0" w:line="265" w:lineRule="auto"/>
        <w:tabs>
          <w:tab w:leader="none" w:pos="15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contained herein (and, in particular, Section 2.2(a) hereof), the Lender agrees to make a loan (the “Loan”) to the Borrower in the principal amount of up to Fifty Million Dollars ($50,000,000) (the “Loan Amount”).</w:t>
      </w:r>
    </w:p>
    <w:p>
      <w:pPr>
        <w:spacing w:after="0" w:line="57" w:lineRule="exact"/>
        <w:rPr>
          <w:rFonts w:ascii="Times New Roman" w:cs="Times New Roman" w:eastAsia="Times New Roman" w:hAnsi="Times New Roman"/>
          <w:sz w:val="19"/>
          <w:szCs w:val="19"/>
          <w:color w:val="auto"/>
        </w:rPr>
      </w:pPr>
    </w:p>
    <w:p>
      <w:pPr>
        <w:jc w:val="both"/>
        <w:ind w:left="1500" w:hanging="743"/>
        <w:spacing w:after="0" w:line="246" w:lineRule="auto"/>
        <w:tabs>
          <w:tab w:leader="none" w:pos="15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may be advanced by the Lender in one or more tranches (each, a “Tranche”). The amount available under each Tranche and the timing thereof shall be determined by the Lender, in its sole discretion, and subject to market conditions, and shall not at any time exceed the Loan Amount. The advance of a Tranche shall be conditional on there not existing any Event of Default.</w:t>
      </w:r>
    </w:p>
    <w:p>
      <w:pPr>
        <w:spacing w:after="0" w:line="76"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cause to be opened a bank account with the Lender (the “Borrower Account”), together with a securities account with the Lender (the “Borrower Securities Account”) into which shall be held Listco Securities of the Borrower for the purposes of the transactions contemplated by this Agreement, subject to the terms of the Custodian Management Agreement.</w:t>
      </w:r>
    </w:p>
    <w:p>
      <w:pPr>
        <w:spacing w:after="0" w:line="70"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maturity date of the Loan (the “Maturity Date”) shall be the four (4) year anniversary from the initial Closing Date, or such earlier date as the Obligations may become due and payable in accordance with the terms and conditions hereof. For the avoidance of doubt, the maturity date of all Tranches shall be the Maturity Date, irrespective of the date of advance thereof.</w:t>
      </w:r>
    </w:p>
    <w:p>
      <w:pPr>
        <w:spacing w:after="0" w:line="70"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compliance with Section 3.2, the Borrower shall not have the right to prepay the principal amount of the Loan prior to the date that is the twenty (20) month anniversary from the initial Closing Date.</w:t>
      </w:r>
    </w:p>
    <w:p>
      <w:pPr>
        <w:spacing w:after="0" w:line="57"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 shall enter in its records details of all amounts from time to time owing, paid or prepaid by the Borrower to the Lender hereunder and as contemplated hereby. The information entered in such records shall constitute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indebtedness of the Borrower to the Lender hereunder.</w:t>
      </w:r>
    </w:p>
    <w:p>
      <w:pPr>
        <w:spacing w:after="0" w:line="70" w:lineRule="exact"/>
        <w:rPr>
          <w:rFonts w:ascii="Times New Roman" w:cs="Times New Roman" w:eastAsia="Times New Roman" w:hAnsi="Times New Roman"/>
          <w:sz w:val="19"/>
          <w:szCs w:val="19"/>
          <w:color w:val="auto"/>
        </w:rPr>
      </w:pPr>
    </w:p>
    <w:p>
      <w:pPr>
        <w:jc w:val="both"/>
        <w:ind w:left="1500" w:hanging="743"/>
        <w:spacing w:after="0" w:line="242" w:lineRule="auto"/>
        <w:tabs>
          <w:tab w:leader="none" w:pos="15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outstanding amounts of the Loan shall accrue interest at the rate of the 12-month Secured Overnight Financing Rate (I:SOFR) plus 2.0% per annum, with such interest being payable to the Lender on the earlier of the Maturity Date and the date of occurrence of an Event of Default. Interest shall accrue daily both before and after default, demand, maturity and judgment, and shall be calculated on the basis of the actual number of days elapsed and on the basis of a year of 365 days (366 days in a leap year). All interest payments due hereunder shall be paid in USD and made by way of certified cheque or other immediately available funds as directed by the Lender.</w:t>
      </w:r>
    </w:p>
    <w:p>
      <w:pPr>
        <w:spacing w:after="0" w:line="82" w:lineRule="exact"/>
        <w:rPr>
          <w:rFonts w:ascii="Times New Roman" w:cs="Times New Roman" w:eastAsia="Times New Roman" w:hAnsi="Times New Roman"/>
          <w:sz w:val="19"/>
          <w:szCs w:val="19"/>
          <w:color w:val="auto"/>
        </w:rPr>
      </w:pPr>
    </w:p>
    <w:p>
      <w:pPr>
        <w:jc w:val="both"/>
        <w:ind w:left="1500" w:hanging="743"/>
        <w:spacing w:after="0" w:line="244" w:lineRule="auto"/>
        <w:tabs>
          <w:tab w:leader="none" w:pos="150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the intent of the parties that the rate of interest and other charges to the Borrower under this Agreement shall be lawful; therefore, if for any reason the interest or other charges payable under this Agreement are found by a court of competent jurisdiction, in a final determination that has become non-appealable, to exceed the limit which the Lender may lawfully charge the Borrower, then the obligation to pay interest and other charges shall automatically be reduced to such limit and, if any amount in excess of such limit shall have been paid, then such amount shall be refunded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0" w:lineRule="exact"/>
        <w:rPr>
          <w:sz w:val="20"/>
          <w:szCs w:val="20"/>
          <w:color w:val="auto"/>
        </w:rPr>
      </w:pPr>
    </w:p>
    <w:p>
      <w:pPr>
        <w:spacing w:after="0" w:line="341" w:lineRule="exact"/>
        <w:rPr>
          <w:sz w:val="20"/>
          <w:szCs w:val="20"/>
          <w:color w:val="auto"/>
        </w:rPr>
      </w:pPr>
    </w:p>
    <w:p>
      <w:pPr>
        <w:jc w:val="both"/>
        <w:ind w:left="1500" w:hanging="743"/>
        <w:spacing w:after="0" w:line="246" w:lineRule="auto"/>
        <w:tabs>
          <w:tab w:leader="none" w:pos="15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pay to the Lender an up-front structure fee in an amount equal to 0.25% of the principal amount of each Tranche, which amount shall be deducted from the principal amount of such Tranche on the applicable Closing Date. The Borrower acknowledges and agrees that all or any portion of such structure fee may be paid by the Lender to one or more third parties in connection with the Loan.</w:t>
      </w:r>
    </w:p>
    <w:p>
      <w:pPr>
        <w:spacing w:after="0" w:line="76" w:lineRule="exact"/>
        <w:rPr>
          <w:rFonts w:ascii="Times New Roman" w:cs="Times New Roman" w:eastAsia="Times New Roman" w:hAnsi="Times New Roman"/>
          <w:sz w:val="19"/>
          <w:szCs w:val="19"/>
          <w:color w:val="auto"/>
        </w:rPr>
      </w:pPr>
    </w:p>
    <w:p>
      <w:pPr>
        <w:jc w:val="both"/>
        <w:ind w:left="1500" w:hanging="743"/>
        <w:spacing w:after="0" w:line="246" w:lineRule="auto"/>
        <w:tabs>
          <w:tab w:leader="none" w:pos="15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else herein contained to the contrary or otherwise, any and all payments to be made by or on behalf of the Borrower to the Lender hereunder shall be made solely by the Borrower from a financial account of the Borrower. Any such payments made by third parties, or from bank accounts, trading accounts or other accounts not of the Borrower, shall not be accepted by the Lender.</w:t>
      </w:r>
    </w:p>
    <w:p>
      <w:pPr>
        <w:spacing w:after="0" w:line="76" w:lineRule="exact"/>
        <w:rPr>
          <w:rFonts w:ascii="Times New Roman" w:cs="Times New Roman" w:eastAsia="Times New Roman" w:hAnsi="Times New Roman"/>
          <w:sz w:val="19"/>
          <w:szCs w:val="19"/>
          <w:color w:val="auto"/>
        </w:rPr>
      </w:pPr>
    </w:p>
    <w:p>
      <w:pPr>
        <w:jc w:val="both"/>
        <w:ind w:left="1500" w:hanging="743"/>
        <w:spacing w:after="0" w:line="244" w:lineRule="auto"/>
        <w:tabs>
          <w:tab w:leader="none" w:pos="15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sums payable by the Borrower hereunder (including interest payments) shall be paid free and clear of any deduction or withholding for or on account of any tax or on account of any other amount, whether by way of set-off, counterclaim or otherwise. If the Borrower must at any time deduct or withhold any tax on any sum payable to the Lender, the Borrower shall pay such additional amount as is necessary to ensure that the Lender receives a net sum equal to what the Lender would have received had no such deduction or withholding been required.</w:t>
      </w:r>
    </w:p>
    <w:p>
      <w:pPr>
        <w:spacing w:after="0" w:line="7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Pledged Securities; Tranches</w:t>
      </w:r>
    </w:p>
    <w:p>
      <w:pPr>
        <w:spacing w:after="0" w:line="103" w:lineRule="exact"/>
        <w:rPr>
          <w:sz w:val="20"/>
          <w:szCs w:val="20"/>
          <w:color w:val="auto"/>
        </w:rPr>
      </w:pPr>
    </w:p>
    <w:p>
      <w:pPr>
        <w:jc w:val="both"/>
        <w:ind w:left="1500" w:hanging="743"/>
        <w:spacing w:after="0"/>
        <w:tabs>
          <w:tab w:leader="none" w:pos="15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general and continuing security for the due, prompt and complete performance and satisfaction of the Obligations, with effect from the date hereof, the Borrower hereby mortgages, pledges, charges and grants to the Lender a security interest, as and by way of a fixed and specific mortgage, pledge, charge and security interest, to and in favour of the Lender, in an aggregate of 39,202,800 Listco Securities. As a condition precedent to the advance of each Tranche hereunder, the Borrower agrees to procure Delivery to the Borrower Securities Account (or as the Lender may otherwise direct) of such number of Listco Securities as is set forth in any Funding Notification delivered to the Borrower as provided in Section 2.2(b) below (such Listco Securities so Delivered, together with all substitutions, additions and proceeds thereof, all dividends, interest, income, revenue, return of capital or other distributions made in respect thereof and all rights and claims of the Borrower in respect of the foregoing or evidenced thereby being, collectively, the “Pledged Securities”).</w:t>
      </w:r>
    </w:p>
    <w:p>
      <w:pPr>
        <w:spacing w:after="0" w:line="85" w:lineRule="exact"/>
        <w:rPr>
          <w:rFonts w:ascii="Times New Roman" w:cs="Times New Roman" w:eastAsia="Times New Roman" w:hAnsi="Times New Roman"/>
          <w:sz w:val="19"/>
          <w:szCs w:val="19"/>
          <w:color w:val="auto"/>
        </w:rPr>
      </w:pPr>
    </w:p>
    <w:p>
      <w:pPr>
        <w:jc w:val="both"/>
        <w:ind w:left="1500" w:hanging="743"/>
        <w:spacing w:after="0" w:line="243" w:lineRule="auto"/>
        <w:tabs>
          <w:tab w:leader="none" w:pos="15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 may, at any time prior to the Maturity Date, in its sole discretion, notify the Borrower of its intention to fund a particular Tranche. Such notification (a “Funding Notification”) shall be in writing and will include: (i) the principal amount of the proposed Tranche; (ii) the estimated number of Listco Securities required to be Delivered to the Borrower Securities Account (or as the Lender may otherwise direct) in connection with </w:t>
      </w:r>
      <w:r>
        <w:rPr>
          <w:rFonts w:ascii="Times New Roman" w:cs="Times New Roman" w:eastAsia="Times New Roman" w:hAnsi="Times New Roman"/>
          <w:sz w:val="17"/>
          <w:szCs w:val="17"/>
          <w:color w:val="auto"/>
        </w:rPr>
        <w:t>such Tranche as determined in accordance with Section 2.2(e);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and (iii) the intended Closing Date of such Tranche.</w:t>
      </w:r>
    </w:p>
    <w:p>
      <w:pPr>
        <w:spacing w:after="0" w:line="81" w:lineRule="exact"/>
        <w:rPr>
          <w:rFonts w:ascii="Times New Roman" w:cs="Times New Roman" w:eastAsia="Times New Roman" w:hAnsi="Times New Roman"/>
          <w:sz w:val="19"/>
          <w:szCs w:val="19"/>
          <w:color w:val="auto"/>
        </w:rPr>
      </w:pPr>
    </w:p>
    <w:p>
      <w:pPr>
        <w:jc w:val="both"/>
        <w:ind w:left="1500" w:hanging="743"/>
        <w:spacing w:after="0" w:line="242" w:lineRule="auto"/>
        <w:tabs>
          <w:tab w:leader="none" w:pos="15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delivery of a Funding Notification to the Borrower, to the extent that the relevant number of Listco Securities set forth in the Funding Notification is not deposited in the Borrower Securities Account (if applicable), the Borrower shall as soon as practicable (and, in the case of any Funding Notification delivered after the initial Funding Notification given hereunder, in any event, within five (5) Banking Days following receipt of such Funding Notification) take all necessary steps to so Deliver such Listco Securities therein such that the number of Listco Securities standing in the Borrower Securities Account meets or exceeds the number of Listco Securities set out in the Funding Notification.</w:t>
      </w:r>
    </w:p>
    <w:p>
      <w:pPr>
        <w:spacing w:after="0" w:line="82" w:lineRule="exact"/>
        <w:rPr>
          <w:rFonts w:ascii="Times New Roman" w:cs="Times New Roman" w:eastAsia="Times New Roman" w:hAnsi="Times New Roman"/>
          <w:sz w:val="19"/>
          <w:szCs w:val="19"/>
          <w:color w:val="auto"/>
        </w:rPr>
      </w:pPr>
    </w:p>
    <w:p>
      <w:pPr>
        <w:jc w:val="both"/>
        <w:ind w:left="1500" w:hanging="743"/>
        <w:spacing w:after="0" w:line="244" w:lineRule="auto"/>
        <w:tabs>
          <w:tab w:leader="none" w:pos="150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compliance with Section 2.2(c), the Lender shall fund the principal amount of the Tranche (less all deductions to be made in accordance with Section 2.1(i) of this Agreement) to the Borrower at the Borrower’s Account on the Closing Date, provided that the Lender may elect, in its sole discretion and for any reason, by notice in writing to the Borrower not to fund such amount on such date, whereupon the Pledged Securities Delivered in accordance with Section 2.2(c) shall cease to be Pledged Securities for the purposes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0" w:lineRule="exact"/>
        <w:rPr>
          <w:sz w:val="20"/>
          <w:szCs w:val="20"/>
          <w:color w:val="auto"/>
        </w:rPr>
      </w:pPr>
    </w:p>
    <w:p>
      <w:pPr>
        <w:spacing w:after="0" w:line="341" w:lineRule="exact"/>
        <w:rPr>
          <w:sz w:val="20"/>
          <w:szCs w:val="20"/>
          <w:color w:val="auto"/>
        </w:rPr>
      </w:pPr>
    </w:p>
    <w:p>
      <w:pPr>
        <w:ind w:left="1500" w:right="20" w:hanging="743"/>
        <w:spacing w:after="0" w:line="265" w:lineRule="auto"/>
        <w:tabs>
          <w:tab w:leader="none" w:pos="15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purposes of Section 2.2(b), the amount that the Lender may make available under the Loan shall be calculated by multiplying (i) 60% by (ii) the Collateral Value.</w:t>
      </w:r>
    </w:p>
    <w:p>
      <w:pPr>
        <w:spacing w:after="0" w:line="5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Dealing with the Pledged Securities</w:t>
      </w:r>
    </w:p>
    <w:p>
      <w:pPr>
        <w:spacing w:after="0" w:line="103" w:lineRule="exact"/>
        <w:rPr>
          <w:sz w:val="20"/>
          <w:szCs w:val="20"/>
          <w:color w:val="auto"/>
        </w:rPr>
      </w:pPr>
    </w:p>
    <w:p>
      <w:pPr>
        <w:jc w:val="both"/>
        <w:ind w:left="1500" w:hanging="743"/>
        <w:spacing w:after="0" w:line="246" w:lineRule="auto"/>
        <w:tabs>
          <w:tab w:leader="none" w:pos="15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acknowledges and agrees that upon the Delivery to the Borrower Securities Account (or as the Lender may otherwise direct) of any Listco Securities and such securities becoming Pledged Securities hereunder: (i) value will have been given by the Lender for such Pledged Securities; and (ii) the Borrower has rights in the Listco Securities which are to comprise Pledged Securities or the power to transfer rights in such securities as contemplated hereby.</w:t>
      </w:r>
    </w:p>
    <w:p>
      <w:pPr>
        <w:spacing w:after="0" w:line="76" w:lineRule="exact"/>
        <w:rPr>
          <w:rFonts w:ascii="Times New Roman" w:cs="Times New Roman" w:eastAsia="Times New Roman" w:hAnsi="Times New Roman"/>
          <w:sz w:val="19"/>
          <w:szCs w:val="19"/>
          <w:color w:val="auto"/>
        </w:rPr>
      </w:pPr>
    </w:p>
    <w:p>
      <w:pPr>
        <w:ind w:left="1500" w:right="20" w:hanging="743"/>
        <w:spacing w:after="0" w:line="293" w:lineRule="auto"/>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an Event of Default has occurred, the Lender shall not trade or sell the Pledged Securities. Notwithstanding the foregoing, the Lender shall have rights in the Pledged Securities subject to the terms of the Custodian Management Agreement.</w:t>
      </w:r>
    </w:p>
    <w:p>
      <w:pPr>
        <w:spacing w:after="0" w:line="34" w:lineRule="exact"/>
        <w:rPr>
          <w:rFonts w:ascii="Times New Roman" w:cs="Times New Roman" w:eastAsia="Times New Roman" w:hAnsi="Times New Roman"/>
          <w:sz w:val="18"/>
          <w:szCs w:val="18"/>
          <w:color w:val="auto"/>
        </w:rPr>
      </w:pPr>
    </w:p>
    <w:p>
      <w:pPr>
        <w:jc w:val="both"/>
        <w:ind w:left="1500" w:hanging="743"/>
        <w:spacing w:after="0" w:line="242" w:lineRule="auto"/>
        <w:tabs>
          <w:tab w:leader="none" w:pos="15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 covenants and agrees that, until and unless an Event of Default occurs, it shall not exercise any voting rights in respect of the Pledged Securities or give any consents, waivers, directions, notices or ratifications or take other action in respect thereof. So long as any Obligations remain outstanding, until and unless an Event of Default occurs, the Borrower may instruct the Lender to exercise any voting rights in respect of the Pledged Securities or to give any consents, waivers, directions, notices or ratifications or take other action in respect thereof. For greater certainty, the foregoing acknowledgement relates only to those Listco Securities that become Pledged Securities hereunder, and not to that portion of the Listco Securities pledged hereby pursuant to Section 2.2(a) that are not Pledged Securities at the relevant time.</w:t>
      </w:r>
    </w:p>
    <w:p>
      <w:pPr>
        <w:spacing w:after="0" w:line="77" w:lineRule="exact"/>
        <w:rPr>
          <w:rFonts w:ascii="Times New Roman" w:cs="Times New Roman" w:eastAsia="Times New Roman" w:hAnsi="Times New Roman"/>
          <w:sz w:val="19"/>
          <w:szCs w:val="19"/>
          <w:color w:val="auto"/>
        </w:rPr>
      </w:pPr>
    </w:p>
    <w:p>
      <w:pPr>
        <w:jc w:val="both"/>
        <w:ind w:left="1500" w:hanging="743"/>
        <w:spacing w:after="0" w:line="244" w:lineRule="auto"/>
        <w:tabs>
          <w:tab w:leader="none" w:pos="15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 shall, so long as any Obligations remain outstanding, be entitled to receive and deal any and all dividends (including special or one-time dividends), interest, income, revenue, return of capital or other distributions made in respect of the Pledged Securities, provided that on the Re-delivery Date, the Lender shall pay to the Borrower, in USD, an amount equal to all such dividends, interest, income, revenue, return of capital or other distributions paid thereon prior to the Re-delivery Date (for greater certainty, excluding any special or one-time dividends or other distributions).</w:t>
      </w:r>
    </w:p>
    <w:p>
      <w:pPr>
        <w:spacing w:after="0" w:line="77"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any Obligations remain outstanding, the Lender shall not short the Listco Securities.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MATURITY DATE, PREPAYMENT, REPAYMENT AND RE-DELIVERY</w:t>
      </w:r>
    </w:p>
    <w:p>
      <w:pPr>
        <w:spacing w:after="0" w:line="8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Extension of Maturity Date</w:t>
      </w:r>
    </w:p>
    <w:p>
      <w:pPr>
        <w:spacing w:after="0" w:line="103" w:lineRule="exact"/>
        <w:rPr>
          <w:sz w:val="20"/>
          <w:szCs w:val="20"/>
          <w:color w:val="auto"/>
        </w:rPr>
      </w:pPr>
    </w:p>
    <w:p>
      <w:pPr>
        <w:jc w:val="both"/>
        <w:ind w:left="1500" w:hanging="743"/>
        <w:spacing w:after="0" w:line="246" w:lineRule="auto"/>
        <w:tabs>
          <w:tab w:leader="none" w:pos="15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request that the Maturity Date be extended on one occasion, and upon a request by the Borrower in accordance with Section 3.1(b), the Lender may, in its sole discretion, elect by notice in writing to the Borrower to extend the Maturity Date for up to an additional twelve (12) months following the Maturity Date, on the same terms and conditions as set forth herein, provided that the maximum term of the Loan shall not exceed sixty (60) months.</w:t>
      </w:r>
    </w:p>
    <w:p>
      <w:pPr>
        <w:spacing w:after="0" w:line="76" w:lineRule="exact"/>
        <w:rPr>
          <w:rFonts w:ascii="Times New Roman" w:cs="Times New Roman" w:eastAsia="Times New Roman" w:hAnsi="Times New Roman"/>
          <w:sz w:val="19"/>
          <w:szCs w:val="19"/>
          <w:color w:val="auto"/>
        </w:rPr>
      </w:pPr>
    </w:p>
    <w:p>
      <w:pPr>
        <w:jc w:val="both"/>
        <w:ind w:left="1500" w:hanging="743"/>
        <w:spacing w:after="0" w:line="246" w:lineRule="auto"/>
        <w:tabs>
          <w:tab w:leader="none" w:pos="15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seek an extension of the Maturity Date, the Borrower must provide written notice of the request to the Lender (an </w:t>
      </w:r>
      <w:r>
        <w:rPr>
          <w:rFonts w:ascii="Times New Roman" w:cs="Times New Roman" w:eastAsia="Times New Roman" w:hAnsi="Times New Roman"/>
          <w:sz w:val="19"/>
          <w:szCs w:val="19"/>
          <w:b w:val="1"/>
          <w:bCs w:val="1"/>
          <w:color w:val="auto"/>
        </w:rPr>
        <w:t>“Extension Request”</w:t>
      </w:r>
      <w:r>
        <w:rPr>
          <w:rFonts w:ascii="Times New Roman" w:cs="Times New Roman" w:eastAsia="Times New Roman" w:hAnsi="Times New Roman"/>
          <w:sz w:val="19"/>
          <w:szCs w:val="19"/>
          <w:color w:val="auto"/>
        </w:rPr>
        <w:t>) not less than thirty (30) Banking Days prior to the end of the Maturity Date. If the Lender elects to grant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 Extension Request, in its sole discretion, subject to compliance with Section 3.1(c), the new maturity date as so extended shall thereupon be the “Maturity Date”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0" w:lineRule="exact"/>
        <w:rPr>
          <w:sz w:val="20"/>
          <w:szCs w:val="20"/>
          <w:color w:val="auto"/>
        </w:rPr>
      </w:pPr>
    </w:p>
    <w:p>
      <w:pPr>
        <w:spacing w:after="0" w:line="341" w:lineRule="exact"/>
        <w:rPr>
          <w:sz w:val="20"/>
          <w:szCs w:val="20"/>
          <w:color w:val="auto"/>
        </w:rPr>
      </w:pPr>
    </w:p>
    <w:p>
      <w:pPr>
        <w:jc w:val="both"/>
        <w:ind w:left="1500" w:hanging="743"/>
        <w:spacing w:after="0" w:line="241" w:lineRule="auto"/>
        <w:tabs>
          <w:tab w:leader="none" w:pos="15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be a condition precedent to any such extension (irrespective of the length of the extension acceptable to the Lender) that the Borrower pays to the Lender an extension fee equal to not less than 1.25% of the market value of all Pledged Securities as at the date of the receipt by the Lender of the Extension Request, with the market value thereof being determined by the Lender by multiplying (i) the total number of such Pledged Securities by (ii) (x) the closing price of the Listco Securities on the Exchange on the Trading Day immediately preceding the date of receipt by the Lender of the Extension Request, or (y) in the event that the Listco Securities are suspended from trading, the Listco Securities have not for any reason traded for more than fifteen (15) consecutive Trading Days on the Exchange or the Lender reasonably determines that the Borrower is not in compliance with Section 4.3(g), the price determined by the Lender, acting reasonably.</w:t>
      </w:r>
    </w:p>
    <w:p>
      <w:pPr>
        <w:spacing w:after="0" w:line="80"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repay all Obligations to the Lender in full on the Maturity Date (or, if applicable, the extended maturity date as contemplated in Section 3.1(b)).</w:t>
      </w:r>
    </w:p>
    <w:p>
      <w:pPr>
        <w:spacing w:after="0" w:line="5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Prepayment, Repayment and Re-Delivery</w:t>
      </w:r>
    </w:p>
    <w:p>
      <w:pPr>
        <w:spacing w:after="0" w:line="103" w:lineRule="exact"/>
        <w:rPr>
          <w:sz w:val="20"/>
          <w:szCs w:val="20"/>
          <w:color w:val="auto"/>
        </w:rPr>
      </w:pPr>
    </w:p>
    <w:p>
      <w:pPr>
        <w:jc w:val="both"/>
        <w:ind w:left="1500" w:hanging="743"/>
        <w:spacing w:after="0" w:line="244" w:lineRule="auto"/>
        <w:tabs>
          <w:tab w:leader="none" w:pos="15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Following the date set out in Section 2.1(e) and for a period of five (5) Banking Days thereafter, provided that there has not occurred an Event of Default and subject to compliance with each of the provisions of this Agreement, the Borrower may elect to pre-pay all, but not less than all, of the Obligations by giving written notice to the Lender (the </w:t>
      </w:r>
      <w:r>
        <w:rPr>
          <w:rFonts w:ascii="Times New Roman" w:cs="Times New Roman" w:eastAsia="Times New Roman" w:hAnsi="Times New Roman"/>
          <w:sz w:val="19"/>
          <w:szCs w:val="19"/>
          <w:b w:val="1"/>
          <w:bCs w:val="1"/>
          <w:color w:val="auto"/>
        </w:rPr>
        <w:t>“Prepayment Notice”</w:t>
      </w:r>
      <w:r>
        <w:rPr>
          <w:rFonts w:ascii="Times New Roman" w:cs="Times New Roman" w:eastAsia="Times New Roman" w:hAnsi="Times New Roman"/>
          <w:sz w:val="19"/>
          <w:szCs w:val="19"/>
          <w:color w:val="auto"/>
        </w:rPr>
        <w:t>) not more than sixty (60) days nor less than thirty (30) days prior to the desired date of pre-payment. For the avoidance of doubt, any pre-payment must be in respect of the entire Loan (and not certain Tranches only).</w:t>
      </w:r>
    </w:p>
    <w:p>
      <w:pPr>
        <w:spacing w:after="0" w:line="73" w:lineRule="exact"/>
        <w:rPr>
          <w:rFonts w:ascii="Times New Roman" w:cs="Times New Roman" w:eastAsia="Times New Roman" w:hAnsi="Times New Roman"/>
          <w:sz w:val="19"/>
          <w:szCs w:val="19"/>
          <w:color w:val="auto"/>
        </w:rPr>
      </w:pPr>
    </w:p>
    <w:p>
      <w:pPr>
        <w:jc w:val="both"/>
        <w:ind w:left="1500" w:hanging="743"/>
        <w:spacing w:after="0" w:line="253" w:lineRule="auto"/>
        <w:tabs>
          <w:tab w:leader="none" w:pos="150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five (5) Banking Days of full repayment of all of the Obligations to the Lender (</w:t>
      </w:r>
      <w:r>
        <w:rPr>
          <w:rFonts w:ascii="Times New Roman" w:cs="Times New Roman" w:eastAsia="Times New Roman" w:hAnsi="Times New Roman"/>
          <w:sz w:val="19"/>
          <w:szCs w:val="19"/>
          <w:b w:val="1"/>
          <w:bCs w:val="1"/>
          <w:color w:val="auto"/>
        </w:rPr>
        <w:t>“Repayment”</w:t>
      </w:r>
      <w:r>
        <w:rPr>
          <w:rFonts w:ascii="Times New Roman" w:cs="Times New Roman" w:eastAsia="Times New Roman" w:hAnsi="Times New Roman"/>
          <w:sz w:val="19"/>
          <w:szCs w:val="19"/>
          <w:color w:val="auto"/>
        </w:rPr>
        <w:t xml:space="preserve">), the Lender shall return all the Pledged Securities, or an equivalent number of Listco Securities, to the Borrower (the </w:t>
      </w:r>
      <w:r>
        <w:rPr>
          <w:rFonts w:ascii="Times New Roman" w:cs="Times New Roman" w:eastAsia="Times New Roman" w:hAnsi="Times New Roman"/>
          <w:sz w:val="19"/>
          <w:szCs w:val="19"/>
          <w:b w:val="1"/>
          <w:bCs w:val="1"/>
          <w:color w:val="auto"/>
        </w:rPr>
        <w:t>“Re-delivery”</w:t>
      </w:r>
      <w:r>
        <w:rPr>
          <w:rFonts w:ascii="Times New Roman" w:cs="Times New Roman" w:eastAsia="Times New Roman" w:hAnsi="Times New Roman"/>
          <w:sz w:val="19"/>
          <w:szCs w:val="19"/>
          <w:color w:val="auto"/>
        </w:rPr>
        <w:t xml:space="preserve">). The date on which the Re-delivery occurs shall be referred to as the </w:t>
      </w:r>
      <w:r>
        <w:rPr>
          <w:rFonts w:ascii="Times New Roman" w:cs="Times New Roman" w:eastAsia="Times New Roman" w:hAnsi="Times New Roman"/>
          <w:sz w:val="19"/>
          <w:szCs w:val="19"/>
          <w:b w:val="1"/>
          <w:bCs w:val="1"/>
          <w:color w:val="auto"/>
        </w:rPr>
        <w:t>“Re-delivery Date”</w:t>
      </w:r>
      <w:r>
        <w:rPr>
          <w:rFonts w:ascii="Times New Roman" w:cs="Times New Roman" w:eastAsia="Times New Roman" w:hAnsi="Times New Roman"/>
          <w:sz w:val="19"/>
          <w:szCs w:val="19"/>
          <w:color w:val="auto"/>
        </w:rPr>
        <w:t>.</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ARTICLE IV</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REPRESENTATIONS, WARRANTIES, COVENANTS AND</w:t>
      </w:r>
    </w:p>
    <w:p>
      <w:pPr>
        <w:jc w:val="center"/>
        <w:spacing w:after="0"/>
        <w:rPr>
          <w:sz w:val="20"/>
          <w:szCs w:val="20"/>
          <w:color w:val="auto"/>
        </w:rPr>
      </w:pPr>
      <w:r>
        <w:rPr>
          <w:rFonts w:ascii="Times New Roman" w:cs="Times New Roman" w:eastAsia="Times New Roman" w:hAnsi="Times New Roman"/>
          <w:sz w:val="19"/>
          <w:szCs w:val="19"/>
          <w:b w:val="1"/>
          <w:bCs w:val="1"/>
          <w:color w:val="auto"/>
        </w:rPr>
        <w:t>ACKNOWLEDGMENTS</w:t>
      </w:r>
    </w:p>
    <w:p>
      <w:pPr>
        <w:spacing w:after="0" w:line="8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Representations and Warranties of the Borrower</w:t>
      </w:r>
    </w:p>
    <w:p>
      <w:pPr>
        <w:spacing w:after="0" w:line="1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The Borrower hereby represents and warrants to the Lender that:</w:t>
      </w:r>
    </w:p>
    <w:p>
      <w:pPr>
        <w:spacing w:after="0" w:line="106" w:lineRule="exact"/>
        <w:rPr>
          <w:sz w:val="20"/>
          <w:szCs w:val="20"/>
          <w:color w:val="auto"/>
        </w:rPr>
      </w:pPr>
    </w:p>
    <w:p>
      <w:pPr>
        <w:jc w:val="both"/>
        <w:ind w:left="1500" w:hanging="743"/>
        <w:spacing w:after="0" w:line="251" w:lineRule="auto"/>
        <w:tabs>
          <w:tab w:leader="none" w:pos="15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an entity duly organized, validly existing and in good standing under the laws of its jurisdiction of formation and has all necessary corporate power and authority required to enter into this Agreement and consummate the transactions contemplated hereby;</w:t>
      </w:r>
    </w:p>
    <w:p>
      <w:pPr>
        <w:spacing w:after="0" w:line="70" w:lineRule="exact"/>
        <w:rPr>
          <w:rFonts w:ascii="Times New Roman" w:cs="Times New Roman" w:eastAsia="Times New Roman" w:hAnsi="Times New Roman"/>
          <w:sz w:val="19"/>
          <w:szCs w:val="19"/>
          <w:color w:val="auto"/>
        </w:rPr>
      </w:pPr>
    </w:p>
    <w:p>
      <w:pPr>
        <w:jc w:val="both"/>
        <w:ind w:left="1500" w:hanging="743"/>
        <w:spacing w:after="0" w:line="244" w:lineRule="auto"/>
        <w:tabs>
          <w:tab w:leader="none" w:pos="15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capacity to enter into this Agreement, to grant the security interest created herein to the Lender and to Deliver the requisite number of Listco Securities to the Borrower Securities Account (or as the Lender may otherwise direct) as contemplated hereby. This Agreement has been duly executed and delivered, and the Borrower has taken all necessary steps required to make this Agreement a legal, binding and valid obligation of the Borrower enforceable against the Borrower in accordance with its terms, and to create a valid and continuing security interest in favour of the Lender;</w:t>
      </w:r>
    </w:p>
    <w:p>
      <w:pPr>
        <w:spacing w:after="0" w:line="77"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not a party to, bound by or subject to any indenture, mortgage, lease, agreement, instrument, statute, regulation, order, judgment, decree or law which would be violated, contravened or breached by, or under which any default would occur as a result of, the execution and delivery by it of this Agreement or the performance by it of any of the terms of this Agreement;</w:t>
      </w:r>
    </w:p>
    <w:p>
      <w:pPr>
        <w:spacing w:after="0" w:line="70"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are no outstanding rights, warrants, options or interests to acquire any of the Listco Securities owned by the Borrower (except as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0" w:lineRule="exact"/>
        <w:rPr>
          <w:sz w:val="20"/>
          <w:szCs w:val="20"/>
          <w:color w:val="auto"/>
        </w:rPr>
      </w:pPr>
    </w:p>
    <w:p>
      <w:pPr>
        <w:spacing w:after="0" w:line="341" w:lineRule="exact"/>
        <w:rPr>
          <w:sz w:val="20"/>
          <w:szCs w:val="20"/>
          <w:color w:val="auto"/>
        </w:rPr>
      </w:pPr>
    </w:p>
    <w:p>
      <w:pPr>
        <w:jc w:val="both"/>
        <w:ind w:left="1500" w:hanging="743"/>
        <w:spacing w:after="0" w:line="246" w:lineRule="auto"/>
        <w:tabs>
          <w:tab w:leader="none" w:pos="15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and delivery of this Agreement by the Borrower and the performance by the Borrower of the transactions contemplated herein do not and will not require the filing with, or consent, license, order, approval, authorization, registration or qualification of or decree of any court or any Governmental Authority, stock exchange (including the Exchange) or other Person (domestic or foreign), except such as have been obtained;</w:t>
      </w:r>
    </w:p>
    <w:p>
      <w:pPr>
        <w:spacing w:after="0" w:line="76" w:lineRule="exact"/>
        <w:rPr>
          <w:rFonts w:ascii="Times New Roman" w:cs="Times New Roman" w:eastAsia="Times New Roman" w:hAnsi="Times New Roman"/>
          <w:sz w:val="19"/>
          <w:szCs w:val="19"/>
          <w:color w:val="auto"/>
        </w:rPr>
      </w:pPr>
    </w:p>
    <w:p>
      <w:pPr>
        <w:jc w:val="both"/>
        <w:ind w:left="1500" w:right="20" w:hanging="743"/>
        <w:spacing w:after="0" w:line="251" w:lineRule="auto"/>
        <w:tabs>
          <w:tab w:leader="none" w:pos="15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Listco Securities owned by the Borrower are subject to any resale restriction, hold period, restricted period or escrow requirements pursuant to applicable securities laws or stock exchange rules or policies, are “freely-tradeable” without restriction and do not contain any restrictive or other legends;</w:t>
      </w:r>
    </w:p>
    <w:p>
      <w:pPr>
        <w:spacing w:after="0" w:line="70"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is the sole beneficial owner of, and has good title to, the Listco Securities owned by the Borrower;</w:t>
      </w:r>
    </w:p>
    <w:p>
      <w:pPr>
        <w:spacing w:after="0" w:line="105"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representations provided by the Issuer to the Borrower, the Listco Securities owned by the Borrower have been duly issued and are outstanding as fully paid and non-assessable securities;</w:t>
      </w:r>
    </w:p>
    <w:p>
      <w:pPr>
        <w:spacing w:after="0" w:line="57"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default, dispute or adverse claims or interests existing in respect of the Listco Securities owned by the Borrower;</w:t>
      </w:r>
    </w:p>
    <w:p>
      <w:pPr>
        <w:spacing w:after="0" w:line="105"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rights of the Borrower arising as the legal and beneficial owner of the Listco Securities owned by it have been surrendered, cancelled or terminated in any respect;</w:t>
      </w:r>
    </w:p>
    <w:p>
      <w:pPr>
        <w:spacing w:after="0" w:line="57"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Listco Securities owned by the Borrower are subject to any Encumbrances;</w:t>
      </w:r>
    </w:p>
    <w:p>
      <w:pPr>
        <w:spacing w:after="0" w:line="105"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at the Closing Date, it has no knowledge of any material non-public information, inside information or similar terms as defined by Applicable Law with respect to the Issuer, which has not been generally disclosed; and</w:t>
      </w:r>
    </w:p>
    <w:p>
      <w:pPr>
        <w:spacing w:after="0" w:line="57" w:lineRule="exact"/>
        <w:rPr>
          <w:rFonts w:ascii="Times New Roman" w:cs="Times New Roman" w:eastAsia="Times New Roman" w:hAnsi="Times New Roman"/>
          <w:sz w:val="19"/>
          <w:szCs w:val="19"/>
          <w:color w:val="auto"/>
        </w:rPr>
      </w:pPr>
    </w:p>
    <w:p>
      <w:pPr>
        <w:jc w:val="both"/>
        <w:ind w:left="1500" w:right="20" w:hanging="743"/>
        <w:spacing w:after="0" w:line="251" w:lineRule="auto"/>
        <w:tabs>
          <w:tab w:leader="none" w:pos="150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statements made by or on behalf of the Borrower in connection with the application for the Loan pursuant to this Agreement and the Custodian Management Agreement are true and complete and do not omit any facts or information material to the evaluation of the Loan request.</w:t>
      </w:r>
    </w:p>
    <w:p>
      <w:pPr>
        <w:spacing w:after="0" w:line="6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Positive Covenants of the Borrower</w:t>
      </w:r>
    </w:p>
    <w:p>
      <w:pPr>
        <w:spacing w:after="0" w:line="1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The Borrower hereby covenants and agrees to:</w:t>
      </w:r>
    </w:p>
    <w:p>
      <w:pPr>
        <w:spacing w:after="0" w:line="106" w:lineRule="exact"/>
        <w:rPr>
          <w:sz w:val="20"/>
          <w:szCs w:val="20"/>
          <w:color w:val="auto"/>
        </w:rPr>
      </w:pPr>
    </w:p>
    <w:p>
      <w:pPr>
        <w:ind w:left="1500" w:hanging="743"/>
        <w:spacing w:after="0"/>
        <w:tabs>
          <w:tab w:leader="none" w:pos="15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preserve and maintain its existence;</w:t>
      </w:r>
    </w:p>
    <w:p>
      <w:pPr>
        <w:spacing w:after="0" w:line="105"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 all Obligations due to the Lender when due and perform, fulfil and satisfy all other obligations of the Borrower under this Agreement;</w:t>
      </w:r>
    </w:p>
    <w:p>
      <w:pPr>
        <w:spacing w:after="0" w:line="57"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 and discharge, before the same shall become delinquent, all taxes, assessments and governmental charges or levies or claims imposed upon it or upon its assets including all lawful claims which, if unpaid, might by law become an Encumbrance upon its assets;</w:t>
      </w:r>
    </w:p>
    <w:p>
      <w:pPr>
        <w:spacing w:after="0" w:line="70"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ensure that, at the time of Delivery of the Pledged Securities, it will be the sole beneficial owner of such Pledged Securities, free and clear of any Encumbrances thereon;</w:t>
      </w:r>
    </w:p>
    <w:p>
      <w:pPr>
        <w:spacing w:after="0" w:line="57" w:lineRule="exact"/>
        <w:rPr>
          <w:rFonts w:ascii="Times New Roman" w:cs="Times New Roman" w:eastAsia="Times New Roman" w:hAnsi="Times New Roman"/>
          <w:sz w:val="19"/>
          <w:szCs w:val="19"/>
          <w:color w:val="auto"/>
        </w:rPr>
      </w:pPr>
    </w:p>
    <w:p>
      <w:pPr>
        <w:jc w:val="both"/>
        <w:ind w:left="1500" w:hanging="743"/>
        <w:spacing w:after="0" w:line="246" w:lineRule="auto"/>
        <w:tabs>
          <w:tab w:leader="none" w:pos="15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defend the Listco Securities against each demand, claim, counterclaim, set-off and defence asserted by any Person other than the Lender, and promptly notify the Lender of any threat or commencement of any action or other legal proceeding, or entry of any judgment or order of any court, agency or Governmental Authority, or any assertion by any Person other than the Lender of any demand, claim, counterclaim, set-off or defence, relating to such Listco Securities;</w:t>
      </w:r>
    </w:p>
    <w:p>
      <w:pPr>
        <w:spacing w:after="0" w:line="76"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 and account for any stamp, transfer, registration, documentation or similar tax chargeable on a transferor or a transferee, as the case may be, in connection with the pledge of the Listco Securities as contemplated by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0" w:lineRule="exact"/>
        <w:rPr>
          <w:sz w:val="20"/>
          <w:szCs w:val="20"/>
          <w:color w:val="auto"/>
        </w:rPr>
      </w:pPr>
    </w:p>
    <w:p>
      <w:pPr>
        <w:spacing w:after="0" w:line="341" w:lineRule="exact"/>
        <w:rPr>
          <w:sz w:val="20"/>
          <w:szCs w:val="20"/>
          <w:color w:val="auto"/>
        </w:rPr>
      </w:pPr>
    </w:p>
    <w:p>
      <w:pPr>
        <w:jc w:val="both"/>
        <w:ind w:left="1500" w:hanging="743"/>
        <w:spacing w:after="0" w:line="246" w:lineRule="auto"/>
        <w:tabs>
          <w:tab w:leader="none" w:pos="150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the Listco Securities constitute Pledged Securities, at all times comply with all Applicable Law, including applicable securities laws and rules and policies of any stock exchange (including the Exchange) in relation to such Listco Securities, and applicable laws, rules and policies in relation to disclosure of interests and/or insider reporting. The Borrower acknowledges that it is solely responsible (and the Lender is not in any way responsible) for such compliance.</w:t>
      </w:r>
    </w:p>
    <w:p>
      <w:pPr>
        <w:spacing w:after="0" w:line="7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18"/>
          <w:szCs w:val="18"/>
          <w:b w:val="1"/>
          <w:bCs w:val="1"/>
          <w:color w:val="auto"/>
        </w:rPr>
        <w:t>Negative Covenants of the Borrower</w:t>
      </w:r>
    </w:p>
    <w:p>
      <w:pPr>
        <w:spacing w:after="0" w:line="103"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auto"/>
        </w:rPr>
        <w:t>So long as any Obligations remain outstanding, the Borrower hereby covenants and agrees that it shall not, without the prior written consent of the Lender (in the cases of Sections 4.3(a) – (e) inclusive only):</w:t>
      </w:r>
    </w:p>
    <w:p>
      <w:pPr>
        <w:spacing w:after="0" w:line="58" w:lineRule="exact"/>
        <w:rPr>
          <w:sz w:val="20"/>
          <w:szCs w:val="20"/>
          <w:color w:val="auto"/>
        </w:rPr>
      </w:pPr>
    </w:p>
    <w:p>
      <w:pPr>
        <w:ind w:left="1500" w:hanging="743"/>
        <w:spacing w:after="0" w:line="265" w:lineRule="auto"/>
        <w:tabs>
          <w:tab w:leader="none" w:pos="15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create, incur, assume or suffer to exist any Encumbrance whatsoever on the Listco Securities which become Pledged Securities hereunder (except as contemplated hereby);</w:t>
      </w:r>
    </w:p>
    <w:p>
      <w:pPr>
        <w:spacing w:after="0" w:line="57"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 sell, exchange, lease, release or abandon or otherwise dispose of any of the Listco Securities which become Pledged Securities hereunder (except as contemplated hereby);</w:t>
      </w:r>
    </w:p>
    <w:p>
      <w:pPr>
        <w:spacing w:after="0" w:line="57"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 into a stock loan or similar transaction involving the Listco Securities which become Pledged Securities with any Person other than the Lender;</w:t>
      </w:r>
    </w:p>
    <w:p>
      <w:pPr>
        <w:spacing w:after="0" w:line="57"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 or enter into any agreement which has the effect of granting to any Person (other than the Lender) any option, right, privilege or interest capable of becoming an agreement for the transfer, sale or assignment of any of the Listco Securities which become Pledged Securities hereunder to such Person;</w:t>
      </w:r>
    </w:p>
    <w:p>
      <w:pPr>
        <w:spacing w:after="0" w:line="70"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an affiliated entity, use, directly or indirectly, any proceeds of the Loan to lend any amounts to third parties for any reason (</w:t>
      </w:r>
      <w:r>
        <w:rPr>
          <w:rFonts w:ascii="Times New Roman" w:cs="Times New Roman" w:eastAsia="Times New Roman" w:hAnsi="Times New Roman"/>
          <w:sz w:val="19"/>
          <w:szCs w:val="19"/>
          <w:b w:val="1"/>
          <w:bCs w:val="1"/>
          <w:color w:val="auto"/>
        </w:rPr>
        <w:t>“Onlending”</w:t>
      </w:r>
      <w:r>
        <w:rPr>
          <w:rFonts w:ascii="Times New Roman" w:cs="Times New Roman" w:eastAsia="Times New Roman" w:hAnsi="Times New Roman"/>
          <w:sz w:val="19"/>
          <w:szCs w:val="19"/>
          <w:color w:val="auto"/>
        </w:rPr>
        <w:t>);</w:t>
      </w:r>
    </w:p>
    <w:p>
      <w:pPr>
        <w:spacing w:after="0" w:line="57"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use, directly or indirectly, the proceeds of the Loan for any illicit or illegal purposes; or</w:t>
      </w:r>
    </w:p>
    <w:p>
      <w:pPr>
        <w:spacing w:after="0" w:line="105"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carry out, in relation to the Listco Securities, any activities which may constitute market misconduct or market manipulation or any action which would constitute an offence under the United States </w:t>
      </w:r>
      <w:r>
        <w:rPr>
          <w:rFonts w:ascii="Times New Roman" w:cs="Times New Roman" w:eastAsia="Times New Roman" w:hAnsi="Times New Roman"/>
          <w:sz w:val="19"/>
          <w:szCs w:val="19"/>
          <w:i w:val="1"/>
          <w:iCs w:val="1"/>
          <w:color w:val="auto"/>
        </w:rPr>
        <w:t>Securities and Exchange Act of 1934</w:t>
      </w:r>
      <w:r>
        <w:rPr>
          <w:rFonts w:ascii="Times New Roman" w:cs="Times New Roman" w:eastAsia="Times New Roman" w:hAnsi="Times New Roman"/>
          <w:sz w:val="19"/>
          <w:szCs w:val="19"/>
          <w:color w:val="auto"/>
        </w:rPr>
        <w:t>, as amended, or any similar offence under any Applicable Law and shall procure that none of its Associates does the same.</w:t>
      </w:r>
    </w:p>
    <w:p>
      <w:pPr>
        <w:spacing w:after="0" w:line="6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Acknowledgments of the Borrower</w:t>
      </w:r>
    </w:p>
    <w:p>
      <w:pPr>
        <w:spacing w:after="0" w:line="1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The Borrower hereby acknowledges and agrees:</w:t>
      </w:r>
    </w:p>
    <w:p>
      <w:pPr>
        <w:spacing w:after="0" w:line="106" w:lineRule="exact"/>
        <w:rPr>
          <w:sz w:val="20"/>
          <w:szCs w:val="20"/>
          <w:color w:val="auto"/>
        </w:rPr>
      </w:pPr>
    </w:p>
    <w:p>
      <w:pPr>
        <w:ind w:left="1500" w:hanging="743"/>
        <w:spacing w:after="0"/>
        <w:tabs>
          <w:tab w:leader="none" w:pos="15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Listco Securities (including the Pledged Securities) are fungible;</w:t>
      </w:r>
    </w:p>
    <w:p>
      <w:pPr>
        <w:spacing w:after="0" w:line="105" w:lineRule="exact"/>
        <w:rPr>
          <w:rFonts w:ascii="Times New Roman" w:cs="Times New Roman" w:eastAsia="Times New Roman" w:hAnsi="Times New Roman"/>
          <w:sz w:val="19"/>
          <w:szCs w:val="19"/>
          <w:color w:val="auto"/>
        </w:rPr>
      </w:pPr>
    </w:p>
    <w:p>
      <w:pPr>
        <w:jc w:val="both"/>
        <w:ind w:left="1500" w:hanging="743"/>
        <w:spacing w:after="0" w:line="246" w:lineRule="auto"/>
        <w:tabs>
          <w:tab w:leader="none" w:pos="15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none of the Lender, its directors, officers, employees, agents, representatives or any other Person purporting to represent the Lender, approached the Borrower, initiated discussions with the Borrower or in any way solicited the Borrower with regard to the Loan or any of the other transactions contemplated hereby; rather, the Borrower and/or its authorized representatives, acting on it or their own accord, solicited the Lender with regard to the Loan and the other transactions contemplated hereby;</w:t>
      </w:r>
    </w:p>
    <w:p>
      <w:pPr>
        <w:spacing w:after="0" w:line="76" w:lineRule="exact"/>
        <w:rPr>
          <w:rFonts w:ascii="Times New Roman" w:cs="Times New Roman" w:eastAsia="Times New Roman" w:hAnsi="Times New Roman"/>
          <w:sz w:val="19"/>
          <w:szCs w:val="19"/>
          <w:color w:val="auto"/>
        </w:rPr>
      </w:pPr>
    </w:p>
    <w:p>
      <w:pPr>
        <w:ind w:left="1500" w:right="20" w:hanging="743"/>
        <w:spacing w:after="0" w:line="265" w:lineRule="auto"/>
        <w:tabs>
          <w:tab w:leader="none" w:pos="15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consents to the collection, retention and disclosure by the Lender or its agents of Personal Information to any applicable Governmental Authority;</w:t>
      </w:r>
    </w:p>
    <w:p>
      <w:pPr>
        <w:spacing w:after="0" w:line="57" w:lineRule="exact"/>
        <w:rPr>
          <w:rFonts w:ascii="Times New Roman" w:cs="Times New Roman" w:eastAsia="Times New Roman" w:hAnsi="Times New Roman"/>
          <w:sz w:val="19"/>
          <w:szCs w:val="19"/>
          <w:color w:val="auto"/>
        </w:rPr>
      </w:pPr>
    </w:p>
    <w:p>
      <w:pPr>
        <w:ind w:left="1500" w:right="20" w:hanging="743"/>
        <w:spacing w:after="0" w:line="265" w:lineRule="auto"/>
        <w:tabs>
          <w:tab w:leader="none" w:pos="15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there are risks associated with the Loan which may result in the Borrower losing ownership of some or all of the Pledged Securities in certain circumstances;</w:t>
      </w:r>
    </w:p>
    <w:p>
      <w:pPr>
        <w:spacing w:after="0" w:line="57" w:lineRule="exact"/>
        <w:rPr>
          <w:rFonts w:ascii="Times New Roman" w:cs="Times New Roman" w:eastAsia="Times New Roman" w:hAnsi="Times New Roman"/>
          <w:sz w:val="19"/>
          <w:szCs w:val="19"/>
          <w:color w:val="auto"/>
        </w:rPr>
      </w:pPr>
    </w:p>
    <w:p>
      <w:pPr>
        <w:jc w:val="both"/>
        <w:ind w:left="1500" w:hanging="743"/>
        <w:spacing w:after="0" w:line="244" w:lineRule="auto"/>
        <w:tabs>
          <w:tab w:leader="none" w:pos="150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it has been advised to consult its own legal and tax advisors with respect to the Loan and the transactions contemplated hereby. The Borrower further acknowledges and agrees that it is responsible for obtaining such independent legal and tax advice as it considers appropriate in connection with the execution, delivery and performance of this Agreement and the transactions contemplated hereby, including for the purposes of giving the representations, warranties, covenants and acknowledgments contained herein. Further, the Borrower is aware that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0" w:lineRule="exact"/>
        <w:rPr>
          <w:sz w:val="20"/>
          <w:szCs w:val="20"/>
          <w:color w:val="auto"/>
        </w:rPr>
      </w:pPr>
    </w:p>
    <w:p>
      <w:pPr>
        <w:spacing w:after="0" w:line="341" w:lineRule="exact"/>
        <w:rPr>
          <w:sz w:val="20"/>
          <w:szCs w:val="20"/>
          <w:color w:val="auto"/>
        </w:rPr>
      </w:pPr>
    </w:p>
    <w:p>
      <w:pPr>
        <w:jc w:val="both"/>
        <w:ind w:left="1500"/>
        <w:spacing w:after="0" w:line="251" w:lineRule="auto"/>
        <w:rPr>
          <w:sz w:val="20"/>
          <w:szCs w:val="20"/>
          <w:color w:val="auto"/>
        </w:rPr>
      </w:pPr>
      <w:r>
        <w:rPr>
          <w:rFonts w:ascii="Times New Roman" w:cs="Times New Roman" w:eastAsia="Times New Roman" w:hAnsi="Times New Roman"/>
          <w:sz w:val="19"/>
          <w:szCs w:val="19"/>
          <w:color w:val="auto"/>
        </w:rPr>
        <w:t>may be securities and tax laws applicable to the transactions contemplated hereby, it has been given the opportunity to seek advice in respect of such laws and is not relying upon any information from the Lender, its agents, or, where applicable, their respective officers, directors, employees or representatives;</w:t>
      </w:r>
    </w:p>
    <w:p>
      <w:pPr>
        <w:spacing w:after="0" w:line="67" w:lineRule="exact"/>
        <w:rPr>
          <w:sz w:val="20"/>
          <w:szCs w:val="20"/>
          <w:color w:val="auto"/>
        </w:rPr>
      </w:pPr>
    </w:p>
    <w:p>
      <w:pPr>
        <w:jc w:val="both"/>
        <w:ind w:left="1500" w:hanging="743"/>
        <w:spacing w:after="0" w:line="253" w:lineRule="auto"/>
        <w:tabs>
          <w:tab w:leader="none" w:pos="15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that certain persons (collectively, the </w:t>
      </w:r>
      <w:r>
        <w:rPr>
          <w:rFonts w:ascii="Times New Roman" w:cs="Times New Roman" w:eastAsia="Times New Roman" w:hAnsi="Times New Roman"/>
          <w:sz w:val="19"/>
          <w:szCs w:val="19"/>
          <w:b w:val="1"/>
          <w:bCs w:val="1"/>
          <w:color w:val="auto"/>
        </w:rPr>
        <w:t>“Agents”</w:t>
      </w:r>
      <w:r>
        <w:rPr>
          <w:rFonts w:ascii="Times New Roman" w:cs="Times New Roman" w:eastAsia="Times New Roman" w:hAnsi="Times New Roman"/>
          <w:sz w:val="19"/>
          <w:szCs w:val="19"/>
          <w:color w:val="auto"/>
        </w:rPr>
        <w:t>) are acting as agents of the Borrower and the Lender, as the case may be, in connection with the Loan, but such Persons have no authority to bind the Lender with respect to the Loan, any provision of this Agreement or otherwise;</w:t>
      </w:r>
    </w:p>
    <w:p>
      <w:pPr>
        <w:spacing w:after="0" w:line="69" w:lineRule="exact"/>
        <w:rPr>
          <w:rFonts w:ascii="Times New Roman" w:cs="Times New Roman" w:eastAsia="Times New Roman" w:hAnsi="Times New Roman"/>
          <w:sz w:val="19"/>
          <w:szCs w:val="19"/>
          <w:color w:val="auto"/>
        </w:rPr>
      </w:pPr>
    </w:p>
    <w:p>
      <w:pPr>
        <w:jc w:val="both"/>
        <w:ind w:left="1500" w:hanging="743"/>
        <w:spacing w:after="0" w:line="242" w:lineRule="auto"/>
        <w:tabs>
          <w:tab w:leader="none" w:pos="15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in consideration of the Lender entering into this Agreement, the advance of funding hereby and the non-recourse aspect of the Loan, in the event of any breach or alleged breach by the Lender of this Agreement or any of the Lender’s obligations hereunder, the rights and remedies of the Borrower shall be limited solely to the right to recover damages, if any, in an action at law, and the Borrower hereby irrevocably waives any right or remedy in equity, including the right to seek injunctive or other equitable relief to enjoin, restrain or otherwise impair in any manner the Lender or the Lender’s rights in the Pledged Securities; and</w:t>
      </w:r>
    </w:p>
    <w:p>
      <w:pPr>
        <w:spacing w:after="0" w:line="82"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Lender’s counsel is acting solely as counsel to the Lender, and not as counsel to the Borrower.</w:t>
      </w:r>
    </w:p>
    <w:p>
      <w:pPr>
        <w:spacing w:after="0" w:line="10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4.5.</w:t>
      </w:r>
      <w:r>
        <w:rPr>
          <w:sz w:val="20"/>
          <w:szCs w:val="20"/>
          <w:color w:val="auto"/>
        </w:rPr>
        <w:tab/>
      </w:r>
      <w:r>
        <w:rPr>
          <w:rFonts w:ascii="Times New Roman" w:cs="Times New Roman" w:eastAsia="Times New Roman" w:hAnsi="Times New Roman"/>
          <w:sz w:val="18"/>
          <w:szCs w:val="18"/>
          <w:b w:val="1"/>
          <w:bCs w:val="1"/>
          <w:color w:val="auto"/>
        </w:rPr>
        <w:t>Survival</w:t>
      </w:r>
    </w:p>
    <w:p>
      <w:pPr>
        <w:spacing w:after="0" w:line="103"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The Borrower agrees that, as of each Closing Date, it shall be representing and warranting that the representations, warranties, covenants and acknowledgments contained in this Article IV are true and correct as at such Closing Date with the same force and effect as if they had been made by the Borrower at such Closing Date. All of the representations, warranties, covenants and acknowledgments of the Borrower contained in this Article IV shall survive the execution and delivery of this Agreement and shall continue in full force and effect until the full and complete payment, performance and satisfaction of all Obligations and the Re-Delivery, notwithstanding any investigation made at any time by or on behalf of the Lender, its agents or representatives.</w:t>
      </w:r>
    </w:p>
    <w:p>
      <w:pPr>
        <w:spacing w:after="0" w:line="78"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9"/>
          <w:szCs w:val="19"/>
          <w:b w:val="1"/>
          <w:bCs w:val="1"/>
          <w:color w:val="auto"/>
        </w:rPr>
        <w:t>ARTICLE V</w:t>
      </w:r>
    </w:p>
    <w:p>
      <w:pPr>
        <w:spacing w:after="0" w:line="22"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9"/>
          <w:szCs w:val="19"/>
          <w:b w:val="1"/>
          <w:bCs w:val="1"/>
          <w:color w:val="auto"/>
        </w:rPr>
        <w:t>NON-RECOURSE</w:t>
      </w:r>
    </w:p>
    <w:p>
      <w:pPr>
        <w:spacing w:after="0" w:line="8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18"/>
          <w:szCs w:val="18"/>
          <w:b w:val="1"/>
          <w:bCs w:val="1"/>
          <w:color w:val="auto"/>
        </w:rPr>
        <w:t>Non-Recourse</w:t>
      </w:r>
    </w:p>
    <w:p>
      <w:pPr>
        <w:spacing w:after="0" w:line="111" w:lineRule="exact"/>
        <w:rPr>
          <w:sz w:val="20"/>
          <w:szCs w:val="20"/>
          <w:color w:val="auto"/>
        </w:rPr>
      </w:pPr>
    </w:p>
    <w:p>
      <w:pPr>
        <w:ind w:right="160" w:firstLine="1497"/>
        <w:spacing w:after="0" w:line="266" w:lineRule="auto"/>
        <w:rPr>
          <w:sz w:val="20"/>
          <w:szCs w:val="20"/>
          <w:color w:val="auto"/>
        </w:rPr>
      </w:pPr>
      <w:r>
        <w:rPr>
          <w:rFonts w:ascii="Times New Roman" w:cs="Times New Roman" w:eastAsia="Times New Roman" w:hAnsi="Times New Roman"/>
          <w:sz w:val="18"/>
          <w:szCs w:val="18"/>
          <w:color w:val="auto"/>
        </w:rPr>
        <w:t>Notwithstanding anything else herein contained to the contrary or otherwise, the liability of the Borrower hereunder and the recourse of the Lender for payment and performance of the Obligations shall be limited to the Pledged Securities, and the Lender shall not have, under any circumstances, any right hereunder to any other assets of the Borrower.</w:t>
      </w:r>
    </w:p>
    <w:p>
      <w:pPr>
        <w:spacing w:after="0" w:line="56"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9"/>
          <w:szCs w:val="19"/>
          <w:b w:val="1"/>
          <w:bCs w:val="1"/>
          <w:color w:val="auto"/>
        </w:rPr>
        <w:t>ARTICLE VI</w:t>
      </w:r>
    </w:p>
    <w:p>
      <w:pPr>
        <w:spacing w:after="0" w:line="22"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9"/>
          <w:szCs w:val="19"/>
          <w:b w:val="1"/>
          <w:bCs w:val="1"/>
          <w:color w:val="auto"/>
        </w:rPr>
        <w:t>EVENTS OF DEFAULT</w:t>
      </w:r>
    </w:p>
    <w:p>
      <w:pPr>
        <w:spacing w:after="0" w:line="8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Events of Default</w:t>
      </w:r>
    </w:p>
    <w:p>
      <w:pPr>
        <w:spacing w:after="0" w:line="103"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auto"/>
        </w:rPr>
        <w:t>Notwithstanding any other term of this Agreement, all Obligations shall immediately become due and payable in any of the following events (each, an “</w:t>
      </w:r>
      <w:r>
        <w:rPr>
          <w:rFonts w:ascii="Times New Roman" w:cs="Times New Roman" w:eastAsia="Times New Roman" w:hAnsi="Times New Roman"/>
          <w:sz w:val="19"/>
          <w:szCs w:val="19"/>
          <w:b w:val="1"/>
          <w:bCs w:val="1"/>
          <w:color w:val="auto"/>
        </w:rPr>
        <w:t>Event of Default”</w:t>
      </w:r>
      <w:r>
        <w:rPr>
          <w:rFonts w:ascii="Times New Roman" w:cs="Times New Roman" w:eastAsia="Times New Roman" w:hAnsi="Times New Roman"/>
          <w:sz w:val="19"/>
          <w:szCs w:val="19"/>
          <w:color w:val="auto"/>
        </w:rPr>
        <w:t>):</w:t>
      </w:r>
    </w:p>
    <w:p>
      <w:pPr>
        <w:spacing w:after="0" w:line="58" w:lineRule="exact"/>
        <w:rPr>
          <w:sz w:val="20"/>
          <w:szCs w:val="20"/>
          <w:color w:val="auto"/>
        </w:rPr>
      </w:pPr>
    </w:p>
    <w:p>
      <w:pPr>
        <w:ind w:left="1500" w:hanging="743"/>
        <w:spacing w:after="0" w:line="265" w:lineRule="auto"/>
        <w:tabs>
          <w:tab w:leader="none" w:pos="15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defaults in any payment of principal, interest, fees or other amounts when due under this Agreement and such default continues for three (3) Banking Days;</w:t>
      </w:r>
    </w:p>
    <w:p>
      <w:pPr>
        <w:spacing w:after="0" w:line="57"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the Borrower breaches any non-payment covenant or agreement contained in this Agreement and such breach is not cured within five (5) Banking Days of the occurrence thereof;</w:t>
      </w:r>
    </w:p>
    <w:p>
      <w:pPr>
        <w:spacing w:after="0" w:line="57"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representations and warranties contained herein shall prove to have been inaccurate when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0" w:lineRule="exact"/>
        <w:rPr>
          <w:sz w:val="20"/>
          <w:szCs w:val="20"/>
          <w:color w:val="auto"/>
        </w:rPr>
      </w:pPr>
    </w:p>
    <w:p>
      <w:pPr>
        <w:spacing w:after="0" w:line="341" w:lineRule="exact"/>
        <w:rPr>
          <w:sz w:val="20"/>
          <w:szCs w:val="20"/>
          <w:color w:val="auto"/>
        </w:rPr>
      </w:pPr>
    </w:p>
    <w:p>
      <w:pPr>
        <w:jc w:val="both"/>
        <w:ind w:left="1500" w:hanging="743"/>
        <w:spacing w:after="0" w:line="258"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decrease in the closing price on the Exchange of the Listco Securities in respect of any Tranche by more than 20% from the Collateral Share Price applicable to such Tranche (a “</w:t>
      </w:r>
      <w:r>
        <w:rPr>
          <w:rFonts w:ascii="Times New Roman" w:cs="Times New Roman" w:eastAsia="Times New Roman" w:hAnsi="Times New Roman"/>
          <w:sz w:val="18"/>
          <w:szCs w:val="18"/>
          <w:b w:val="1"/>
          <w:bCs w:val="1"/>
          <w:color w:val="auto"/>
        </w:rPr>
        <w:t>Share Price Default”</w:t>
      </w:r>
      <w:r>
        <w:rPr>
          <w:rFonts w:ascii="Times New Roman" w:cs="Times New Roman" w:eastAsia="Times New Roman" w:hAnsi="Times New Roman"/>
          <w:sz w:val="18"/>
          <w:szCs w:val="18"/>
          <w:color w:val="auto"/>
        </w:rPr>
        <w:t>), provided that such Share Price Default is not cured by the Borrower within three (3) Banking Days of the occurrence of such Share Price Default by the Borrower either:</w:t>
      </w:r>
    </w:p>
    <w:p>
      <w:pPr>
        <w:jc w:val="both"/>
        <w:ind w:left="1500"/>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(i) Delivering to the Borrower Securities Account, as Pledged Securities, such additional number of Listco Securities such that the loan-to-value (with the value of the Listco Securities being based on the closing price as of the date of the Share Price Default) is equal to 65% (including Pledged Securities Delivered pursuant to this Section 6.1(d)), or (ii) depositing in the Borrower Account in USD an amount equal to the value of the additional Listco Securities referred to in (i);</w:t>
      </w:r>
    </w:p>
    <w:p>
      <w:pPr>
        <w:spacing w:after="0" w:line="81" w:lineRule="exact"/>
        <w:rPr>
          <w:rFonts w:ascii="Times New Roman" w:cs="Times New Roman" w:eastAsia="Times New Roman" w:hAnsi="Times New Roman"/>
          <w:sz w:val="18"/>
          <w:szCs w:val="18"/>
          <w:color w:val="auto"/>
        </w:rPr>
      </w:pPr>
    </w:p>
    <w:p>
      <w:pPr>
        <w:ind w:left="1500" w:hanging="743"/>
        <w:spacing w:after="0" w:line="265" w:lineRule="auto"/>
        <w:tabs>
          <w:tab w:leader="none" w:pos="15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 Share Price Default has been cured pursuant to Section 6.1(d), there is a decrease in the closing price on the Exchange of the Listco Securities by such amount that the loan-to-value is equal to or greater than 70%;</w:t>
      </w:r>
    </w:p>
    <w:p>
      <w:pPr>
        <w:spacing w:after="0" w:line="57"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a decrease in the average trading volume, calculated for any three (3) consecutive Trading Day period, of the Listco Securities on the Exchange of more than 20% below the average daily trading volume for the Listco Securities on the Exchange for the thirty (30) Trading Day period immediately preceding the Closing Date;</w:t>
      </w:r>
    </w:p>
    <w:p>
      <w:pPr>
        <w:spacing w:after="0" w:line="70"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trading in the Listco Securities on the Exchange ceases or is suspended for four (4) or more consecutive Trading Days for any reason;</w:t>
      </w:r>
    </w:p>
    <w:p>
      <w:pPr>
        <w:spacing w:after="0" w:line="57"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Listco Securities are delisted from the Exchange;</w:t>
      </w:r>
    </w:p>
    <w:p>
      <w:pPr>
        <w:spacing w:after="0" w:line="105"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Event of Insolvency occurs with respect to the Borrower;</w:t>
      </w:r>
    </w:p>
    <w:p>
      <w:pPr>
        <w:spacing w:after="0" w:line="105"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Event of Insolvency occurs with respect to the Issuer;</w:t>
      </w:r>
    </w:p>
    <w:p>
      <w:pPr>
        <w:spacing w:after="0" w:line="105"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Issuer has completed or has otherwise been subject to a merger, amalgamation, arrangement, business combination, going private transaction, compulsory acquisition transaction, take-over bid, tender or exchange offer or similar transaction, in any case whereby the Listco Securities are no longer listed on the Exchange;</w:t>
      </w:r>
    </w:p>
    <w:p>
      <w:pPr>
        <w:spacing w:after="0" w:line="70" w:lineRule="exact"/>
        <w:rPr>
          <w:rFonts w:ascii="Times New Roman" w:cs="Times New Roman" w:eastAsia="Times New Roman" w:hAnsi="Times New Roman"/>
          <w:sz w:val="19"/>
          <w:szCs w:val="19"/>
          <w:color w:val="auto"/>
        </w:rPr>
      </w:pPr>
    </w:p>
    <w:p>
      <w:pPr>
        <w:ind w:left="1500" w:right="20" w:hanging="743"/>
        <w:spacing w:after="0" w:line="265" w:lineRule="auto"/>
        <w:tabs>
          <w:tab w:leader="none" w:pos="15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becomes impossible and/or unlawful for the Borrower to fulfil any of its obligations under this Agreement, whether by reason of change of Applicable Law, circumstance or otherwise;</w:t>
      </w:r>
    </w:p>
    <w:p>
      <w:pPr>
        <w:spacing w:after="0" w:line="57" w:lineRule="exact"/>
        <w:rPr>
          <w:rFonts w:ascii="Times New Roman" w:cs="Times New Roman" w:eastAsia="Times New Roman" w:hAnsi="Times New Roman"/>
          <w:sz w:val="19"/>
          <w:szCs w:val="19"/>
          <w:color w:val="auto"/>
        </w:rPr>
      </w:pPr>
    </w:p>
    <w:p>
      <w:pPr>
        <w:ind w:left="1500" w:hanging="743"/>
        <w:spacing w:after="0"/>
        <w:tabs>
          <w:tab w:leader="none" w:pos="15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engages in Onlending;</w:t>
      </w:r>
    </w:p>
    <w:p>
      <w:pPr>
        <w:spacing w:after="0" w:line="105"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ceases or threatens to cease to carry on all or a substantial part of its business or makes a sale of all or substantially all of its assets; or</w:t>
      </w:r>
    </w:p>
    <w:p>
      <w:pPr>
        <w:spacing w:after="0" w:line="57" w:lineRule="exact"/>
        <w:rPr>
          <w:rFonts w:ascii="Times New Roman" w:cs="Times New Roman" w:eastAsia="Times New Roman" w:hAnsi="Times New Roman"/>
          <w:sz w:val="19"/>
          <w:szCs w:val="19"/>
          <w:color w:val="auto"/>
        </w:rPr>
      </w:pPr>
    </w:p>
    <w:p>
      <w:pPr>
        <w:jc w:val="both"/>
        <w:ind w:left="1500" w:right="20" w:hanging="743"/>
        <w:spacing w:after="0" w:line="272"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or any provision hereof shall for any reason cease to be valid and binding obligations of the Borrower, the Borrower takes any steps to interfere with the Pledged Securities (or any of them) or the Lender’s rights therein or the Borrower contests in any manner the effectiveness, validity, binding nature or enforceability of this Agreement or any provision hereof.</w:t>
      </w:r>
    </w:p>
    <w:p>
      <w:pPr>
        <w:spacing w:after="0" w:line="4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Rights and Remedies of the Lender</w:t>
      </w:r>
    </w:p>
    <w:p>
      <w:pPr>
        <w:spacing w:after="0" w:line="103" w:lineRule="exact"/>
        <w:rPr>
          <w:sz w:val="20"/>
          <w:szCs w:val="20"/>
          <w:color w:val="auto"/>
        </w:rPr>
      </w:pPr>
    </w:p>
    <w:p>
      <w:pPr>
        <w:jc w:val="both"/>
        <w:ind w:left="1500" w:hanging="743"/>
        <w:spacing w:after="0" w:line="241" w:lineRule="auto"/>
        <w:tabs>
          <w:tab w:leader="none" w:pos="15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the Borrower has not cured an Event of Default hereunder in the manner contemplated herein immediately following the expiration of the relevant cure period, if any, then: (i) this Agreement shall thereupon automatically, immediately and irrevocably terminate, without notice to the Borrower or any other Person or otherwise; (ii) the Lender shall be entitled, without notice to the Borrower or any other Person or otherwise, in its sole discretion, to realize upon, foreclose and/or otherwise dispose of, or contract to dispose of, the Pledged Securities (or any of them) by sale, transfer or delivery and/or may exercise and enforce all rights and remedies of a holder of the Pledged Securities as if the Lender was the absolute owner thereof (including, if necessary, causing the Pledged Securities to be registered in the name of the Lender or as the Lender may otherwise direct); (iii) the Lender may exercise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0" w:lineRule="exact"/>
        <w:rPr>
          <w:sz w:val="20"/>
          <w:szCs w:val="20"/>
          <w:color w:val="auto"/>
        </w:rPr>
      </w:pPr>
    </w:p>
    <w:p>
      <w:pPr>
        <w:spacing w:after="0" w:line="341" w:lineRule="exact"/>
        <w:rPr>
          <w:sz w:val="20"/>
          <w:szCs w:val="20"/>
          <w:color w:val="auto"/>
        </w:rPr>
      </w:pPr>
    </w:p>
    <w:p>
      <w:pPr>
        <w:jc w:val="both"/>
        <w:ind w:left="1500"/>
        <w:spacing w:after="0"/>
        <w:rPr>
          <w:sz w:val="20"/>
          <w:szCs w:val="20"/>
          <w:color w:val="auto"/>
        </w:rPr>
      </w:pPr>
      <w:r>
        <w:rPr>
          <w:rFonts w:ascii="Times New Roman" w:cs="Times New Roman" w:eastAsia="Times New Roman" w:hAnsi="Times New Roman"/>
          <w:sz w:val="19"/>
          <w:szCs w:val="19"/>
          <w:color w:val="auto"/>
        </w:rPr>
        <w:t xml:space="preserve">or all rights and remedies available to the Lender whether available under this Agreement or available at law or in equity, and any such remedy may be exercised separately or in combination and shall be in addition to and not in substitution for any other rights the Lender may have, however created; (iv) the Lender shall no longer be obliged to make Re-delivery, in whole or in part, nor shall the Lender be required to account to the Borrower or any other Person for the proceeds payable to the Lender on account of any realization or other dealing in respect of the Pledged Securities (whether or not such proceeds are less than or more than the amount of the Obligations); and (v) in consideration of the Lender entering into this Agreement, the advance of funding hereby and the non-recourse aspect of the Loan, the Borrower irrevocably forfeits the equity of redemption. Any </w:t>
      </w:r>
      <w:r>
        <w:rPr>
          <w:rFonts w:ascii="Times New Roman" w:cs="Times New Roman" w:eastAsia="Times New Roman" w:hAnsi="Times New Roman"/>
          <w:sz w:val="19"/>
          <w:szCs w:val="19"/>
          <w:i w:val="1"/>
          <w:iCs w:val="1"/>
          <w:color w:val="auto"/>
        </w:rPr>
        <w:t>bona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fide </w:t>
      </w:r>
      <w:r>
        <w:rPr>
          <w:rFonts w:ascii="Times New Roman" w:cs="Times New Roman" w:eastAsia="Times New Roman" w:hAnsi="Times New Roman"/>
          <w:sz w:val="19"/>
          <w:szCs w:val="19"/>
          <w:color w:val="auto"/>
        </w:rPr>
        <w:t>purchaser of Pledged Securities from the Lender shall acquire the Pledged Securities absolutely, free from any claim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right of whatever kind by the Borrower.</w:t>
      </w:r>
    </w:p>
    <w:p>
      <w:pPr>
        <w:spacing w:after="0" w:line="86" w:lineRule="exact"/>
        <w:rPr>
          <w:sz w:val="20"/>
          <w:szCs w:val="20"/>
          <w:color w:val="auto"/>
        </w:rPr>
      </w:pPr>
    </w:p>
    <w:p>
      <w:pPr>
        <w:jc w:val="both"/>
        <w:ind w:left="1500" w:hanging="743"/>
        <w:spacing w:after="0" w:line="260" w:lineRule="auto"/>
        <w:tabs>
          <w:tab w:leader="none" w:pos="15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Borrower has not cured an Event of Default hereunder in the manner contemplated herein prior to the expiration of the relevant cure period, if any, then all </w:t>
      </w:r>
      <w:r>
        <w:rPr>
          <w:rFonts w:ascii="Times New Roman" w:cs="Times New Roman" w:eastAsia="Times New Roman" w:hAnsi="Times New Roman"/>
          <w:sz w:val="17"/>
          <w:szCs w:val="17"/>
          <w:color w:val="auto"/>
        </w:rPr>
        <w:t>interest payments hereunder to the Lender shall bear interest at an additional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5.0% per annum over the rate specified in Section 2.1(g) for the period commencing on the date of the occurrence of the Event of Default.</w:t>
      </w:r>
    </w:p>
    <w:p>
      <w:pPr>
        <w:spacing w:after="0" w:line="286"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 shall not be obliged to exhaust its recourse against the Borrower or any other Person or Persons or against any other security it may hold in respect of the Obligations before realizing upon or otherwise dealing with the Pledged Securities in such manner as the Lender may consider desirable.</w:t>
      </w:r>
    </w:p>
    <w:p>
      <w:pPr>
        <w:spacing w:after="0" w:line="70" w:lineRule="exact"/>
        <w:rPr>
          <w:rFonts w:ascii="Times New Roman" w:cs="Times New Roman" w:eastAsia="Times New Roman" w:hAnsi="Times New Roman"/>
          <w:sz w:val="19"/>
          <w:szCs w:val="19"/>
          <w:color w:val="auto"/>
        </w:rPr>
      </w:pPr>
    </w:p>
    <w:p>
      <w:pPr>
        <w:jc w:val="both"/>
        <w:ind w:left="1500" w:hanging="743"/>
        <w:spacing w:after="0" w:line="246" w:lineRule="auto"/>
        <w:tabs>
          <w:tab w:leader="none" w:pos="15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of this Agreement shall not be deemed to release a party from: (i) any obligations that are expressly or by their nature required to be performed following the date of termination; (ii) any liabilities (including payments and reimbursements due to the Lender) that have accrued up to (and including) the date of such termination; and (iii) any other liabilities or obligations that are expressly intended to survive termination under the provisions of this Agreement.</w:t>
      </w:r>
    </w:p>
    <w:p>
      <w:pPr>
        <w:spacing w:after="0" w:line="76"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Person dealing with the Lender shall be required to determine whether this Agreement has become enforceable or whether the powers which the Lender is purporting to exercise have become exercisable hereunder.</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PROVISIONS</w:t>
      </w:r>
    </w:p>
    <w:p>
      <w:pPr>
        <w:spacing w:after="0" w:line="8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18"/>
          <w:szCs w:val="18"/>
          <w:b w:val="1"/>
          <w:bCs w:val="1"/>
          <w:color w:val="auto"/>
        </w:rPr>
        <w:t>Confidentiality</w:t>
      </w:r>
    </w:p>
    <w:p>
      <w:pPr>
        <w:spacing w:after="0" w:line="99" w:lineRule="exact"/>
        <w:rPr>
          <w:sz w:val="20"/>
          <w:szCs w:val="20"/>
          <w:color w:val="auto"/>
        </w:rPr>
      </w:pPr>
    </w:p>
    <w:p>
      <w:pPr>
        <w:ind w:left="1500" w:hanging="743"/>
        <w:spacing w:after="0" w:line="270" w:lineRule="auto"/>
        <w:tabs>
          <w:tab w:leader="none" w:pos="15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keep confidential and shall not disclose this Agreement or the terms hereof (the “</w:t>
      </w:r>
      <w:r>
        <w:rPr>
          <w:rFonts w:ascii="Times New Roman" w:cs="Times New Roman" w:eastAsia="Times New Roman" w:hAnsi="Times New Roman"/>
          <w:sz w:val="19"/>
          <w:szCs w:val="19"/>
          <w:b w:val="1"/>
          <w:bCs w:val="1"/>
          <w:color w:val="auto"/>
        </w:rPr>
        <w:t>Confidential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Information</w:t>
      </w:r>
      <w:r>
        <w:rPr>
          <w:rFonts w:ascii="Times New Roman" w:cs="Times New Roman" w:eastAsia="Times New Roman" w:hAnsi="Times New Roman"/>
          <w:sz w:val="19"/>
          <w:szCs w:val="19"/>
          <w:color w:val="auto"/>
        </w:rPr>
        <w:t>”), except to its professional advisors or as required by Applicable Law.</w:t>
      </w:r>
    </w:p>
    <w:p>
      <w:pPr>
        <w:spacing w:after="0" w:line="52" w:lineRule="exact"/>
        <w:rPr>
          <w:rFonts w:ascii="Times New Roman" w:cs="Times New Roman" w:eastAsia="Times New Roman" w:hAnsi="Times New Roman"/>
          <w:sz w:val="19"/>
          <w:szCs w:val="19"/>
          <w:color w:val="auto"/>
        </w:rPr>
      </w:pPr>
    </w:p>
    <w:p>
      <w:pPr>
        <w:jc w:val="both"/>
        <w:ind w:left="1500" w:hanging="743"/>
        <w:spacing w:after="0" w:line="246" w:lineRule="auto"/>
        <w:tabs>
          <w:tab w:leader="none" w:pos="150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the Borrower is required by Applicable Law to disclose any Confidential Information, the Borrower shall promptly (and in no event more than two (2) Banking Days) notify the Lender in writing, which notification shall include the nature of the legal requirement and the extent of the required disclosure, and shall cooperate with the Lender to preserve the confidentiality of such information consistent with Applicable Law.</w:t>
      </w:r>
    </w:p>
    <w:p>
      <w:pPr>
        <w:spacing w:after="0" w:line="7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Indemnity</w:t>
      </w:r>
    </w:p>
    <w:p>
      <w:pPr>
        <w:spacing w:after="0" w:line="103" w:lineRule="exact"/>
        <w:rPr>
          <w:sz w:val="20"/>
          <w:szCs w:val="20"/>
          <w:color w:val="auto"/>
        </w:rPr>
      </w:pPr>
    </w:p>
    <w:p>
      <w:pPr>
        <w:jc w:val="both"/>
        <w:ind w:firstLine="1496"/>
        <w:spacing w:after="0" w:line="244" w:lineRule="auto"/>
        <w:rPr>
          <w:sz w:val="20"/>
          <w:szCs w:val="20"/>
          <w:color w:val="auto"/>
        </w:rPr>
      </w:pPr>
      <w:r>
        <w:rPr>
          <w:rFonts w:ascii="Times New Roman" w:cs="Times New Roman" w:eastAsia="Times New Roman" w:hAnsi="Times New Roman"/>
          <w:sz w:val="19"/>
          <w:szCs w:val="19"/>
          <w:color w:val="auto"/>
        </w:rPr>
        <w:t>The Borrower hereby agrees to indemnify and hold the Lender and its officers, directors, employees, agents and other representatives (collectively, the “</w:t>
      </w:r>
      <w:r>
        <w:rPr>
          <w:rFonts w:ascii="Times New Roman" w:cs="Times New Roman" w:eastAsia="Times New Roman" w:hAnsi="Times New Roman"/>
          <w:sz w:val="19"/>
          <w:szCs w:val="19"/>
          <w:b w:val="1"/>
          <w:bCs w:val="1"/>
          <w:color w:val="auto"/>
        </w:rPr>
        <w:t>Indemnified Parties</w:t>
      </w:r>
      <w:r>
        <w:rPr>
          <w:rFonts w:ascii="Times New Roman" w:cs="Times New Roman" w:eastAsia="Times New Roman" w:hAnsi="Times New Roman"/>
          <w:sz w:val="19"/>
          <w:szCs w:val="19"/>
          <w:color w:val="auto"/>
        </w:rPr>
        <w:t>”) free and harmless from and against any and all claims, actions, causes of actions, losses, costs, liabilities and expenses paid, incurred or suffered by, or asserted against, any Indemnified Party (without duplication) as a result of the Borrower’s default under this Agreement. The indemnity set forth above shall survive the termination of this Agreement and the repayment by the Borrower of all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0" w:lineRule="exact"/>
        <w:rPr>
          <w:sz w:val="20"/>
          <w:szCs w:val="20"/>
          <w:color w:val="auto"/>
        </w:rPr>
      </w:pPr>
    </w:p>
    <w:p>
      <w:pPr>
        <w:spacing w:after="0" w:line="33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18"/>
          <w:szCs w:val="18"/>
          <w:b w:val="1"/>
          <w:bCs w:val="1"/>
          <w:color w:val="auto"/>
        </w:rPr>
        <w:t>Know Your Customer/Anti-Money Laundering (“AML/KYC”)</w:t>
      </w:r>
    </w:p>
    <w:p>
      <w:pPr>
        <w:spacing w:after="0" w:line="103" w:lineRule="exact"/>
        <w:rPr>
          <w:sz w:val="20"/>
          <w:szCs w:val="20"/>
          <w:color w:val="auto"/>
        </w:rPr>
      </w:pPr>
    </w:p>
    <w:p>
      <w:pPr>
        <w:jc w:val="both"/>
        <w:ind w:firstLine="1496"/>
        <w:spacing w:after="0" w:line="242" w:lineRule="auto"/>
        <w:rPr>
          <w:sz w:val="20"/>
          <w:szCs w:val="20"/>
          <w:color w:val="auto"/>
        </w:rPr>
      </w:pPr>
      <w:r>
        <w:rPr>
          <w:rFonts w:ascii="Times New Roman" w:cs="Times New Roman" w:eastAsia="Times New Roman" w:hAnsi="Times New Roman"/>
          <w:sz w:val="19"/>
          <w:szCs w:val="19"/>
          <w:color w:val="auto"/>
        </w:rPr>
        <w:t>The Borrower hereby acknowledges that the Lender is subject to the regulations of The Central Bank of The Bahamas and the laws of the Commonwealth of The Bahamas in the conduct of its customer identification program requirements and its implementing regulations; pursuant to which the Lender must obtain, verify and record information that allows the Lender to identify the Borrower and its sources of funds. Accordingly, prior to opening the Borrower’s account with the Lender, the Lender will ask the Borrower to provide certain information, including name, address, tax identification number and other information that will help the Lender to identify and verify the Borrower’s identity such as organizational documents, certificate of good standing, license to do business, or other pertinent identifying information.</w:t>
      </w:r>
    </w:p>
    <w:p>
      <w:pPr>
        <w:spacing w:after="0" w:line="82" w:lineRule="exact"/>
        <w:rPr>
          <w:sz w:val="20"/>
          <w:szCs w:val="20"/>
          <w:color w:val="auto"/>
        </w:rPr>
      </w:pPr>
    </w:p>
    <w:p>
      <w:pPr>
        <w:jc w:val="both"/>
        <w:ind w:firstLine="1496"/>
        <w:spacing w:after="0" w:line="244" w:lineRule="auto"/>
        <w:rPr>
          <w:sz w:val="20"/>
          <w:szCs w:val="20"/>
          <w:color w:val="auto"/>
        </w:rPr>
      </w:pPr>
      <w:r>
        <w:rPr>
          <w:rFonts w:ascii="Times New Roman" w:cs="Times New Roman" w:eastAsia="Times New Roman" w:hAnsi="Times New Roman"/>
          <w:sz w:val="19"/>
          <w:szCs w:val="19"/>
          <w:color w:val="auto"/>
        </w:rPr>
        <w:t>The Borrower hereby agrees to indemnify and hold the Indemnified Parties free and harmless from and against any and all claims, actions, causes of actions, losses, costs, liabilities and expenses paid, incurred or suffered by, or asserted against, any Indemnified Party as a result of the Borrower’s failure to provide accurate information to maintain its AML/KYC status under this Agreement. The indemnity set forth above shall be enforceable against the Pledged Securities and survive the termination of this Agreement and the repayment by the Borrower of all Obligations.</w:t>
      </w:r>
    </w:p>
    <w:p>
      <w:pPr>
        <w:spacing w:after="0" w:line="7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7.4.</w:t>
      </w:r>
      <w:r>
        <w:rPr>
          <w:sz w:val="20"/>
          <w:szCs w:val="20"/>
          <w:color w:val="auto"/>
        </w:rPr>
        <w:tab/>
      </w:r>
      <w:r>
        <w:rPr>
          <w:rFonts w:ascii="Times New Roman" w:cs="Times New Roman" w:eastAsia="Times New Roman" w:hAnsi="Times New Roman"/>
          <w:sz w:val="19"/>
          <w:szCs w:val="19"/>
          <w:b w:val="1"/>
          <w:bCs w:val="1"/>
          <w:color w:val="auto"/>
        </w:rPr>
        <w:t>Partial Invalidity</w:t>
      </w:r>
    </w:p>
    <w:p>
      <w:pPr>
        <w:spacing w:after="0" w:line="103" w:lineRule="exact"/>
        <w:rPr>
          <w:sz w:val="20"/>
          <w:szCs w:val="20"/>
          <w:color w:val="auto"/>
        </w:rPr>
      </w:pPr>
    </w:p>
    <w:p>
      <w:pPr>
        <w:jc w:val="both"/>
        <w:ind w:firstLine="1496"/>
        <w:spacing w:after="0" w:line="242" w:lineRule="auto"/>
        <w:rPr>
          <w:sz w:val="20"/>
          <w:szCs w:val="20"/>
          <w:color w:val="auto"/>
        </w:rPr>
      </w:pPr>
      <w:r>
        <w:rPr>
          <w:rFonts w:ascii="Times New Roman" w:cs="Times New Roman" w:eastAsia="Times New Roman" w:hAnsi="Times New Roman"/>
          <w:sz w:val="19"/>
          <w:szCs w:val="19"/>
          <w:color w:val="auto"/>
        </w:rPr>
        <w:t>In the event that any one or more of the phrases, sentences, clauses, Articles or Sections contained in this Agreement shall be declared invalid or unenforceable by order, decree or judgment of any court having jurisdiction or shall be or become invalid or unenforceable by virtue of any Applicable Law, the remainder of this Agreement shall be construed as if such phrases, sentences, clauses, Articles or Sections had not been inserted except when such construction: (i) would operate as an undue hardship on either party; or (ii) would constitute a substantial deviation from the general intent and purposes of the parties as reflected in this Agreement. In the event of either (i) or (ii) above, the parties shall use commercially reasonable efforts to negotiate a mutually satisfactory amendment to this Agreement to circumvent such adverse construction.</w:t>
      </w:r>
    </w:p>
    <w:p>
      <w:pPr>
        <w:spacing w:after="0" w:line="77"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19"/>
          <w:szCs w:val="19"/>
          <w:b w:val="1"/>
          <w:bCs w:val="1"/>
          <w:color w:val="auto"/>
        </w:rPr>
        <w:t>Notices</w:t>
      </w:r>
    </w:p>
    <w:p>
      <w:pPr>
        <w:spacing w:after="0" w:line="103" w:lineRule="exact"/>
        <w:rPr>
          <w:sz w:val="20"/>
          <w:szCs w:val="20"/>
          <w:color w:val="auto"/>
        </w:rPr>
      </w:pPr>
    </w:p>
    <w:p>
      <w:pPr>
        <w:jc w:val="both"/>
        <w:ind w:firstLine="1496"/>
        <w:spacing w:after="0" w:line="244" w:lineRule="auto"/>
        <w:rPr>
          <w:sz w:val="20"/>
          <w:szCs w:val="20"/>
          <w:color w:val="auto"/>
        </w:rPr>
      </w:pPr>
      <w:r>
        <w:rPr>
          <w:rFonts w:ascii="Times New Roman" w:cs="Times New Roman" w:eastAsia="Times New Roman" w:hAnsi="Times New Roman"/>
          <w:sz w:val="19"/>
          <w:szCs w:val="19"/>
          <w:color w:val="auto"/>
        </w:rPr>
        <w:t>Except as may otherwise be provided in this Agreement, all notices, demands, statements, requests, consents, approvals and other communications (collectively, “Notices”) required or permitted to be given hereunder, or which are to be given with respect to this Agreement, shall be in writing, duly executed by an authorized officer or agent of the party so giving such Notice, and either personally delivered to any duly authorized representative of the party receiving such Notice or sent by courier service, with proof of delivery, or (in the case of the Borrower only) delivered by e-mail addressed as follows:</w:t>
      </w:r>
    </w:p>
    <w:p>
      <w:pPr>
        <w:sectPr>
          <w:pgSz w:w="11900" w:h="16838" w:orient="portrait"/>
          <w:cols w:equalWidth="0" w:num="1">
            <w:col w:w="11240"/>
          </w:cols>
          <w:pgMar w:left="320" w:top="769" w:right="339" w:bottom="1440" w:gutter="0" w:footer="0" w:header="0"/>
        </w:sectPr>
      </w:pPr>
    </w:p>
    <w:p>
      <w:pPr>
        <w:spacing w:after="0" w:line="1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The Lender: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Borrower:</w:t>
      </w:r>
    </w:p>
    <w:p>
      <w:pPr>
        <w:spacing w:after="0" w:line="129" w:lineRule="exact"/>
        <w:rPr>
          <w:sz w:val="20"/>
          <w:szCs w:val="20"/>
          <w:color w:val="auto"/>
        </w:rPr>
      </w:pPr>
    </w:p>
    <w:p>
      <w:pPr>
        <w:sectPr>
          <w:pgSz w:w="11900" w:h="16838" w:orient="portrait"/>
          <w:cols w:equalWidth="0" w:num="2">
            <w:col w:w="4920" w:space="720"/>
            <w:col w:w="5600"/>
          </w:cols>
          <w:pgMar w:left="320" w:top="769"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The St. James Bank &amp; Trust Company Ltd.</w:t>
      </w:r>
    </w:p>
    <w:p>
      <w:pPr>
        <w:spacing w:after="0" w:line="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Lyford Cay House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Scilex Holding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960 San Antonio Road</w:t>
      </w:r>
    </w:p>
    <w:p>
      <w:pPr>
        <w:spacing w:after="0" w:line="79" w:lineRule="exact"/>
        <w:rPr>
          <w:sz w:val="20"/>
          <w:szCs w:val="20"/>
          <w:color w:val="auto"/>
        </w:rPr>
      </w:pPr>
    </w:p>
    <w:p>
      <w:pPr>
        <w:sectPr>
          <w:pgSz w:w="11900" w:h="16838" w:orient="portrait"/>
          <w:cols w:equalWidth="0" w:num="2">
            <w:col w:w="4920" w:space="720"/>
            <w:col w:w="5600"/>
          </w:cols>
          <w:pgMar w:left="320" w:top="769"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11"/>
          <w:szCs w:val="11"/>
          <w:color w:val="auto"/>
        </w:rPr>
        <w:t>st</w:t>
      </w:r>
      <w:r>
        <w:rPr>
          <w:rFonts w:ascii="Times New Roman" w:cs="Times New Roman" w:eastAsia="Times New Roman" w:hAnsi="Times New Roman"/>
          <w:sz w:val="17"/>
          <w:szCs w:val="17"/>
          <w:color w:val="auto"/>
        </w:rPr>
        <w:t xml:space="preserve"> Floor, Western Road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Palo Alto, CA</w:t>
      </w:r>
    </w:p>
    <w:p>
      <w:pPr>
        <w:spacing w:after="0" w:line="129" w:lineRule="exact"/>
        <w:rPr>
          <w:sz w:val="20"/>
          <w:szCs w:val="20"/>
          <w:color w:val="auto"/>
        </w:rPr>
      </w:pPr>
    </w:p>
    <w:p>
      <w:pPr>
        <w:sectPr>
          <w:pgSz w:w="11900" w:h="16838" w:orient="portrait"/>
          <w:cols w:equalWidth="0" w:num="2">
            <w:col w:w="4920" w:space="720"/>
            <w:col w:w="5600"/>
          </w:cols>
          <w:pgMar w:left="320" w:top="769"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Nassau, Bahamas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94303</w:t>
      </w:r>
    </w:p>
    <w:p>
      <w:pPr>
        <w:spacing w:after="0" w:line="125" w:lineRule="exact"/>
        <w:rPr>
          <w:sz w:val="20"/>
          <w:szCs w:val="20"/>
          <w:color w:val="auto"/>
        </w:rPr>
      </w:pPr>
    </w:p>
    <w:p>
      <w:pPr>
        <w:sectPr>
          <w:pgSz w:w="11900" w:h="16838" w:orient="portrait"/>
          <w:cols w:equalWidth="0" w:num="2">
            <w:col w:w="4920" w:space="720"/>
            <w:col w:w="5600"/>
          </w:cols>
          <w:pgMar w:left="320" w:top="769" w:right="3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b w:val="1"/>
          <w:bCs w:val="1"/>
          <w:color w:val="auto"/>
        </w:rPr>
        <w:t>Attention: Anastacia Brooks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Attention: Stephen Ma</w:t>
      </w:r>
    </w:p>
    <w:p>
      <w:pPr>
        <w:spacing w:after="0" w:line="43" w:lineRule="exact"/>
        <w:rPr>
          <w:sz w:val="20"/>
          <w:szCs w:val="20"/>
          <w:color w:val="auto"/>
        </w:rPr>
      </w:pPr>
    </w:p>
    <w:p>
      <w:pPr>
        <w:sectPr>
          <w:pgSz w:w="11900" w:h="16838" w:orient="portrait"/>
          <w:cols w:equalWidth="0" w:num="2">
            <w:col w:w="4920" w:space="720"/>
            <w:col w:w="5600"/>
          </w:cols>
          <w:pgMar w:left="320" w:top="769" w:right="339" w:bottom="1440" w:gutter="0" w:footer="0" w:header="0"/>
          <w:type w:val="continuous"/>
        </w:sectPr>
      </w:pPr>
    </w:p>
    <w:p>
      <w:pPr>
        <w:ind w:left="5640"/>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color w:val="0000FF"/>
        </w:rPr>
        <w:t>sma@scilexholding.com</w:t>
      </w:r>
    </w:p>
    <w:p>
      <w:pPr>
        <w:sectPr>
          <w:pgSz w:w="11900" w:h="16838" w:orient="portrait"/>
          <w:cols w:equalWidth="0" w:num="1">
            <w:col w:w="11240"/>
          </w:cols>
          <w:pgMar w:left="320" w:top="769" w:right="339" w:bottom="1440" w:gutter="0" w:footer="0" w:header="0"/>
          <w:type w:val="continuous"/>
        </w:sectPr>
      </w:pPr>
    </w:p>
    <w:p>
      <w:pPr>
        <w:spacing w:after="0" w:line="210"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Any Notice so given shall be conclusively deemed to have been given when delivered if delivered by hand if on or before 4:30 p.m. (local time) on a Banking Day, or otherwise the next Banking Day. Either party may at any time change the addresses for Notices to such party by providing a Notice in the manner set forth in this Section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0" w:lineRule="exact"/>
        <w:rPr>
          <w:sz w:val="20"/>
          <w:szCs w:val="20"/>
          <w:color w:val="auto"/>
        </w:rPr>
      </w:pPr>
    </w:p>
    <w:p>
      <w:pPr>
        <w:spacing w:after="0" w:line="33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7.6.</w:t>
      </w:r>
      <w:r>
        <w:rPr>
          <w:sz w:val="20"/>
          <w:szCs w:val="20"/>
          <w:color w:val="auto"/>
        </w:rPr>
        <w:tab/>
      </w:r>
      <w:r>
        <w:rPr>
          <w:rFonts w:ascii="Times New Roman" w:cs="Times New Roman" w:eastAsia="Times New Roman" w:hAnsi="Times New Roman"/>
          <w:sz w:val="18"/>
          <w:szCs w:val="18"/>
          <w:b w:val="1"/>
          <w:bCs w:val="1"/>
          <w:color w:val="auto"/>
        </w:rPr>
        <w:t>Statute of Limitations; Usury</w:t>
      </w:r>
    </w:p>
    <w:p>
      <w:pPr>
        <w:spacing w:after="0" w:line="103"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The Borrower expressly waives the pleading of any statute of limitations as a defense to any demand or other recourse against the Borrower hereunder. The Borrower further expressly waives all defenses the Borrower may have or could plead or interpose with respect to usury in any action relating to this Agreement or any of the transactions contemplated hereby.</w:t>
      </w:r>
    </w:p>
    <w:p>
      <w:pPr>
        <w:spacing w:after="0" w:line="6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7.7.</w:t>
      </w:r>
      <w:r>
        <w:rPr>
          <w:sz w:val="20"/>
          <w:szCs w:val="20"/>
          <w:color w:val="auto"/>
        </w:rPr>
        <w:tab/>
      </w:r>
      <w:r>
        <w:rPr>
          <w:rFonts w:ascii="Times New Roman" w:cs="Times New Roman" w:eastAsia="Times New Roman" w:hAnsi="Times New Roman"/>
          <w:sz w:val="18"/>
          <w:szCs w:val="18"/>
          <w:b w:val="1"/>
          <w:bCs w:val="1"/>
          <w:color w:val="auto"/>
        </w:rPr>
        <w:t>Waiver of Immunity</w:t>
      </w:r>
    </w:p>
    <w:p>
      <w:pPr>
        <w:spacing w:after="0" w:line="10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19"/>
          <w:szCs w:val="19"/>
          <w:color w:val="auto"/>
        </w:rPr>
        <w:t>Each party hereby waives, to the fullest extent permitted by Applicable Law, all immunity (whether on the basis of sovereignty or otherwise) from jurisdiction, attachment (both before and after judgment) and execution to which it or might otherwise be entitled in any action or proceeding in the courts of England &amp; Wales or of any other country or jurisdiction relating in any way to this Agreement or the transactions contemplated hereby and agrees that it will not raise, claim or cause to be pleaded any such immunity at or in respect of any such action or proceeding.</w:t>
      </w:r>
    </w:p>
    <w:p>
      <w:pPr>
        <w:spacing w:after="0" w:line="7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7.8.</w:t>
      </w:r>
      <w:r>
        <w:rPr>
          <w:sz w:val="20"/>
          <w:szCs w:val="20"/>
          <w:color w:val="auto"/>
        </w:rPr>
        <w:tab/>
      </w:r>
      <w:r>
        <w:rPr>
          <w:rFonts w:ascii="Times New Roman" w:cs="Times New Roman" w:eastAsia="Times New Roman" w:hAnsi="Times New Roman"/>
          <w:sz w:val="18"/>
          <w:szCs w:val="18"/>
          <w:b w:val="1"/>
          <w:bCs w:val="1"/>
          <w:color w:val="auto"/>
        </w:rPr>
        <w:t>Force Majeure</w:t>
      </w:r>
    </w:p>
    <w:p>
      <w:pPr>
        <w:spacing w:after="0" w:line="103"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9"/>
          <w:szCs w:val="19"/>
          <w:color w:val="auto"/>
        </w:rPr>
        <w:t>Notwithstanding any other term of this Agreement, no default, delay or failure to perform on the part of the Lender will be considered a breach of this Agreement if such default, delay or failure to perform is due entirely to causes beyond the reasonable control of the Lender, including strikes, lock-outs or other labour disputes, riots, civil disturbances, actions or inactions of Governmental Authorities, epidemics, wars, acts of terrorism, embargoes, storms, floods, fire, earthquakes, acts of God or the public enemy, nuclear disasters, default of a common carrier, power shortages, computer downtime or the state of the financial markets in the United States is such that, in the opinion of the Lender, the Listco Securities cannot be sold in a normal manner (a “Force Majeure Event”). In the case of the happening of a Force Majeure Event, the time for performance required by the Lender under this Agreement will be revised accordingly.</w:t>
      </w:r>
    </w:p>
    <w:p>
      <w:pPr>
        <w:spacing w:after="0" w:line="7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7.9.</w:t>
      </w:r>
      <w:r>
        <w:rPr>
          <w:sz w:val="20"/>
          <w:szCs w:val="20"/>
          <w:color w:val="auto"/>
        </w:rPr>
        <w:tab/>
      </w:r>
      <w:r>
        <w:rPr>
          <w:rFonts w:ascii="Times New Roman" w:cs="Times New Roman" w:eastAsia="Times New Roman" w:hAnsi="Times New Roman"/>
          <w:sz w:val="18"/>
          <w:szCs w:val="18"/>
          <w:b w:val="1"/>
          <w:bCs w:val="1"/>
          <w:color w:val="auto"/>
        </w:rPr>
        <w:t>Governing Law; Venue; Arbitration</w:t>
      </w:r>
    </w:p>
    <w:p>
      <w:pPr>
        <w:spacing w:after="0" w:line="103" w:lineRule="exact"/>
        <w:rPr>
          <w:sz w:val="20"/>
          <w:szCs w:val="20"/>
          <w:color w:val="auto"/>
        </w:rPr>
      </w:pPr>
    </w:p>
    <w:p>
      <w:pPr>
        <w:ind w:left="1500" w:hanging="743"/>
        <w:spacing w:after="0"/>
        <w:tabs>
          <w:tab w:leader="none" w:pos="15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interpreted, construed and enforced according to the laws of Bermuda.</w:t>
      </w:r>
    </w:p>
    <w:p>
      <w:pPr>
        <w:spacing w:after="0" w:line="105" w:lineRule="exact"/>
        <w:rPr>
          <w:rFonts w:ascii="Times New Roman" w:cs="Times New Roman" w:eastAsia="Times New Roman" w:hAnsi="Times New Roman"/>
          <w:sz w:val="19"/>
          <w:szCs w:val="19"/>
          <w:color w:val="auto"/>
        </w:rPr>
      </w:pPr>
    </w:p>
    <w:p>
      <w:pPr>
        <w:jc w:val="both"/>
        <w:ind w:left="1500" w:hanging="743"/>
        <w:spacing w:after="0" w:line="243" w:lineRule="auto"/>
        <w:tabs>
          <w:tab w:leader="none" w:pos="15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following provisions set forth in this Section 7.9, the courts of The Bahamas shall be the sole and exclusive venue for any and all disputes, disagreements, controversies, questions or claims arising between the parties (“Disputes”) relating to or in connection with (i) this Agreement, including with respect to the formation, existence, validity, interpretation, performance, breach, enforcement or termination thereof, (ii) any legal relationship associated with or arising from this Agreement, (iii) the transactions contemplated hereby, and (iv) any matters involving any arbitration hereunder, including preliminary orders in support of an arbitration, injunctive or other ancillary relief (in any case, </w:t>
      </w:r>
      <w:r>
        <w:rPr>
          <w:rFonts w:ascii="Times New Roman" w:cs="Times New Roman" w:eastAsia="Times New Roman" w:hAnsi="Times New Roman"/>
          <w:sz w:val="19"/>
          <w:szCs w:val="19"/>
          <w:i w:val="1"/>
          <w:iCs w:val="1"/>
          <w:color w:val="auto"/>
        </w:rPr>
        <w:t>ex parte</w:t>
      </w:r>
      <w:r>
        <w:rPr>
          <w:rFonts w:ascii="Times New Roman" w:cs="Times New Roman" w:eastAsia="Times New Roman" w:hAnsi="Times New Roman"/>
          <w:sz w:val="19"/>
          <w:szCs w:val="19"/>
          <w:color w:val="auto"/>
        </w:rPr>
        <w:t xml:space="preserve"> or otherwise). Each of the parties hereto (i) submits to such exclusive venue, </w:t>
      </w:r>
      <w:r>
        <w:rPr>
          <w:rFonts w:ascii="Times New Roman" w:cs="Times New Roman" w:eastAsia="Times New Roman" w:hAnsi="Times New Roman"/>
          <w:sz w:val="17"/>
          <w:szCs w:val="17"/>
          <w:color w:val="auto"/>
        </w:rPr>
        <w:t>(ii) submits to the jurisdiction of the courts of The Bahamas, (iii) waives any objection which 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may have at any time to the laying of venue of any proceedings brought in such courts, and (iv) waives any claim that such proceedings have been brought in an inconvenient forum.</w:t>
      </w:r>
    </w:p>
    <w:p>
      <w:pPr>
        <w:spacing w:after="0" w:line="84"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Disputes shall be referred to and resolved by arbitration in Nassau, Bahamas in accordance with the JAMS International Arbitration Rules. The arbitration hearing shall be held at such location in Nassau, Bahamas as designated by the arbitrator(s) and all proceedings shall be conducted in the English language.</w:t>
      </w:r>
    </w:p>
    <w:p>
      <w:pPr>
        <w:spacing w:after="0" w:line="70" w:lineRule="exact"/>
        <w:rPr>
          <w:rFonts w:ascii="Times New Roman" w:cs="Times New Roman" w:eastAsia="Times New Roman" w:hAnsi="Times New Roman"/>
          <w:sz w:val="19"/>
          <w:szCs w:val="19"/>
          <w:color w:val="auto"/>
        </w:rPr>
      </w:pPr>
    </w:p>
    <w:p>
      <w:pPr>
        <w:jc w:val="both"/>
        <w:ind w:left="1500" w:hanging="743"/>
        <w:spacing w:after="0" w:line="241" w:lineRule="auto"/>
        <w:tabs>
          <w:tab w:leader="none" w:pos="150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arbitral tribunal shall be composed of one or three arbitrators. The sole arbitrator shall be mutually agreed upon by the parties. Failing such an agreement within thirty (30) days after the commencement of arbitration, each party shall select one person to act as arbitrator within sixty (60) days after the commencement of the arbitration, and the two so selected shall select a third arbitrator within ninety (90) days of the commencement of the arbitration. If the arbitrators selected by the parties are unable or fail to agree upon the third arbitrator within the allotted time, the third arbitrator shall be appointed by JAMS in accordance with its rules. Each arbitrator shall serve as a neutral, independent, conflicts-free and impartial arbitrator and shall be either a retired judge from a court in The Bahamas or the United States or a senior commercial lawyer from a recognized law firm in The Bahamas or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0" w:lineRule="exact"/>
        <w:rPr>
          <w:sz w:val="20"/>
          <w:szCs w:val="20"/>
          <w:color w:val="auto"/>
        </w:rPr>
      </w:pPr>
    </w:p>
    <w:p>
      <w:pPr>
        <w:spacing w:after="0" w:line="341" w:lineRule="exact"/>
        <w:rPr>
          <w:sz w:val="20"/>
          <w:szCs w:val="20"/>
          <w:color w:val="auto"/>
        </w:rPr>
      </w:pPr>
    </w:p>
    <w:p>
      <w:pPr>
        <w:jc w:val="both"/>
        <w:ind w:left="1500" w:hanging="743"/>
        <w:spacing w:after="0" w:line="250" w:lineRule="auto"/>
        <w:tabs>
          <w:tab w:leader="none" w:pos="15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any arbitration arising out of or related to the Dispute in question, a party shall be permitted to make dispositive motions (including a motion for summary judgment). Any such motion shall not serve to stay any aspect of the arbitration or adjourn any pending </w:t>
      </w:r>
      <w:r>
        <w:rPr>
          <w:rFonts w:ascii="Times New Roman" w:cs="Times New Roman" w:eastAsia="Times New Roman" w:hAnsi="Times New Roman"/>
          <w:sz w:val="17"/>
          <w:szCs w:val="17"/>
          <w:color w:val="auto"/>
        </w:rPr>
        <w:t>deadlines. Except for the submission by each party to the other party and the arbitrator(s) no later than sixty (60) days prior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the arbitration hearing of those documents in which such party seeks to rely at the hearing, the arbitrator(s) shall have no authority to permit or order the parties to engage in discovery, including depositions, interrogatories, requests for admission or document requests.</w:t>
      </w:r>
    </w:p>
    <w:p>
      <w:pPr>
        <w:spacing w:after="0" w:line="74" w:lineRule="exact"/>
        <w:rPr>
          <w:rFonts w:ascii="Times New Roman" w:cs="Times New Roman" w:eastAsia="Times New Roman" w:hAnsi="Times New Roman"/>
          <w:sz w:val="19"/>
          <w:szCs w:val="19"/>
          <w:color w:val="auto"/>
        </w:rPr>
      </w:pPr>
    </w:p>
    <w:p>
      <w:pPr>
        <w:jc w:val="both"/>
        <w:ind w:left="1500" w:hanging="743"/>
        <w:spacing w:after="0" w:line="251" w:lineRule="auto"/>
        <w:tabs>
          <w:tab w:leader="none" w:pos="15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arbitration hearings as well as any court proceedings or orders arising out of or in connection with or relating to the arbitration should be held </w:t>
      </w:r>
      <w:r>
        <w:rPr>
          <w:rFonts w:ascii="Times New Roman" w:cs="Times New Roman" w:eastAsia="Times New Roman" w:hAnsi="Times New Roman"/>
          <w:sz w:val="19"/>
          <w:szCs w:val="19"/>
          <w:i w:val="1"/>
          <w:iCs w:val="1"/>
          <w:color w:val="auto"/>
        </w:rPr>
        <w:t>in camera</w:t>
      </w:r>
      <w:r>
        <w:rPr>
          <w:rFonts w:ascii="Times New Roman" w:cs="Times New Roman" w:eastAsia="Times New Roman" w:hAnsi="Times New Roman"/>
          <w:sz w:val="19"/>
          <w:szCs w:val="19"/>
          <w:color w:val="auto"/>
        </w:rPr>
        <w:t>. Any case conference or hearing shall be attended only by those persons whose presence, in the opinion of the parties or the arbitrator(s), is reasonably necessary for the resolution of the Dispute.</w:t>
      </w:r>
    </w:p>
    <w:p>
      <w:pPr>
        <w:spacing w:after="0" w:line="70" w:lineRule="exact"/>
        <w:rPr>
          <w:rFonts w:ascii="Times New Roman" w:cs="Times New Roman" w:eastAsia="Times New Roman" w:hAnsi="Times New Roman"/>
          <w:sz w:val="19"/>
          <w:szCs w:val="19"/>
          <w:color w:val="auto"/>
        </w:rPr>
      </w:pPr>
    </w:p>
    <w:p>
      <w:pPr>
        <w:jc w:val="both"/>
        <w:ind w:left="1500" w:hanging="743"/>
        <w:spacing w:after="0" w:line="241" w:lineRule="auto"/>
        <w:tabs>
          <w:tab w:leader="none" w:pos="15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desire that any Dispute should be conducted in strict confidence and that there shall be no disclosure to any person of the existence of the Dispute or any aspect of the Dispute (including any settlement negotiations) except as is necessary for the resolution of the Dispute or as required by Applicable Law. All documents and submissions (including exhibits, testimony, proposed rulings and briefs) shall be received, heard and maintained confidential by the arbitrator(s), shall be available for inspection only by the parties, their counsel and by experts who agree, in advance and in writing, to maintain the confidentiality of such information in accordance with this Section 7.9(g), and all of such documents and submissions, as well as any arbitral award, shall be kept confidential and shall not be disclosed to any person without prior written consent of both of the parties except as required to enforce the arbitral award, by Applicable Law or by an order of the arbitrator(s).</w:t>
      </w:r>
    </w:p>
    <w:p>
      <w:pPr>
        <w:spacing w:after="0" w:line="80" w:lineRule="exact"/>
        <w:rPr>
          <w:rFonts w:ascii="Times New Roman" w:cs="Times New Roman" w:eastAsia="Times New Roman" w:hAnsi="Times New Roman"/>
          <w:sz w:val="19"/>
          <w:szCs w:val="19"/>
          <w:color w:val="auto"/>
        </w:rPr>
      </w:pPr>
    </w:p>
    <w:p>
      <w:pPr>
        <w:ind w:left="1500" w:hanging="743"/>
        <w:spacing w:after="0" w:line="265" w:lineRule="auto"/>
        <w:tabs>
          <w:tab w:leader="none" w:pos="15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any such arbitration proceeding, the arbitrator(s) shall have no authority to award costs and/or attorney’s fees to either party. The parties shall each bear their own costs and expenses in that regard.</w:t>
      </w:r>
    </w:p>
    <w:p>
      <w:pPr>
        <w:spacing w:after="0" w:line="5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7.10.</w:t>
      </w:r>
      <w:r>
        <w:rPr>
          <w:sz w:val="20"/>
          <w:szCs w:val="20"/>
          <w:color w:val="auto"/>
        </w:rPr>
        <w:tab/>
      </w:r>
      <w:r>
        <w:rPr>
          <w:rFonts w:ascii="Times New Roman" w:cs="Times New Roman" w:eastAsia="Times New Roman" w:hAnsi="Times New Roman"/>
          <w:sz w:val="19"/>
          <w:szCs w:val="19"/>
          <w:b w:val="1"/>
          <w:bCs w:val="1"/>
          <w:color w:val="auto"/>
        </w:rPr>
        <w:t>Banking Days</w:t>
      </w:r>
    </w:p>
    <w:p>
      <w:pPr>
        <w:spacing w:after="0" w:line="103" w:lineRule="exact"/>
        <w:rPr>
          <w:sz w:val="20"/>
          <w:szCs w:val="20"/>
          <w:color w:val="auto"/>
        </w:rPr>
      </w:pPr>
    </w:p>
    <w:p>
      <w:pPr>
        <w:ind w:firstLine="1497"/>
        <w:spacing w:after="0" w:line="265" w:lineRule="auto"/>
        <w:rPr>
          <w:sz w:val="20"/>
          <w:szCs w:val="20"/>
          <w:color w:val="auto"/>
        </w:rPr>
      </w:pPr>
      <w:r>
        <w:rPr>
          <w:rFonts w:ascii="Times New Roman" w:cs="Times New Roman" w:eastAsia="Times New Roman" w:hAnsi="Times New Roman"/>
          <w:sz w:val="19"/>
          <w:szCs w:val="19"/>
          <w:color w:val="auto"/>
        </w:rPr>
        <w:t>Whenever any action to be taken or payment to be made pursuant to this Agreement would otherwise be required to be made on a day that is not a Banking Day, such action shall be taken or such payment shall be made on the first Banking Day following such day.</w:t>
      </w:r>
    </w:p>
    <w:p>
      <w:pPr>
        <w:spacing w:after="0" w:line="5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7.11.</w:t>
      </w:r>
      <w:r>
        <w:rPr>
          <w:sz w:val="20"/>
          <w:szCs w:val="20"/>
          <w:color w:val="auto"/>
        </w:rPr>
        <w:tab/>
      </w:r>
      <w:r>
        <w:rPr>
          <w:rFonts w:ascii="Times New Roman" w:cs="Times New Roman" w:eastAsia="Times New Roman" w:hAnsi="Times New Roman"/>
          <w:sz w:val="19"/>
          <w:szCs w:val="19"/>
          <w:b w:val="1"/>
          <w:bCs w:val="1"/>
          <w:color w:val="auto"/>
        </w:rPr>
        <w:t>Assignment</w:t>
      </w:r>
    </w:p>
    <w:p>
      <w:pPr>
        <w:spacing w:after="0" w:line="103" w:lineRule="exact"/>
        <w:rPr>
          <w:sz w:val="20"/>
          <w:szCs w:val="20"/>
          <w:color w:val="auto"/>
        </w:rPr>
      </w:pPr>
    </w:p>
    <w:p>
      <w:pPr>
        <w:ind w:left="1500" w:hanging="743"/>
        <w:spacing w:after="0" w:line="265" w:lineRule="auto"/>
        <w:tabs>
          <w:tab w:leader="none" w:pos="15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assign, transfer, charge or novate any of its rights or obligations hereunder nor grant, declare, create or dispose of any right of interest in it. Any purported assignment in contravention of this Section 7.11 is void.</w:t>
      </w:r>
    </w:p>
    <w:p>
      <w:pPr>
        <w:spacing w:after="0" w:line="57" w:lineRule="exact"/>
        <w:rPr>
          <w:rFonts w:ascii="Times New Roman" w:cs="Times New Roman" w:eastAsia="Times New Roman" w:hAnsi="Times New Roman"/>
          <w:sz w:val="19"/>
          <w:szCs w:val="19"/>
          <w:color w:val="auto"/>
        </w:rPr>
      </w:pPr>
    </w:p>
    <w:p>
      <w:pPr>
        <w:jc w:val="both"/>
        <w:ind w:left="1500" w:hanging="743"/>
        <w:spacing w:after="0"/>
        <w:tabs>
          <w:tab w:leader="none" w:pos="15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Lender may, without the consent of the Borrower, assign all or any part of its interest in the Loan to one or more Persons (each, an “Assignee”). By executing this Agreement, the Borrower consents to any such assignment to an Assignee. The Lender may, but shall not be bound to, deliver to the Borrower an instrument of assumption pursuant to which any Assignee assumes the obligations and agrees to be bound by all the terms and conditions of this Agreement, all as if such Assignee had been an original party hereto. Upon any such assignment and such assumption of the obligations of the Lender by an Assignee, the Lender and the Borrower shall be mutually released from their respective obligations to each other hereunder effective as of the date of such assignment. The foregoing release shall be applicable notwithstanding that the Lender has agreed with the Assignee to act as its agent in connection with the Loan pursuant to such assignment, including the provision of notices to the Borrower, the enforcement of remedies and/or acting as payment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0" w:lineRule="exact"/>
        <w:rPr>
          <w:sz w:val="20"/>
          <w:szCs w:val="20"/>
          <w:color w:val="auto"/>
        </w:rPr>
      </w:pPr>
    </w:p>
    <w:p>
      <w:pPr>
        <w:spacing w:after="0" w:line="33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7.12.</w:t>
      </w:r>
      <w:r>
        <w:rPr>
          <w:sz w:val="20"/>
          <w:szCs w:val="20"/>
          <w:color w:val="auto"/>
        </w:rPr>
        <w:tab/>
      </w:r>
      <w:r>
        <w:rPr>
          <w:rFonts w:ascii="Times New Roman" w:cs="Times New Roman" w:eastAsia="Times New Roman" w:hAnsi="Times New Roman"/>
          <w:sz w:val="18"/>
          <w:szCs w:val="18"/>
          <w:b w:val="1"/>
          <w:bCs w:val="1"/>
          <w:color w:val="auto"/>
        </w:rPr>
        <w:t>Rights Cumulative</w:t>
      </w:r>
    </w:p>
    <w:p>
      <w:pPr>
        <w:spacing w:after="0" w:line="103" w:lineRule="exact"/>
        <w:rPr>
          <w:sz w:val="20"/>
          <w:szCs w:val="20"/>
          <w:color w:val="auto"/>
        </w:rPr>
      </w:pPr>
    </w:p>
    <w:p>
      <w:pPr>
        <w:jc w:val="both"/>
        <w:ind w:firstLine="1497"/>
        <w:spacing w:after="0" w:line="265" w:lineRule="auto"/>
        <w:rPr>
          <w:sz w:val="20"/>
          <w:szCs w:val="20"/>
          <w:color w:val="auto"/>
        </w:rPr>
      </w:pPr>
      <w:r>
        <w:rPr>
          <w:rFonts w:ascii="Times New Roman" w:cs="Times New Roman" w:eastAsia="Times New Roman" w:hAnsi="Times New Roman"/>
          <w:sz w:val="19"/>
          <w:szCs w:val="19"/>
          <w:color w:val="auto"/>
        </w:rPr>
        <w:t>The rights and remedies of the Lender described herein are cumulative and are not alternative to or exclusive of any other rights or remedies which the Lender otherwise may have by contract, at law or in equity.</w:t>
      </w:r>
    </w:p>
    <w:p>
      <w:pPr>
        <w:spacing w:after="0" w:line="5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7.13.</w:t>
      </w:r>
      <w:r>
        <w:rPr>
          <w:sz w:val="20"/>
          <w:szCs w:val="20"/>
          <w:color w:val="auto"/>
        </w:rPr>
        <w:tab/>
      </w:r>
      <w:r>
        <w:rPr>
          <w:rFonts w:ascii="Times New Roman" w:cs="Times New Roman" w:eastAsia="Times New Roman" w:hAnsi="Times New Roman"/>
          <w:sz w:val="18"/>
          <w:szCs w:val="18"/>
          <w:b w:val="1"/>
          <w:bCs w:val="1"/>
          <w:color w:val="auto"/>
        </w:rPr>
        <w:t>No Waiver</w:t>
      </w:r>
    </w:p>
    <w:p>
      <w:pPr>
        <w:spacing w:after="0" w:line="103"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No failure or delay on the part of either party in exercising any right, power or privilege under this Agreement shall operate as a waiver thereof, nor shall a single or partial exercise thereof preclude any other or further exercise of any other right, power or privilege. No modification or waiver of any provision of this Agreement, nor consent to any departure therefrom, shall in any event be effective unless the same shall be in writing and signed by the party against whom enforcement of such modification, waiver or consent is sought, and expressly refers to this Agreement and states that it is a modification, waiver or consent, as the case may be. Any such modification, waiver or consent shall be effective only in the specific instance and for the purpose for which given. No indulgence, forbearance or other accommodation by a party shall constitute a waiver of such party’s right to insist on performance in full and in a timely manner of all covenants in this Agreement or in any document delivered pursuant to this Agreement. Waiver of any provision shall not be deemed to waive the same provision thereafter, or any other provision of this Agreement at any time.</w:t>
      </w:r>
    </w:p>
    <w:p>
      <w:pPr>
        <w:spacing w:after="0" w:line="8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7.14.</w:t>
      </w:r>
      <w:r>
        <w:rPr>
          <w:sz w:val="20"/>
          <w:szCs w:val="20"/>
          <w:color w:val="auto"/>
        </w:rPr>
        <w:tab/>
      </w:r>
      <w:r>
        <w:rPr>
          <w:rFonts w:ascii="Times New Roman" w:cs="Times New Roman" w:eastAsia="Times New Roman" w:hAnsi="Times New Roman"/>
          <w:sz w:val="19"/>
          <w:szCs w:val="19"/>
          <w:b w:val="1"/>
          <w:bCs w:val="1"/>
          <w:color w:val="auto"/>
        </w:rPr>
        <w:t>Non-Merger</w:t>
      </w:r>
    </w:p>
    <w:p>
      <w:pPr>
        <w:spacing w:after="0" w:line="103" w:lineRule="exact"/>
        <w:rPr>
          <w:sz w:val="20"/>
          <w:szCs w:val="20"/>
          <w:color w:val="auto"/>
        </w:rPr>
      </w:pPr>
    </w:p>
    <w:p>
      <w:pPr>
        <w:jc w:val="both"/>
        <w:ind w:right="20" w:firstLine="1497"/>
        <w:spacing w:after="0" w:line="251" w:lineRule="auto"/>
        <w:rPr>
          <w:sz w:val="20"/>
          <w:szCs w:val="20"/>
          <w:color w:val="auto"/>
        </w:rPr>
      </w:pPr>
      <w:r>
        <w:rPr>
          <w:rFonts w:ascii="Times New Roman" w:cs="Times New Roman" w:eastAsia="Times New Roman" w:hAnsi="Times New Roman"/>
          <w:sz w:val="19"/>
          <w:szCs w:val="19"/>
          <w:color w:val="auto"/>
        </w:rPr>
        <w:t>This Agreement shall not operate by way of merger of any of the Obligations and no judgment recovered by the Lender shall operate by way of merger of or in any way affect the security of this Agreement which is in addition to and not in substitution for any other security now or hereafter held by the Lender in respect of the Obligations.</w:t>
      </w:r>
    </w:p>
    <w:p>
      <w:pPr>
        <w:spacing w:after="0" w:line="6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7.15.</w:t>
      </w:r>
      <w:r>
        <w:rPr>
          <w:sz w:val="20"/>
          <w:szCs w:val="20"/>
          <w:color w:val="auto"/>
        </w:rPr>
        <w:tab/>
      </w:r>
      <w:r>
        <w:rPr>
          <w:rFonts w:ascii="Times New Roman" w:cs="Times New Roman" w:eastAsia="Times New Roman" w:hAnsi="Times New Roman"/>
          <w:sz w:val="18"/>
          <w:szCs w:val="18"/>
          <w:b w:val="1"/>
          <w:bCs w:val="1"/>
          <w:color w:val="auto"/>
        </w:rPr>
        <w:t>No Third Party Beneficiaries</w:t>
      </w:r>
    </w:p>
    <w:p>
      <w:pPr>
        <w:spacing w:after="0" w:line="1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No rights are intended to be created under this Agreement for the benefit of any third party donee, creditor or incidental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beneficiary.</w:t>
      </w:r>
    </w:p>
    <w:p>
      <w:pPr>
        <w:spacing w:after="0" w:line="8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7.16.</w:t>
      </w:r>
      <w:r>
        <w:rPr>
          <w:sz w:val="20"/>
          <w:szCs w:val="20"/>
          <w:color w:val="auto"/>
        </w:rPr>
        <w:tab/>
      </w:r>
      <w:r>
        <w:rPr>
          <w:rFonts w:ascii="Times New Roman" w:cs="Times New Roman" w:eastAsia="Times New Roman" w:hAnsi="Times New Roman"/>
          <w:sz w:val="19"/>
          <w:szCs w:val="19"/>
          <w:b w:val="1"/>
          <w:bCs w:val="1"/>
          <w:color w:val="auto"/>
        </w:rPr>
        <w:t>Negotiations</w:t>
      </w:r>
    </w:p>
    <w:p>
      <w:pPr>
        <w:spacing w:after="0" w:line="103" w:lineRule="exact"/>
        <w:rPr>
          <w:sz w:val="20"/>
          <w:szCs w:val="20"/>
          <w:color w:val="auto"/>
        </w:rPr>
      </w:pPr>
    </w:p>
    <w:p>
      <w:pPr>
        <w:jc w:val="both"/>
        <w:ind w:right="20" w:firstLine="1497"/>
        <w:spacing w:after="0" w:line="251" w:lineRule="auto"/>
        <w:rPr>
          <w:sz w:val="20"/>
          <w:szCs w:val="20"/>
          <w:color w:val="auto"/>
        </w:rPr>
      </w:pPr>
      <w:r>
        <w:rPr>
          <w:rFonts w:ascii="Times New Roman" w:cs="Times New Roman" w:eastAsia="Times New Roman" w:hAnsi="Times New Roman"/>
          <w:sz w:val="19"/>
          <w:szCs w:val="19"/>
          <w:color w:val="auto"/>
        </w:rPr>
        <w:t>This Agreement has been fully negotiated and approved by the parties and, in interpreting the Agreement, notwithstanding any rule or maxim of law or construction to the contrary, any ambiguity or uncertainty will not be construed against either of the parties by reason of the authorship of any of the provisions of this Agreement.</w:t>
      </w:r>
    </w:p>
    <w:p>
      <w:pPr>
        <w:spacing w:after="0" w:line="6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7.17.</w:t>
      </w:r>
      <w:r>
        <w:rPr>
          <w:sz w:val="20"/>
          <w:szCs w:val="20"/>
          <w:color w:val="auto"/>
        </w:rPr>
        <w:tab/>
      </w:r>
      <w:r>
        <w:rPr>
          <w:rFonts w:ascii="Times New Roman" w:cs="Times New Roman" w:eastAsia="Times New Roman" w:hAnsi="Times New Roman"/>
          <w:sz w:val="18"/>
          <w:szCs w:val="18"/>
          <w:b w:val="1"/>
          <w:bCs w:val="1"/>
          <w:color w:val="auto"/>
        </w:rPr>
        <w:t>Amendment</w:t>
      </w:r>
    </w:p>
    <w:p>
      <w:pPr>
        <w:spacing w:after="0" w:line="1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This Agreement may be amended only by written agreement of the Borrower and the Lender.</w:t>
      </w:r>
    </w:p>
    <w:p>
      <w:pPr>
        <w:spacing w:after="0" w:line="10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7.18.</w:t>
      </w:r>
      <w:r>
        <w:rPr>
          <w:sz w:val="20"/>
          <w:szCs w:val="20"/>
          <w:color w:val="auto"/>
        </w:rPr>
        <w:tab/>
      </w:r>
      <w:r>
        <w:rPr>
          <w:rFonts w:ascii="Times New Roman" w:cs="Times New Roman" w:eastAsia="Times New Roman" w:hAnsi="Times New Roman"/>
          <w:sz w:val="18"/>
          <w:szCs w:val="18"/>
          <w:b w:val="1"/>
          <w:bCs w:val="1"/>
          <w:color w:val="auto"/>
        </w:rPr>
        <w:t>Entire Agreement; Paramountcy</w:t>
      </w:r>
    </w:p>
    <w:p>
      <w:pPr>
        <w:spacing w:after="0" w:line="103"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19"/>
          <w:szCs w:val="19"/>
          <w:color w:val="auto"/>
        </w:rPr>
        <w:t>This Agreement, together with the Custodian Management Agreement, constitutes the entire agreement between the parties pertaining to the subject-matter hereof and supersedes all prior agreements, understandings, negotiations and discussions of the parties, whether oral or written, and there are no representations, warranties or other agreements between the parties in connection with the subject-matter hereof, except as specifically set forth herein and therein. Unless there is a written agreement with the other party to the contrary, neither party is relying on any advice (whether written or oral) of the other party, other than the representations and warranties expressly set forth herein.</w:t>
      </w:r>
    </w:p>
    <w:p>
      <w:pPr>
        <w:spacing w:after="0" w:line="77"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In the event of any conflict, inconsistency, ambiguity or difference between the provisions of this Agreement and the Custodian Management Agreement, the provisions of the Custodian Management Agreement shall govern and be paramount and any such provision in this Agreement shall be deemed to be amended to the extent necessary to eliminate any such conflict, inconsistency, ambiguity or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0" w:lineRule="exact"/>
        <w:rPr>
          <w:sz w:val="20"/>
          <w:szCs w:val="20"/>
          <w:color w:val="auto"/>
        </w:rPr>
      </w:pPr>
    </w:p>
    <w:p>
      <w:pPr>
        <w:spacing w:after="0" w:line="33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7.19.</w:t>
      </w:r>
      <w:r>
        <w:rPr>
          <w:sz w:val="20"/>
          <w:szCs w:val="20"/>
          <w:color w:val="auto"/>
        </w:rPr>
        <w:tab/>
      </w:r>
      <w:r>
        <w:rPr>
          <w:rFonts w:ascii="Times New Roman" w:cs="Times New Roman" w:eastAsia="Times New Roman" w:hAnsi="Times New Roman"/>
          <w:sz w:val="19"/>
          <w:szCs w:val="19"/>
          <w:b w:val="1"/>
          <w:bCs w:val="1"/>
          <w:color w:val="auto"/>
        </w:rPr>
        <w:t>Expenses</w:t>
      </w:r>
    </w:p>
    <w:p>
      <w:pPr>
        <w:spacing w:after="0" w:line="10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The Borrower shall pay all fees (including all legal fees) and expenses incurred by the Borrower in connection with the preparation of this Agreement and incurred by the Borrower and the Lender in connection with the enforcement of, and any refinancing, renegotiation and restructuring of, this Agreement. All expenses payable pursuant to this Section 7.19 shall be paid together with any applicable value added or similar taxes thereon.</w:t>
      </w:r>
    </w:p>
    <w:p>
      <w:pPr>
        <w:spacing w:after="0" w:line="58"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7.20.</w:t>
      </w:r>
      <w:r>
        <w:rPr>
          <w:sz w:val="20"/>
          <w:szCs w:val="20"/>
          <w:color w:val="auto"/>
        </w:rPr>
        <w:tab/>
      </w:r>
      <w:r>
        <w:rPr>
          <w:rFonts w:ascii="Times New Roman" w:cs="Times New Roman" w:eastAsia="Times New Roman" w:hAnsi="Times New Roman"/>
          <w:sz w:val="19"/>
          <w:szCs w:val="19"/>
          <w:b w:val="1"/>
          <w:bCs w:val="1"/>
          <w:color w:val="auto"/>
        </w:rPr>
        <w:t>Successors and Assigns</w:t>
      </w:r>
    </w:p>
    <w:p>
      <w:pPr>
        <w:spacing w:after="0" w:line="103"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The terms and provisions hereof shall be binding upon and enure to the benefit of the parties hereto and their respective heirs, executors, legal representatives, successors, successors-in-title and permitted assigns, as the case may be, whether by voluntary action of the parties or by operation of law.</w:t>
      </w:r>
    </w:p>
    <w:p>
      <w:pPr>
        <w:spacing w:after="0" w:line="6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7.21.</w:t>
      </w:r>
      <w:r>
        <w:rPr>
          <w:sz w:val="20"/>
          <w:szCs w:val="20"/>
          <w:color w:val="auto"/>
        </w:rPr>
        <w:tab/>
      </w:r>
      <w:r>
        <w:rPr>
          <w:rFonts w:ascii="Times New Roman" w:cs="Times New Roman" w:eastAsia="Times New Roman" w:hAnsi="Times New Roman"/>
          <w:sz w:val="18"/>
          <w:szCs w:val="18"/>
          <w:b w:val="1"/>
          <w:bCs w:val="1"/>
          <w:color w:val="auto"/>
        </w:rPr>
        <w:t>Currency</w:t>
      </w:r>
    </w:p>
    <w:p>
      <w:pPr>
        <w:spacing w:after="0" w:line="103" w:lineRule="exact"/>
        <w:rPr>
          <w:sz w:val="20"/>
          <w:szCs w:val="20"/>
          <w:color w:val="auto"/>
        </w:rPr>
      </w:pPr>
    </w:p>
    <w:p>
      <w:pPr>
        <w:ind w:left="1500" w:firstLine="1496"/>
        <w:spacing w:after="0" w:line="265" w:lineRule="auto"/>
        <w:rPr>
          <w:sz w:val="20"/>
          <w:szCs w:val="20"/>
          <w:color w:val="auto"/>
        </w:rPr>
      </w:pPr>
      <w:r>
        <w:rPr>
          <w:rFonts w:ascii="Times New Roman" w:cs="Times New Roman" w:eastAsia="Times New Roman" w:hAnsi="Times New Roman"/>
          <w:sz w:val="19"/>
          <w:szCs w:val="19"/>
          <w:color w:val="auto"/>
        </w:rPr>
        <w:t>Unless otherwise specified herein, all amounts referred to in this Agreement shall refer to US dollars, the lawful money of the United States of America, and will sometimes be indicated by the symbol “USD” or “$”.</w:t>
      </w:r>
    </w:p>
    <w:p>
      <w:pPr>
        <w:spacing w:after="0" w:line="52"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7.22.</w:t>
      </w:r>
      <w:r>
        <w:rPr>
          <w:sz w:val="20"/>
          <w:szCs w:val="20"/>
          <w:color w:val="auto"/>
        </w:rPr>
        <w:tab/>
      </w:r>
      <w:r>
        <w:rPr>
          <w:rFonts w:ascii="Times New Roman" w:cs="Times New Roman" w:eastAsia="Times New Roman" w:hAnsi="Times New Roman"/>
          <w:sz w:val="18"/>
          <w:szCs w:val="18"/>
          <w:b w:val="1"/>
          <w:bCs w:val="1"/>
          <w:color w:val="auto"/>
        </w:rPr>
        <w:t>Language</w:t>
      </w:r>
    </w:p>
    <w:p>
      <w:pPr>
        <w:spacing w:after="0" w:line="103" w:lineRule="exact"/>
        <w:rPr>
          <w:sz w:val="20"/>
          <w:szCs w:val="20"/>
          <w:color w:val="auto"/>
        </w:rPr>
      </w:pPr>
    </w:p>
    <w:p>
      <w:pPr>
        <w:jc w:val="both"/>
        <w:ind w:right="20" w:firstLine="1497"/>
        <w:spacing w:after="0" w:line="265" w:lineRule="auto"/>
        <w:rPr>
          <w:sz w:val="20"/>
          <w:szCs w:val="20"/>
          <w:color w:val="auto"/>
        </w:rPr>
      </w:pPr>
      <w:r>
        <w:rPr>
          <w:rFonts w:ascii="Times New Roman" w:cs="Times New Roman" w:eastAsia="Times New Roman" w:hAnsi="Times New Roman"/>
          <w:sz w:val="19"/>
          <w:szCs w:val="19"/>
          <w:color w:val="auto"/>
        </w:rPr>
        <w:t>The parties hereto acknowledge and confirm that they have requested that this Agreement, as well as all Notices and other documents contemplated hereby, be drawn up in the English language.</w:t>
      </w:r>
    </w:p>
    <w:p>
      <w:pPr>
        <w:spacing w:after="0" w:line="3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7.23.</w:t>
      </w:r>
      <w:r>
        <w:rPr>
          <w:sz w:val="20"/>
          <w:szCs w:val="20"/>
          <w:color w:val="auto"/>
        </w:rPr>
        <w:tab/>
      </w:r>
      <w:r>
        <w:rPr>
          <w:rFonts w:ascii="Times New Roman" w:cs="Times New Roman" w:eastAsia="Times New Roman" w:hAnsi="Times New Roman"/>
          <w:sz w:val="18"/>
          <w:szCs w:val="18"/>
          <w:b w:val="1"/>
          <w:bCs w:val="1"/>
          <w:color w:val="auto"/>
        </w:rPr>
        <w:t>Recapitalizations, Share Splits or Consolidations</w:t>
      </w:r>
    </w:p>
    <w:p>
      <w:pPr>
        <w:spacing w:after="0" w:line="103"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In the event of a recapitalization, share split or consolidation involving the Listco Securities, all references to the Listco Securities and the Pledged Securities, amounts thereof and prices thereof shall be adjusted as appropriate to reflect such recapitalization, share split or consolidation, as the case may be.</w:t>
      </w:r>
    </w:p>
    <w:p>
      <w:pPr>
        <w:spacing w:after="0" w:line="6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7.24.</w:t>
      </w:r>
      <w:r>
        <w:rPr>
          <w:sz w:val="20"/>
          <w:szCs w:val="20"/>
          <w:color w:val="auto"/>
        </w:rPr>
        <w:tab/>
      </w:r>
      <w:r>
        <w:rPr>
          <w:rFonts w:ascii="Times New Roman" w:cs="Times New Roman" w:eastAsia="Times New Roman" w:hAnsi="Times New Roman"/>
          <w:sz w:val="18"/>
          <w:szCs w:val="18"/>
          <w:b w:val="1"/>
          <w:bCs w:val="1"/>
          <w:color w:val="auto"/>
        </w:rPr>
        <w:t>Further Assurances</w:t>
      </w:r>
    </w:p>
    <w:p>
      <w:pPr>
        <w:spacing w:after="0" w:line="103"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9"/>
          <w:szCs w:val="19"/>
          <w:color w:val="auto"/>
        </w:rPr>
        <w:t>The parties shall do all such things and provide all such reasonable assurances as may be required to consummate the transactions contemplated by this Agreement, and each party shall provide such further documents or instruments required by the other party as may be reasonably necessary or desirable to effect the purpose of this Agreement and carry out its provisions.</w:t>
      </w:r>
    </w:p>
    <w:p>
      <w:pPr>
        <w:spacing w:after="0" w:line="6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7.25.</w:t>
      </w:r>
      <w:r>
        <w:rPr>
          <w:sz w:val="20"/>
          <w:szCs w:val="20"/>
          <w:color w:val="auto"/>
        </w:rPr>
        <w:tab/>
      </w:r>
      <w:r>
        <w:rPr>
          <w:rFonts w:ascii="Times New Roman" w:cs="Times New Roman" w:eastAsia="Times New Roman" w:hAnsi="Times New Roman"/>
          <w:sz w:val="18"/>
          <w:szCs w:val="18"/>
          <w:b w:val="1"/>
          <w:bCs w:val="1"/>
          <w:color w:val="auto"/>
        </w:rPr>
        <w:t>Independent Legal Advice</w:t>
      </w:r>
    </w:p>
    <w:p>
      <w:pPr>
        <w:spacing w:after="0" w:line="103"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9"/>
          <w:szCs w:val="19"/>
          <w:color w:val="auto"/>
        </w:rPr>
        <w:t>The Borrower acknowledges that: (i) the Lender has recommended and encouraged the Borrower to obtain independent legal and tax advice with respect to this Agreement and the transactions contemplated hereby; (ii) it has, in fact, been given an opportunity to obtain independent legal and tax advice from counsel/advisors of its choosing; and (iii) if it has not obtained independent legal and tax advice, despite having been encouraged and given the opportunity to do so, the Borrower explicitly waives the right to obtain such advice, and, in any event, the Borrower acknowledges that it has read and understood this Agreement, that it is signing this Agreement freely and voluntarily and without duress or undue influence of any nature whatsoever and it understands the risks of the transactions contemplated hereby and is willing to assume (financially and otherwise) such risks. The Borrower understands that the Agents are not lawyers or tax advisors, are not competent to provide independent legal and/or tax advice to the Borrower and the Borrower has not relied on any statement, representation or warranty made or given by such Persons in entering into this Agreement.</w:t>
      </w:r>
    </w:p>
    <w:p>
      <w:pPr>
        <w:spacing w:after="0" w:line="8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7.26.</w:t>
      </w:r>
      <w:r>
        <w:rPr>
          <w:sz w:val="20"/>
          <w:szCs w:val="20"/>
          <w:color w:val="auto"/>
        </w:rPr>
        <w:tab/>
      </w:r>
      <w:r>
        <w:rPr>
          <w:rFonts w:ascii="Times New Roman" w:cs="Times New Roman" w:eastAsia="Times New Roman" w:hAnsi="Times New Roman"/>
          <w:sz w:val="18"/>
          <w:szCs w:val="18"/>
          <w:b w:val="1"/>
          <w:bCs w:val="1"/>
          <w:color w:val="auto"/>
        </w:rPr>
        <w:t>Counterparts and Transmission</w:t>
      </w:r>
    </w:p>
    <w:p>
      <w:pPr>
        <w:spacing w:after="0" w:line="10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9"/>
          <w:szCs w:val="19"/>
          <w:color w:val="auto"/>
        </w:rPr>
        <w:t>This Agreement may be: (i) executed in two or more counterparts, each of which counterparts when so executed and delivered shall be deemed to be an original, but all of which counterparts together shall constitute one and the same document; and/or (ii) transmitted by facsimile and/or internet device and that the reproduction of signatures by way of facsimile and/or PDF device will be treated as though such reproductions were executed originals and communication by such means will be legal and binding.</w:t>
      </w:r>
    </w:p>
    <w:p>
      <w:pPr>
        <w:spacing w:after="0" w:line="7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2"/>
          <w:szCs w:val="22"/>
          <w:b w:val="1"/>
          <w:bCs w:val="1"/>
          <w:color w:val="auto"/>
        </w:rPr>
        <w:t>7.27.</w:t>
      </w:r>
      <w:r>
        <w:rPr>
          <w:sz w:val="20"/>
          <w:szCs w:val="20"/>
          <w:color w:val="auto"/>
        </w:rPr>
        <w:tab/>
      </w:r>
      <w:r>
        <w:rPr>
          <w:rFonts w:ascii="Times New Roman" w:cs="Times New Roman" w:eastAsia="Times New Roman" w:hAnsi="Times New Roman"/>
          <w:sz w:val="18"/>
          <w:szCs w:val="18"/>
          <w:b w:val="1"/>
          <w:bCs w:val="1"/>
          <w:color w:val="auto"/>
        </w:rPr>
        <w:t>Copy Received</w:t>
      </w:r>
    </w:p>
    <w:p>
      <w:pPr>
        <w:spacing w:after="0" w:line="10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Each of the Borrower and the Lender acknowledges receipt of a copy of this Agreement.</w:t>
      </w:r>
    </w:p>
    <w:p>
      <w:pPr>
        <w:spacing w:after="0" w:line="16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b w:val="1"/>
          <w:b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color w:val="auto"/>
        </w:rPr>
        <w:t>- 19 -</w:t>
      </w: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b w:val="1"/>
          <w:bCs w:val="1"/>
          <w:color w:val="231F20"/>
        </w:rPr>
        <w:t>IN WITNESS WHEREOF</w:t>
      </w:r>
      <w:r>
        <w:rPr>
          <w:rFonts w:ascii="Times New Roman" w:cs="Times New Roman" w:eastAsia="Times New Roman" w:hAnsi="Times New Roman"/>
          <w:sz w:val="19"/>
          <w:szCs w:val="19"/>
          <w:color w:val="231F20"/>
        </w:rPr>
        <w:t>, the parties have duly executed this Agreement as of the date first above written.</w:t>
      </w: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030303"/>
        </w:rPr>
        <w:t>THE ST. JAMES BANK &amp; TRUST COMPANY LTD.</w:t>
      </w:r>
    </w:p>
    <w:p>
      <w:pPr>
        <w:spacing w:after="0" w:line="218" w:lineRule="exact"/>
        <w:rPr>
          <w:sz w:val="20"/>
          <w:szCs w:val="20"/>
          <w:color w:val="auto"/>
        </w:rPr>
      </w:pPr>
    </w:p>
    <w:p>
      <w:pPr>
        <w:ind w:left="3380"/>
        <w:spacing w:after="0"/>
        <w:tabs>
          <w:tab w:leader="none" w:pos="3940" w:val="left"/>
        </w:tabs>
        <w:rPr>
          <w:sz w:val="20"/>
          <w:szCs w:val="20"/>
          <w:color w:val="auto"/>
        </w:rPr>
      </w:pPr>
      <w:r>
        <w:rPr>
          <w:rFonts w:ascii="Times New Roman" w:cs="Times New Roman" w:eastAsia="Times New Roman" w:hAnsi="Times New Roman"/>
          <w:sz w:val="19"/>
          <w:szCs w:val="19"/>
          <w:color w:val="030303"/>
        </w:rPr>
        <w:t>Per:</w:t>
      </w:r>
      <w:r>
        <w:rPr>
          <w:rFonts w:ascii="Times New Roman" w:cs="Times New Roman" w:eastAsia="Times New Roman" w:hAnsi="Times New Roman"/>
          <w:sz w:val="19"/>
          <w:szCs w:val="19"/>
          <w:color w:val="auto"/>
        </w:rPr>
        <w:tab/>
        <w:t>/s/ Bernard Kemp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15240</wp:posOffset>
            </wp:positionV>
            <wp:extent cx="39173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6" w:lineRule="exact"/>
        <w:rPr>
          <w:sz w:val="20"/>
          <w:szCs w:val="20"/>
          <w:color w:val="auto"/>
        </w:rPr>
      </w:pPr>
    </w:p>
    <w:p>
      <w:pPr>
        <w:ind w:left="3960"/>
        <w:spacing w:after="0"/>
        <w:tabs>
          <w:tab w:leader="none" w:pos="4720" w:val="left"/>
        </w:tabs>
        <w:rPr>
          <w:sz w:val="20"/>
          <w:szCs w:val="20"/>
          <w:color w:val="auto"/>
        </w:rPr>
      </w:pPr>
      <w:r>
        <w:rPr>
          <w:rFonts w:ascii="Times New Roman" w:cs="Times New Roman" w:eastAsia="Times New Roman" w:hAnsi="Times New Roman"/>
          <w:sz w:val="19"/>
          <w:szCs w:val="19"/>
          <w:color w:val="030303"/>
        </w:rPr>
        <w:t>Name:</w:t>
        <w:tab/>
        <w:t>Bernard Kemp</w:t>
      </w:r>
    </w:p>
    <w:p>
      <w:pPr>
        <w:spacing w:after="0" w:line="3" w:lineRule="exact"/>
        <w:rPr>
          <w:sz w:val="20"/>
          <w:szCs w:val="20"/>
          <w:color w:val="auto"/>
        </w:rPr>
      </w:pPr>
    </w:p>
    <w:p>
      <w:pPr>
        <w:jc w:val="center"/>
        <w:ind w:left="3900"/>
        <w:spacing w:after="0"/>
        <w:tabs>
          <w:tab w:leader="none" w:pos="360" w:val="left"/>
        </w:tabs>
        <w:rPr>
          <w:sz w:val="20"/>
          <w:szCs w:val="20"/>
          <w:color w:val="auto"/>
        </w:rPr>
      </w:pPr>
      <w:r>
        <w:rPr>
          <w:rFonts w:ascii="Times New Roman" w:cs="Times New Roman" w:eastAsia="Times New Roman" w:hAnsi="Times New Roman"/>
          <w:sz w:val="19"/>
          <w:szCs w:val="19"/>
          <w:color w:val="030303"/>
        </w:rPr>
        <w:t>Title:</w:t>
      </w:r>
      <w:r>
        <w:rPr>
          <w:sz w:val="20"/>
          <w:szCs w:val="20"/>
          <w:color w:val="auto"/>
        </w:rPr>
        <w:tab/>
      </w:r>
      <w:r>
        <w:rPr>
          <w:rFonts w:ascii="Times New Roman" w:cs="Times New Roman" w:eastAsia="Times New Roman" w:hAnsi="Times New Roman"/>
          <w:sz w:val="18"/>
          <w:szCs w:val="18"/>
          <w:color w:val="030303"/>
        </w:rPr>
        <w:t>President</w:t>
      </w:r>
    </w:p>
    <w:p>
      <w:pPr>
        <w:spacing w:after="0" w:line="194" w:lineRule="exact"/>
        <w:rPr>
          <w:sz w:val="20"/>
          <w:szCs w:val="20"/>
          <w:color w:val="auto"/>
        </w:rPr>
      </w:pPr>
    </w:p>
    <w:p>
      <w:pPr>
        <w:jc w:val="center"/>
        <w:ind w:left="2760"/>
        <w:spacing w:after="0"/>
        <w:tabs>
          <w:tab w:leader="none" w:pos="260" w:val="left"/>
        </w:tabs>
        <w:rPr>
          <w:sz w:val="20"/>
          <w:szCs w:val="20"/>
          <w:color w:val="auto"/>
        </w:rPr>
      </w:pPr>
      <w:r>
        <w:rPr>
          <w:rFonts w:ascii="Times New Roman" w:cs="Times New Roman" w:eastAsia="Times New Roman" w:hAnsi="Times New Roman"/>
          <w:sz w:val="19"/>
          <w:szCs w:val="19"/>
          <w:color w:val="030303"/>
        </w:rPr>
        <w:t>Per:</w:t>
      </w:r>
      <w:r>
        <w:rPr>
          <w:rFonts w:ascii="Times New Roman" w:cs="Times New Roman" w:eastAsia="Times New Roman" w:hAnsi="Times New Roman"/>
          <w:sz w:val="19"/>
          <w:szCs w:val="19"/>
          <w:color w:val="auto"/>
        </w:rPr>
        <w:tab/>
        <w:t>/s/ Dion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15240</wp:posOffset>
            </wp:positionV>
            <wp:extent cx="39173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6" w:lineRule="exact"/>
        <w:rPr>
          <w:sz w:val="20"/>
          <w:szCs w:val="20"/>
          <w:color w:val="auto"/>
        </w:rPr>
      </w:pPr>
    </w:p>
    <w:p>
      <w:pPr>
        <w:ind w:left="3960"/>
        <w:spacing w:after="0"/>
        <w:tabs>
          <w:tab w:leader="none" w:pos="4760" w:val="left"/>
        </w:tabs>
        <w:rPr>
          <w:sz w:val="20"/>
          <w:szCs w:val="20"/>
          <w:color w:val="auto"/>
        </w:rPr>
      </w:pPr>
      <w:r>
        <w:rPr>
          <w:rFonts w:ascii="Times New Roman" w:cs="Times New Roman" w:eastAsia="Times New Roman" w:hAnsi="Times New Roman"/>
          <w:sz w:val="19"/>
          <w:szCs w:val="19"/>
          <w:color w:val="030303"/>
        </w:rPr>
        <w:t>Name:</w:t>
      </w:r>
      <w:r>
        <w:rPr>
          <w:sz w:val="20"/>
          <w:szCs w:val="20"/>
          <w:color w:val="auto"/>
        </w:rPr>
        <w:tab/>
      </w:r>
      <w:r>
        <w:rPr>
          <w:rFonts w:ascii="Times New Roman" w:cs="Times New Roman" w:eastAsia="Times New Roman" w:hAnsi="Times New Roman"/>
          <w:sz w:val="18"/>
          <w:szCs w:val="18"/>
          <w:color w:val="030303"/>
        </w:rPr>
        <w:t>Dion Thompson</w:t>
      </w:r>
    </w:p>
    <w:p>
      <w:pPr>
        <w:spacing w:after="0" w:line="3" w:lineRule="exact"/>
        <w:rPr>
          <w:sz w:val="20"/>
          <w:szCs w:val="20"/>
          <w:color w:val="auto"/>
        </w:rPr>
      </w:pPr>
    </w:p>
    <w:p>
      <w:pPr>
        <w:ind w:left="3960"/>
        <w:spacing w:after="0"/>
        <w:tabs>
          <w:tab w:leader="none" w:pos="4720" w:val="left"/>
        </w:tabs>
        <w:rPr>
          <w:sz w:val="20"/>
          <w:szCs w:val="20"/>
          <w:color w:val="auto"/>
        </w:rPr>
      </w:pPr>
      <w:r>
        <w:rPr>
          <w:rFonts w:ascii="Times New Roman" w:cs="Times New Roman" w:eastAsia="Times New Roman" w:hAnsi="Times New Roman"/>
          <w:sz w:val="19"/>
          <w:szCs w:val="19"/>
          <w:color w:val="030303"/>
        </w:rPr>
        <w:t>Title:</w:t>
      </w:r>
      <w:r>
        <w:rPr>
          <w:sz w:val="20"/>
          <w:szCs w:val="20"/>
          <w:color w:val="auto"/>
        </w:rPr>
        <w:tab/>
      </w:r>
      <w:r>
        <w:rPr>
          <w:rFonts w:ascii="Times New Roman" w:cs="Times New Roman" w:eastAsia="Times New Roman" w:hAnsi="Times New Roman"/>
          <w:sz w:val="18"/>
          <w:szCs w:val="18"/>
          <w:color w:val="030303"/>
        </w:rPr>
        <w:t>Vice President</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9"/>
          <w:szCs w:val="19"/>
          <w:b w:val="1"/>
          <w:bCs w:val="1"/>
          <w:color w:val="030303"/>
        </w:rPr>
        <w:t>SCILEX HOLDING COMPANY</w:t>
      </w:r>
    </w:p>
    <w:p>
      <w:pPr>
        <w:spacing w:after="0" w:line="218" w:lineRule="exact"/>
        <w:rPr>
          <w:sz w:val="20"/>
          <w:szCs w:val="20"/>
          <w:color w:val="auto"/>
        </w:rPr>
      </w:pPr>
    </w:p>
    <w:p>
      <w:pPr>
        <w:ind w:left="3380"/>
        <w:spacing w:after="0"/>
        <w:tabs>
          <w:tab w:leader="none" w:pos="3940" w:val="left"/>
        </w:tabs>
        <w:rPr>
          <w:sz w:val="20"/>
          <w:szCs w:val="20"/>
          <w:color w:val="auto"/>
        </w:rPr>
      </w:pPr>
      <w:r>
        <w:rPr>
          <w:rFonts w:ascii="Times New Roman" w:cs="Times New Roman" w:eastAsia="Times New Roman" w:hAnsi="Times New Roman"/>
          <w:sz w:val="19"/>
          <w:szCs w:val="19"/>
          <w:color w:val="030303"/>
        </w:rPr>
        <w:t>Per:</w:t>
        <w:tab/>
        <w:t>/s/ Henry 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15240</wp:posOffset>
            </wp:positionV>
            <wp:extent cx="39173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6" w:lineRule="exact"/>
        <w:rPr>
          <w:sz w:val="20"/>
          <w:szCs w:val="20"/>
          <w:color w:val="auto"/>
        </w:rPr>
      </w:pPr>
    </w:p>
    <w:p>
      <w:pPr>
        <w:ind w:left="3960"/>
        <w:spacing w:after="0"/>
        <w:tabs>
          <w:tab w:leader="none" w:pos="4720" w:val="left"/>
        </w:tabs>
        <w:rPr>
          <w:sz w:val="20"/>
          <w:szCs w:val="20"/>
          <w:color w:val="auto"/>
        </w:rPr>
      </w:pPr>
      <w:r>
        <w:rPr>
          <w:rFonts w:ascii="Times New Roman" w:cs="Times New Roman" w:eastAsia="Times New Roman" w:hAnsi="Times New Roman"/>
          <w:sz w:val="19"/>
          <w:szCs w:val="19"/>
          <w:color w:val="030303"/>
        </w:rPr>
        <w:t>Name:</w:t>
        <w:tab/>
        <w:t>Henry Ji</w:t>
      </w:r>
    </w:p>
    <w:p>
      <w:pPr>
        <w:spacing w:after="0" w:line="3" w:lineRule="exact"/>
        <w:rPr>
          <w:sz w:val="20"/>
          <w:szCs w:val="20"/>
          <w:color w:val="auto"/>
        </w:rPr>
      </w:pPr>
    </w:p>
    <w:p>
      <w:pPr>
        <w:jc w:val="center"/>
        <w:ind w:left="3600"/>
        <w:spacing w:after="0"/>
        <w:tabs>
          <w:tab w:leader="none" w:pos="360" w:val="left"/>
        </w:tabs>
        <w:rPr>
          <w:sz w:val="20"/>
          <w:szCs w:val="20"/>
          <w:color w:val="auto"/>
        </w:rPr>
      </w:pPr>
      <w:r>
        <w:rPr>
          <w:rFonts w:ascii="Times New Roman" w:cs="Times New Roman" w:eastAsia="Times New Roman" w:hAnsi="Times New Roman"/>
          <w:sz w:val="19"/>
          <w:szCs w:val="19"/>
          <w:color w:val="030303"/>
        </w:rPr>
        <w:t>Title:</w:t>
      </w:r>
      <w:r>
        <w:rPr>
          <w:sz w:val="20"/>
          <w:szCs w:val="20"/>
          <w:color w:val="auto"/>
        </w:rPr>
        <w:tab/>
      </w:r>
      <w:r>
        <w:rPr>
          <w:rFonts w:ascii="Times New Roman" w:cs="Times New Roman" w:eastAsia="Times New Roman" w:hAnsi="Times New Roman"/>
          <w:sz w:val="18"/>
          <w:szCs w:val="18"/>
          <w:color w:val="030303"/>
        </w:rPr>
        <w:t>CEO</w:t>
      </w:r>
    </w:p>
    <w:p>
      <w:pPr>
        <w:spacing w:after="0" w:line="19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030303"/>
        </w:rPr>
        <w:t>/s/ Stephen Ma</w:t>
      </w:r>
    </w:p>
    <w:p>
      <w:pPr>
        <w:spacing w:after="0" w:line="1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color w:val="030303"/>
        </w:rPr>
        <w:t>Stephen Ma</w:t>
      </w:r>
    </w:p>
    <w:p>
      <w:pPr>
        <w:ind w:left="3960"/>
        <w:spacing w:after="0"/>
        <w:rPr>
          <w:sz w:val="20"/>
          <w:szCs w:val="20"/>
          <w:color w:val="auto"/>
        </w:rPr>
      </w:pPr>
      <w:r>
        <w:rPr>
          <w:rFonts w:ascii="Times New Roman" w:cs="Times New Roman" w:eastAsia="Times New Roman" w:hAnsi="Times New Roman"/>
          <w:sz w:val="19"/>
          <w:szCs w:val="19"/>
          <w:color w:val="030303"/>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1018540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40"/>
          </w:cols>
          <w:pgMar w:left="1440" w:top="769" w:right="141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Letter"/>
      <w:start w:val="1"/>
    </w:lvl>
  </w:abstractNum>
  <w:abstractNum w:abstractNumId="2">
    <w:nsid w:val="25E45D32"/>
    <w:multiLevelType w:val="hybridMultilevel"/>
    <w:lvl w:ilvl="0">
      <w:lvlJc w:val="left"/>
      <w:lvlText w:val="(%1)"/>
      <w:numFmt w:val="lowerLetter"/>
      <w:start w:val="5"/>
    </w:lvl>
    <w:lvl w:ilvl="1">
      <w:lvlJc w:val="left"/>
      <w:lvlText w:val="(%2)"/>
      <w:numFmt w:val="lowerRoman"/>
      <w:start w:val="1"/>
    </w:lvl>
  </w:abstractNum>
  <w:abstractNum w:abstractNumId="3">
    <w:nsid w:val="519B500D"/>
    <w:multiLevelType w:val="hybridMultilevel"/>
    <w:lvl w:ilvl="0">
      <w:lvlJc w:val="left"/>
      <w:lvlText w:val="(%1)"/>
      <w:numFmt w:val="lowerLetter"/>
      <w:start w:val="14"/>
    </w:lvl>
  </w:abstractNum>
  <w:abstractNum w:abstractNumId="4">
    <w:nsid w:val="431BD7B7"/>
    <w:multiLevelType w:val="hybridMultilevel"/>
    <w:lvl w:ilvl="0">
      <w:lvlJc w:val="left"/>
      <w:lvlText w:val="(%1)"/>
      <w:numFmt w:val="lowerLetter"/>
      <w:start w:val="27"/>
    </w:lvl>
  </w:abstractNum>
  <w:abstractNum w:abstractNumId="5">
    <w:nsid w:val="3F2DBA31"/>
    <w:multiLevelType w:val="hybridMultilevel"/>
    <w:lvl w:ilvl="0">
      <w:lvlJc w:val="left"/>
      <w:lvlText w:val="(%1)"/>
      <w:numFmt w:val="lowerLetter"/>
      <w:start w:val="3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6"/>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9"/>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5"/>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3"/>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5"/>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7"/>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6"/>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4"/>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5"/>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2025-12-05T15:19:45Z</dcterms:created>
  <dcterms:modified xsi:type="dcterms:W3CDTF">2025-12-05T15:19:45Z</dcterms:modified>
</cp:coreProperties>
</file>