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1"/>
          <w:szCs w:val="11"/>
          <w:b w:val="1"/>
          <w:bCs w:val="1"/>
          <w:color w:val="auto"/>
        </w:rPr>
        <w:t>As filed with the U.S. Securities and Exchange Commission on June 2, 2026</w:t>
      </w:r>
    </w:p>
    <w:p>
      <w:pPr>
        <w:spacing w:after="0" w:line="3" w:lineRule="exact"/>
        <w:rPr>
          <w:sz w:val="24"/>
          <w:szCs w:val="24"/>
          <w:color w:val="auto"/>
        </w:rPr>
      </w:pPr>
    </w:p>
    <w:p>
      <w:pPr>
        <w:ind w:left="864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852805</wp:posOffset>
            </wp:positionH>
            <wp:positionV relativeFrom="paragraph">
              <wp:posOffset>50165</wp:posOffset>
            </wp:positionV>
            <wp:extent cx="54622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83820</wp:posOffset>
            </wp:positionV>
            <wp:extent cx="54622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pacing w:after="0" w:line="1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6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111760</wp:posOffset>
            </wp:positionV>
            <wp:extent cx="11512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125095</wp:posOffset>
            </wp:positionV>
            <wp:extent cx="11512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Scilex Holding Company</w:t>
      </w:r>
    </w:p>
    <w:p>
      <w:pPr>
        <w:spacing w:after="0" w:line="33"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110490</wp:posOffset>
            </wp:positionV>
            <wp:extent cx="11512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74" w:lineRule="exact"/>
        <w:rPr>
          <w:sz w:val="24"/>
          <w:szCs w:val="24"/>
          <w:color w:val="auto"/>
        </w:rPr>
      </w:pPr>
    </w:p>
    <w:tbl>
      <w:tblPr>
        <w:tblLayout w:type="fixed"/>
        <w:tblInd w:w="2160" w:type="dxa"/>
        <w:tblCellMar>
          <w:top w:w="0" w:type="dxa"/>
          <w:left w:w="0" w:type="dxa"/>
          <w:bottom w:w="0" w:type="dxa"/>
          <w:right w:w="0" w:type="dxa"/>
        </w:tblCellMar>
      </w:tblPr>
      <w:tr>
        <w:trPr>
          <w:trHeight w:val="166"/>
        </w:trPr>
        <w:tc>
          <w:tcPr>
            <w:tcW w:w="2080" w:type="dxa"/>
            <w:vAlign w:val="bottom"/>
          </w:tcPr>
          <w:p>
            <w:pPr>
              <w:jc w:val="center"/>
              <w:ind w:right="74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1720" w:type="dxa"/>
            <w:vAlign w:val="bottom"/>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92-1062542</w:t>
            </w:r>
          </w:p>
        </w:tc>
      </w:tr>
      <w:tr>
        <w:trPr>
          <w:trHeight w:val="114"/>
        </w:trPr>
        <w:tc>
          <w:tcPr>
            <w:tcW w:w="2080" w:type="dxa"/>
            <w:vAlign w:val="bottom"/>
          </w:tcPr>
          <w:p>
            <w:pPr>
              <w:jc w:val="center"/>
              <w:ind w:right="744"/>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304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720" w:type="dxa"/>
            <w:vAlign w:val="bottom"/>
          </w:tcPr>
          <w:p>
            <w:pPr>
              <w:jc w:val="center"/>
              <w:ind w:left="799"/>
              <w:spacing w:after="0" w:line="114"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2080" w:type="dxa"/>
            <w:vAlign w:val="bottom"/>
          </w:tcPr>
          <w:p>
            <w:pPr>
              <w:jc w:val="center"/>
              <w:ind w:right="744"/>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720" w:type="dxa"/>
            <w:vAlign w:val="bottom"/>
          </w:tcPr>
          <w:p>
            <w:pPr>
              <w:jc w:val="center"/>
              <w:ind w:left="7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105410</wp:posOffset>
            </wp:positionV>
            <wp:extent cx="11512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Scilex Holding Company</w:t>
      </w:r>
    </w:p>
    <w:p>
      <w:pPr>
        <w:jc w:val="center"/>
        <w:ind w:right="-1120"/>
        <w:spacing w:after="0" w:line="226" w:lineRule="auto"/>
        <w:rPr>
          <w:sz w:val="20"/>
          <w:szCs w:val="20"/>
          <w:color w:val="auto"/>
        </w:rPr>
      </w:pPr>
      <w:r>
        <w:rPr>
          <w:rFonts w:ascii="Times New Roman" w:cs="Times New Roman" w:eastAsia="Times New Roman" w:hAnsi="Times New Roman"/>
          <w:sz w:val="11"/>
          <w:szCs w:val="11"/>
          <w:b w:val="1"/>
          <w:bCs w:val="1"/>
          <w:color w:val="auto"/>
        </w:rPr>
        <w:t>960 San Antonio Road</w:t>
      </w:r>
    </w:p>
    <w:p>
      <w:pPr>
        <w:jc w:val="center"/>
        <w:ind w:right="-1120"/>
        <w:spacing w:after="0" w:line="224" w:lineRule="auto"/>
        <w:rPr>
          <w:sz w:val="20"/>
          <w:szCs w:val="20"/>
          <w:color w:val="auto"/>
        </w:rPr>
      </w:pPr>
      <w:r>
        <w:rPr>
          <w:rFonts w:ascii="Times New Roman" w:cs="Times New Roman" w:eastAsia="Times New Roman" w:hAnsi="Times New Roman"/>
          <w:sz w:val="11"/>
          <w:szCs w:val="11"/>
          <w:b w:val="1"/>
          <w:bCs w:val="1"/>
          <w:color w:val="auto"/>
        </w:rPr>
        <w:t>Palo Alto, CA 94303</w:t>
      </w:r>
    </w:p>
    <w:p>
      <w:pPr>
        <w:ind w:left="3240"/>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109855</wp:posOffset>
            </wp:positionV>
            <wp:extent cx="11512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Henry Ji, Ph.D.</w:t>
      </w:r>
    </w:p>
    <w:p>
      <w:pPr>
        <w:jc w:val="center"/>
        <w:ind w:right="-1120"/>
        <w:spacing w:after="0" w:line="226" w:lineRule="auto"/>
        <w:rPr>
          <w:sz w:val="20"/>
          <w:szCs w:val="20"/>
          <w:color w:val="auto"/>
        </w:rPr>
      </w:pPr>
      <w:r>
        <w:rPr>
          <w:rFonts w:ascii="Times New Roman" w:cs="Times New Roman" w:eastAsia="Times New Roman" w:hAnsi="Times New Roman"/>
          <w:sz w:val="11"/>
          <w:szCs w:val="11"/>
          <w:b w:val="1"/>
          <w:bCs w:val="1"/>
          <w:color w:val="auto"/>
        </w:rPr>
        <w:t>Chief Executive Officer &amp; President</w:t>
      </w:r>
    </w:p>
    <w:p>
      <w:pPr>
        <w:jc w:val="center"/>
        <w:ind w:right="-1120"/>
        <w:spacing w:after="0" w:line="220" w:lineRule="auto"/>
        <w:rPr>
          <w:sz w:val="20"/>
          <w:szCs w:val="20"/>
          <w:color w:val="auto"/>
        </w:rPr>
      </w:pPr>
      <w:r>
        <w:rPr>
          <w:rFonts w:ascii="Times New Roman" w:cs="Times New Roman" w:eastAsia="Times New Roman" w:hAnsi="Times New Roman"/>
          <w:sz w:val="11"/>
          <w:szCs w:val="11"/>
          <w:b w:val="1"/>
          <w:bCs w:val="1"/>
          <w:color w:val="auto"/>
        </w:rPr>
        <w:t>960 San Antonio Road</w:t>
      </w:r>
    </w:p>
    <w:p>
      <w:pPr>
        <w:jc w:val="center"/>
        <w:ind w:right="-1120"/>
        <w:spacing w:after="0" w:line="220" w:lineRule="auto"/>
        <w:rPr>
          <w:sz w:val="20"/>
          <w:szCs w:val="20"/>
          <w:color w:val="auto"/>
        </w:rPr>
      </w:pPr>
      <w:r>
        <w:rPr>
          <w:rFonts w:ascii="Times New Roman" w:cs="Times New Roman" w:eastAsia="Times New Roman" w:hAnsi="Times New Roman"/>
          <w:sz w:val="11"/>
          <w:szCs w:val="11"/>
          <w:b w:val="1"/>
          <w:bCs w:val="1"/>
          <w:color w:val="auto"/>
        </w:rPr>
        <w:t>Palo Alto, CA 94303</w:t>
      </w:r>
    </w:p>
    <w:p>
      <w:pPr>
        <w:jc w:val="center"/>
        <w:ind w:right="-1120"/>
        <w:spacing w:after="0" w:line="224" w:lineRule="auto"/>
        <w:rPr>
          <w:sz w:val="20"/>
          <w:szCs w:val="20"/>
          <w:color w:val="auto"/>
        </w:rPr>
      </w:pPr>
      <w:r>
        <w:rPr>
          <w:rFonts w:ascii="Times New Roman" w:cs="Times New Roman" w:eastAsia="Times New Roman" w:hAnsi="Times New Roman"/>
          <w:sz w:val="11"/>
          <w:szCs w:val="11"/>
          <w:b w:val="1"/>
          <w:bCs w:val="1"/>
          <w:color w:val="auto"/>
        </w:rPr>
        <w:t>(650) 516-4310</w:t>
      </w:r>
    </w:p>
    <w:p>
      <w:pPr>
        <w:ind w:left="3540"/>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116205</wp:posOffset>
            </wp:positionV>
            <wp:extent cx="11512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r>
        <w:rPr>
          <w:rFonts w:ascii="Times New Roman" w:cs="Times New Roman" w:eastAsia="Times New Roman" w:hAnsi="Times New Roman"/>
          <w:sz w:val="11"/>
          <w:szCs w:val="11"/>
          <w:b w:val="1"/>
          <w:bCs w:val="1"/>
          <w:color w:val="auto"/>
        </w:rPr>
        <w:t>:</w:t>
      </w:r>
    </w:p>
    <w:p>
      <w:pPr>
        <w:spacing w:after="0" w:line="15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1"/>
          <w:szCs w:val="11"/>
          <w:b w:val="1"/>
          <w:bCs w:val="1"/>
          <w:color w:val="auto"/>
        </w:rPr>
        <w:t>Jeffrey T. Hartlin, Esq. Elizabeth A. Razzano, Esq. Paul Hastings LLP 1117 S. California Avenue Palo Alto, CA 94304 (650) 320-1800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119380</wp:posOffset>
            </wp:positionV>
            <wp:extent cx="115125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4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w:t>
      </w:r>
      <w:r>
        <w:rPr>
          <w:rFonts w:ascii="Times New Roman" w:cs="Times New Roman" w:eastAsia="Times New Roman" w:hAnsi="Times New Roman"/>
          <w:sz w:val="11"/>
          <w:szCs w:val="11"/>
          <w:color w:val="auto"/>
        </w:rPr>
        <w:t>: From time to time after the effective date of this registration statement</w:t>
      </w:r>
    </w:p>
    <w:p>
      <w:pPr>
        <w:spacing w:after="0" w:line="60" w:lineRule="exact"/>
        <w:rPr>
          <w:sz w:val="24"/>
          <w:szCs w:val="24"/>
          <w:color w:val="auto"/>
        </w:rPr>
      </w:pPr>
    </w:p>
    <w:p>
      <w:pPr>
        <w:ind w:left="168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10" w:lineRule="exact"/>
        <w:rPr>
          <w:sz w:val="24"/>
          <w:szCs w:val="24"/>
          <w:color w:val="auto"/>
        </w:rPr>
      </w:pPr>
    </w:p>
    <w:p>
      <w:pPr>
        <w:jc w:val="both"/>
        <w:ind w:left="1340" w:right="439" w:firstLine="344"/>
        <w:spacing w:after="0" w:line="144"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50" w:lineRule="exact"/>
        <w:rPr>
          <w:sz w:val="24"/>
          <w:szCs w:val="24"/>
          <w:color w:val="auto"/>
        </w:rPr>
      </w:pPr>
    </w:p>
    <w:p>
      <w:pPr>
        <w:ind w:left="1340" w:right="659" w:firstLine="344"/>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0" w:lineRule="exact"/>
        <w:rPr>
          <w:sz w:val="24"/>
          <w:szCs w:val="24"/>
          <w:color w:val="auto"/>
        </w:rPr>
      </w:pPr>
    </w:p>
    <w:p>
      <w:pPr>
        <w:ind w:left="1340" w:right="299" w:firstLine="344"/>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0" w:lineRule="exact"/>
        <w:rPr>
          <w:sz w:val="24"/>
          <w:szCs w:val="24"/>
          <w:color w:val="auto"/>
        </w:rPr>
      </w:pPr>
    </w:p>
    <w:p>
      <w:pPr>
        <w:ind w:left="1340" w:right="219" w:firstLine="344"/>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50" w:lineRule="exact"/>
        <w:rPr>
          <w:sz w:val="24"/>
          <w:szCs w:val="24"/>
          <w:color w:val="auto"/>
        </w:rPr>
      </w:pPr>
    </w:p>
    <w:p>
      <w:pPr>
        <w:ind w:left="1340" w:right="339" w:firstLine="344"/>
        <w:spacing w:after="0" w:line="144"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50" w:lineRule="exact"/>
        <w:rPr>
          <w:sz w:val="24"/>
          <w:szCs w:val="24"/>
          <w:color w:val="auto"/>
        </w:rPr>
      </w:pPr>
    </w:p>
    <w:p>
      <w:pPr>
        <w:ind w:left="1340" w:right="219" w:firstLine="344"/>
        <w:spacing w:after="0" w:line="257"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1340" w:type="dxa"/>
        <w:tblCellMar>
          <w:top w:w="0" w:type="dxa"/>
          <w:left w:w="0" w:type="dxa"/>
          <w:bottom w:w="0" w:type="dxa"/>
          <w:right w:w="0" w:type="dxa"/>
        </w:tblCellMar>
      </w:tblPr>
      <w:tr>
        <w:trPr>
          <w:trHeight w:val="149"/>
        </w:trPr>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08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2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48"/>
        </w:trPr>
        <w:tc>
          <w:tcPr>
            <w:tcW w:w="110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080" w:type="dxa"/>
            <w:vAlign w:val="bottom"/>
          </w:tcPr>
          <w:p>
            <w:pPr>
              <w:ind w:left="100"/>
              <w:spacing w:after="0" w:line="111" w:lineRule="exact"/>
              <w:rPr>
                <w:sz w:val="20"/>
                <w:szCs w:val="20"/>
                <w:color w:val="auto"/>
              </w:rPr>
            </w:pPr>
            <w:r>
              <w:rPr>
                <w:rFonts w:ascii="MS PGothic" w:cs="MS PGothic" w:eastAsia="MS PGothic" w:hAnsi="MS PGothic"/>
                <w:sz w:val="11"/>
                <w:szCs w:val="11"/>
                <w:color w:val="auto"/>
              </w:rPr>
              <w:t>☒</w:t>
            </w:r>
          </w:p>
        </w:tc>
        <w:tc>
          <w:tcPr>
            <w:tcW w:w="42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8"/>
        </w:trPr>
        <w:tc>
          <w:tcPr>
            <w:tcW w:w="11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200" w:type="dxa"/>
            <w:vAlign w:val="bottom"/>
          </w:tcPr>
          <w:p>
            <w:pPr>
              <w:ind w:left="2860"/>
              <w:spacing w:after="0"/>
              <w:rPr>
                <w:sz w:val="20"/>
                <w:szCs w:val="20"/>
                <w:color w:val="auto"/>
              </w:rPr>
            </w:pPr>
            <w:r>
              <w:rPr>
                <w:rFonts w:ascii="Times New Roman" w:cs="Times New Roman" w:eastAsia="Times New Roman" w:hAnsi="Times New Roman"/>
                <w:sz w:val="11"/>
                <w:szCs w:val="11"/>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7" w:lineRule="exact"/>
        <w:rPr>
          <w:sz w:val="24"/>
          <w:szCs w:val="24"/>
          <w:color w:val="auto"/>
        </w:rPr>
      </w:pPr>
    </w:p>
    <w:p>
      <w:pPr>
        <w:ind w:left="1340" w:right="659" w:firstLine="344"/>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48" w:lineRule="exact"/>
        <w:rPr>
          <w:sz w:val="24"/>
          <w:szCs w:val="24"/>
          <w:color w:val="auto"/>
        </w:rPr>
      </w:pPr>
    </w:p>
    <w:p>
      <w:pPr>
        <w:jc w:val="both"/>
        <w:ind w:left="1340" w:right="439"/>
        <w:spacing w:after="0"/>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852805</wp:posOffset>
            </wp:positionH>
            <wp:positionV relativeFrom="paragraph">
              <wp:posOffset>59055</wp:posOffset>
            </wp:positionV>
            <wp:extent cx="54622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92710</wp:posOffset>
            </wp:positionV>
            <wp:extent cx="54622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8" w:lineRule="exact"/>
        <w:rPr>
          <w:sz w:val="20"/>
          <w:szCs w:val="20"/>
          <w:color w:val="auto"/>
        </w:rPr>
      </w:pPr>
    </w:p>
    <w:p>
      <w:pPr>
        <w:ind w:left="1340" w:right="219" w:firstLine="344"/>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Rule 429 under the Securities Act of 1933, as amended (the “Securities Act”), the prospectus included herein is a combined prospectus which relates to (i) the Registration Statement on Form S-1 (File No. </w:t>
      </w:r>
      <w:hyperlink r:id="rId20">
        <w:r>
          <w:rPr>
            <w:rFonts w:ascii="Times New Roman" w:cs="Times New Roman" w:eastAsia="Times New Roman" w:hAnsi="Times New Roman"/>
            <w:sz w:val="14"/>
            <w:szCs w:val="14"/>
            <w:u w:val="single" w:color="auto"/>
            <w:color w:val="0000EE"/>
          </w:rPr>
          <w:t>333-292157</w:t>
        </w:r>
      </w:hyperlink>
      <w:r>
        <w:rPr>
          <w:rFonts w:ascii="Times New Roman" w:cs="Times New Roman" w:eastAsia="Times New Roman" w:hAnsi="Times New Roman"/>
          <w:sz w:val="14"/>
          <w:szCs w:val="14"/>
          <w:color w:val="auto"/>
        </w:rPr>
        <w:t xml:space="preserve">) which was declared effective on December 29, 2025, (ii) the Post-Effective Amendment No. 1 to Registration Statement on Form S-1 (File No. </w:t>
      </w:r>
      <w:hyperlink r:id="rId21">
        <w:r>
          <w:rPr>
            <w:rFonts w:ascii="Times New Roman" w:cs="Times New Roman" w:eastAsia="Times New Roman" w:hAnsi="Times New Roman"/>
            <w:sz w:val="14"/>
            <w:szCs w:val="14"/>
            <w:u w:val="single" w:color="auto"/>
            <w:color w:val="0000EE"/>
          </w:rPr>
          <w:t>333-280882</w:t>
        </w:r>
      </w:hyperlink>
      <w:r>
        <w:rPr>
          <w:rFonts w:ascii="Times New Roman" w:cs="Times New Roman" w:eastAsia="Times New Roman" w:hAnsi="Times New Roman"/>
          <w:sz w:val="14"/>
          <w:szCs w:val="14"/>
          <w:color w:val="auto"/>
        </w:rPr>
        <w:t xml:space="preserve">) which was declared effective on May 13, 2025, (iii) the Post-Effective Amendment No. 3 to Registration Statement on Form S-1 (File No. </w:t>
      </w:r>
      <w:hyperlink r:id="rId22">
        <w:r>
          <w:rPr>
            <w:rFonts w:ascii="Times New Roman" w:cs="Times New Roman" w:eastAsia="Times New Roman" w:hAnsi="Times New Roman"/>
            <w:sz w:val="14"/>
            <w:szCs w:val="14"/>
            <w:u w:val="single" w:color="auto"/>
            <w:color w:val="0000EE"/>
          </w:rPr>
          <w:t>333-268603</w:t>
        </w:r>
      </w:hyperlink>
      <w:r>
        <w:rPr>
          <w:rFonts w:ascii="Times New Roman" w:cs="Times New Roman" w:eastAsia="Times New Roman" w:hAnsi="Times New Roman"/>
          <w:sz w:val="14"/>
          <w:szCs w:val="14"/>
          <w:color w:val="auto"/>
        </w:rPr>
        <w:t>) which was declared effective on May 13, 2025 ((i)-(iii) collectively, the “Prior Registration Statements”), and (iv) the registration of an aggregate of an additional 100,000 shares of common stock of the Company, par value $0.0001 per share (the “Common Stock”), to be offered and sold from time to time by the selling securityholder identified herein upon exercise of such selling securityholder’s February 2026 Warrant (as defined below).</w:t>
      </w:r>
    </w:p>
    <w:p>
      <w:pPr>
        <w:spacing w:after="0" w:line="147" w:lineRule="exact"/>
        <w:rPr>
          <w:rFonts w:ascii="Times New Roman" w:cs="Times New Roman" w:eastAsia="Times New Roman" w:hAnsi="Times New Roman"/>
          <w:sz w:val="14"/>
          <w:szCs w:val="14"/>
          <w:color w:val="auto"/>
        </w:rPr>
      </w:pPr>
    </w:p>
    <w:p>
      <w:pPr>
        <w:ind w:left="1340" w:right="519"/>
        <w:spacing w:after="0" w:line="268" w:lineRule="auto"/>
        <w:rPr>
          <w:sz w:val="20"/>
          <w:szCs w:val="20"/>
          <w:color w:val="auto"/>
        </w:rPr>
      </w:pPr>
      <w:r>
        <w:rPr>
          <w:rFonts w:ascii="Times New Roman" w:cs="Times New Roman" w:eastAsia="Times New Roman" w:hAnsi="Times New Roman"/>
          <w:sz w:val="14"/>
          <w:szCs w:val="14"/>
          <w:color w:val="auto"/>
        </w:rPr>
        <w:t>Pursuant to Rule 429 under the Securities Act, this registration statement also constitutes a post-effective amendment to the Prior Registration Statements, and such post-effective amendment shall hereafter become effective concurrently with the effectiveness of this registration statement in accordance with Section 8(c) of the Securities Act.</w:t>
      </w:r>
    </w:p>
    <w:p>
      <w:pPr>
        <w:sectPr>
          <w:pgSz w:w="11900" w:h="16838" w:orient="portrait"/>
          <w:cols w:equalWidth="0" w:num="1">
            <w:col w:w="1015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1340" w:type="dxa"/>
        <w:tblCellMar>
          <w:top w:w="0" w:type="dxa"/>
          <w:left w:w="0" w:type="dxa"/>
          <w:bottom w:w="0" w:type="dxa"/>
          <w:right w:w="0" w:type="dxa"/>
        </w:tblCellMar>
      </w:tblPr>
      <w:tr>
        <w:trPr>
          <w:trHeight w:val="1859"/>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until the registration statement</w:t>
            </w:r>
          </w:p>
        </w:tc>
        <w:tc>
          <w:tcPr>
            <w:tcW w:w="300" w:type="dxa"/>
            <w:vAlign w:val="bottom"/>
            <w:textDirection w:val="btLr"/>
          </w:tcPr>
          <w:p>
            <w:pPr>
              <w:ind w:left="19"/>
              <w:spacing w:after="0"/>
              <w:rPr>
                <w:sz w:val="20"/>
                <w:szCs w:val="20"/>
                <w:color w:val="auto"/>
              </w:rPr>
            </w:pPr>
            <w:r>
              <w:rPr>
                <w:rFonts w:ascii="Times New Roman" w:cs="Times New Roman" w:eastAsia="Times New Roman" w:hAnsi="Times New Roman"/>
                <w:sz w:val="14"/>
                <w:szCs w:val="14"/>
                <w:b w:val="1"/>
                <w:bCs w:val="1"/>
                <w:color w:val="FF4338"/>
              </w:rPr>
              <w:t>these securities and it is not</w:t>
            </w:r>
          </w:p>
        </w:tc>
      </w:tr>
      <w:tr>
        <w:trPr>
          <w:trHeight w:val="691"/>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not be sold</w:t>
            </w:r>
          </w:p>
        </w:tc>
        <w:tc>
          <w:tcPr>
            <w:tcW w:w="300" w:type="dxa"/>
            <w:vAlign w:val="bottom"/>
            <w:textDirection w:val="btLr"/>
          </w:tcPr>
          <w:p>
            <w:pPr>
              <w:ind w:left="19"/>
              <w:spacing w:after="0"/>
              <w:rPr>
                <w:sz w:val="20"/>
                <w:szCs w:val="20"/>
                <w:color w:val="auto"/>
              </w:rPr>
            </w:pPr>
            <w:r>
              <w:rPr>
                <w:rFonts w:ascii="Times New Roman" w:cs="Times New Roman" w:eastAsia="Times New Roman" w:hAnsi="Times New Roman"/>
                <w:sz w:val="14"/>
                <w:szCs w:val="14"/>
                <w:b w:val="1"/>
                <w:bCs w:val="1"/>
                <w:color w:val="FF4338"/>
                <w:w w:val="98"/>
              </w:rPr>
              <w:t>offer to sell</w:t>
            </w:r>
          </w:p>
        </w:tc>
      </w:tr>
      <w:tr>
        <w:trPr>
          <w:trHeight w:val="6360"/>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The information in this preliminary prospectus is not complete and may be changed. These securities may</w:t>
            </w:r>
          </w:p>
        </w:tc>
        <w:tc>
          <w:tcPr>
            <w:tcW w:w="300" w:type="dxa"/>
            <w:vAlign w:val="bottom"/>
            <w:textDirection w:val="btLr"/>
          </w:tcPr>
          <w:p>
            <w:pPr>
              <w:ind w:left="185"/>
              <w:spacing w:after="0"/>
              <w:rPr>
                <w:sz w:val="20"/>
                <w:szCs w:val="20"/>
                <w:color w:val="auto"/>
              </w:rPr>
            </w:pPr>
            <w:r>
              <w:rPr>
                <w:rFonts w:ascii="Times New Roman" w:cs="Times New Roman" w:eastAsia="Times New Roman" w:hAnsi="Times New Roman"/>
                <w:sz w:val="10"/>
                <w:szCs w:val="10"/>
                <w:b w:val="1"/>
                <w:bCs w:val="1"/>
                <w:color w:val="FF4338"/>
                <w:w w:val="76"/>
              </w:rPr>
              <w:t>filed with the U.S. Securities and Exchange Commission is effective. This preliminary prospectus is not ansolicitinganoffertobuythesesecuritiesinanyjurisdictionwheretheofferorsaleisnotpermitted.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FF4338"/>
        </w:rPr>
        <w:t>SUBJECT TO COMPLETION,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-593090</wp:posOffset>
            </wp:positionV>
            <wp:extent cx="720090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15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34"/>
          <w:szCs w:val="34"/>
          <w:b w:val="1"/>
          <w:bCs w:val="1"/>
          <w:color w:val="auto"/>
        </w:rPr>
        <w:t>SCILEX HOLDING COMPANY</w:t>
      </w:r>
    </w:p>
    <w:p>
      <w:pPr>
        <w:spacing w:after="0" w:line="185" w:lineRule="exact"/>
        <w:rPr>
          <w:sz w:val="20"/>
          <w:szCs w:val="20"/>
          <w:color w:val="auto"/>
        </w:rPr>
      </w:pPr>
    </w:p>
    <w:p>
      <w:pPr>
        <w:jc w:val="center"/>
        <w:ind w:left="260" w:right="899"/>
        <w:spacing w:after="0" w:line="434" w:lineRule="auto"/>
        <w:rPr>
          <w:sz w:val="20"/>
          <w:szCs w:val="20"/>
          <w:color w:val="auto"/>
        </w:rPr>
      </w:pPr>
      <w:r>
        <w:rPr>
          <w:rFonts w:ascii="Times New Roman" w:cs="Times New Roman" w:eastAsia="Times New Roman" w:hAnsi="Times New Roman"/>
          <w:sz w:val="20"/>
          <w:szCs w:val="20"/>
          <w:b w:val="1"/>
          <w:bCs w:val="1"/>
          <w:color w:val="auto"/>
        </w:rPr>
        <w:t>Up to 2,083,067 Shares of Common Stock Up to 6,581,004 Shares of Common Stock Offered by the Selling Securityholders Up to 490,617 Warrants Offered by the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52070</wp:posOffset>
            </wp:positionV>
            <wp:extent cx="9639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63930" cy="6985"/>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This prospectus relates to the issuance by us of up to an aggregate of 2,083,067 shares of Common Stock (the “Primary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issuable as follows:</w:t>
      </w:r>
    </w:p>
    <w:p>
      <w:pPr>
        <w:spacing w:after="0" w:line="88" w:lineRule="exact"/>
        <w:rPr>
          <w:sz w:val="20"/>
          <w:szCs w:val="20"/>
          <w:color w:val="auto"/>
        </w:rPr>
      </w:pPr>
    </w:p>
    <w:p>
      <w:pPr>
        <w:jc w:val="both"/>
        <w:ind w:left="640" w:right="899" w:hanging="358"/>
        <w:spacing w:after="0" w:line="256" w:lineRule="auto"/>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122,132 shares of Common Stock issuable upon exercise of the warrants to purchase shares of Common Stock issued in an underwritten offering consummated in March 2024, consisting of (a) 108,686 shares having an exercise price of $59.50 per share (the “February 2024 BDO Firm Warrants”) and (b) 13,446 shares issued to the underwriter for such offering having an exercise price of $74.38 per share (the “February 2024 BDO Representative Warrants” and</w:t>
      </w:r>
    </w:p>
    <w:p>
      <w:pPr>
        <w:spacing w:after="0" w:line="2" w:lineRule="exact"/>
        <w:rPr>
          <w:rFonts w:ascii="Times New Roman" w:cs="Times New Roman" w:eastAsia="Times New Roman" w:hAnsi="Times New Roman"/>
          <w:sz w:val="14"/>
          <w:szCs w:val="14"/>
          <w:color w:val="auto"/>
        </w:rPr>
      </w:pP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and (b) collectively, the “February 2024 BDO Warrants”);</w:t>
      </w:r>
    </w:p>
    <w:p>
      <w:pPr>
        <w:spacing w:after="0" w:line="88" w:lineRule="exact"/>
        <w:rPr>
          <w:sz w:val="20"/>
          <w:szCs w:val="20"/>
          <w:color w:val="auto"/>
        </w:rPr>
      </w:pPr>
    </w:p>
    <w:p>
      <w:pPr>
        <w:ind w:left="640" w:right="1119" w:hanging="358"/>
        <w:spacing w:after="0" w:line="284"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34,286 shares issued to the placement agents in a registered direct offering consummated in April 2024 having an exercise price of $43.75 per share (the “April 2024 RDO Placement Agent Warrants”);</w:t>
      </w:r>
    </w:p>
    <w:p>
      <w:pPr>
        <w:spacing w:after="0" w:line="51" w:lineRule="exact"/>
        <w:rPr>
          <w:rFonts w:ascii="Times New Roman" w:cs="Times New Roman" w:eastAsia="Times New Roman" w:hAnsi="Times New Roman"/>
          <w:sz w:val="14"/>
          <w:szCs w:val="14"/>
          <w:color w:val="auto"/>
        </w:rPr>
      </w:pPr>
    </w:p>
    <w:p>
      <w:pPr>
        <w:jc w:val="both"/>
        <w:ind w:left="640" w:right="899" w:hanging="358"/>
        <w:spacing w:after="0" w:line="268"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211,990 shares of Common Stock issuable upon exercise of the warrants to purchase shares of Common Stock issued pursuant to a securities purchase agreement (the “Tranche B Securities Purchase Agreement”), dated as of October 7, 2024, having a current exercise price of $36.40 per share (collectively, the “October 2024 Warrants”);</w:t>
      </w:r>
    </w:p>
    <w:p>
      <w:pPr>
        <w:spacing w:after="0" w:line="61" w:lineRule="exact"/>
        <w:rPr>
          <w:rFonts w:ascii="Times New Roman" w:cs="Times New Roman" w:eastAsia="Times New Roman" w:hAnsi="Times New Roman"/>
          <w:sz w:val="14"/>
          <w:szCs w:val="14"/>
          <w:color w:val="auto"/>
        </w:rPr>
      </w:pPr>
    </w:p>
    <w:p>
      <w:pPr>
        <w:ind w:left="640" w:right="899" w:hanging="358"/>
        <w:spacing w:after="0" w:line="258"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668,770 shares of Common Stock issuable upon exercise of the warrants to purchase shares of Common Stock issued in a registered direct offering consummated in December 2024 (the “December RDO”), consisting of (a) 537,298 shares having an exercise price of $22.72 per share (the “December 2024 RDO Common Warrants”) and (b) 131,472 shares having an exercise price of $25.81 per share (the “StockBlock Warrants”) ((a) and (b) collectively, the “December 2024 Warrants” and together with the February 2024 BDO Warrants, the April 2024 RDO Placement Agent Warrants, and the October 2024 Warrants, the “2024 Warrants”);</w:t>
      </w:r>
    </w:p>
    <w:p>
      <w:pPr>
        <w:spacing w:after="0" w:line="68" w:lineRule="exact"/>
        <w:rPr>
          <w:rFonts w:ascii="Times New Roman" w:cs="Times New Roman" w:eastAsia="Times New Roman" w:hAnsi="Times New Roman"/>
          <w:sz w:val="14"/>
          <w:szCs w:val="14"/>
          <w:color w:val="auto"/>
        </w:rPr>
      </w:pPr>
    </w:p>
    <w:p>
      <w:pPr>
        <w:ind w:left="640" w:right="899" w:hanging="358"/>
        <w:spacing w:after="0" w:line="262"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198,807 shares of Common Stock issuable upon exercise of the warrants to purchase shares of Common Stock issued in our initial public offering (the “Public Warrants”) and a private placement concurrent therewith (the “Private Warrants” and together with the Public Warrants, the “SPAC Warrants”) having an exercise price of $402.50 per share;</w:t>
      </w:r>
    </w:p>
    <w:p>
      <w:pPr>
        <w:spacing w:after="0" w:line="66" w:lineRule="exact"/>
        <w:rPr>
          <w:rFonts w:ascii="Times New Roman" w:cs="Times New Roman" w:eastAsia="Times New Roman" w:hAnsi="Times New Roman"/>
          <w:sz w:val="14"/>
          <w:szCs w:val="14"/>
          <w:color w:val="auto"/>
        </w:rPr>
      </w:pPr>
    </w:p>
    <w:p>
      <w:pPr>
        <w:ind w:left="640" w:right="899" w:hanging="358"/>
        <w:spacing w:after="0" w:line="259"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 shares of Common Stock issuable upon exercise of the warrants to purchase shares of Common Stock issued pursuant to the warrant exchange agreements (each, a “Warrant Exchange Agreement” and collectively, the “Warrant Exchange Agreements”) dated as of July 22, 2025 with certain then-holders of October 2024 Warrants in exchange for the surrender of certain October 2024 Warrants that were exercisable for 107,142 shares of Common Stock in July 2025 (the “Exchange Warrants”) having an exercise price of $40.00 per share; and</w:t>
      </w:r>
    </w:p>
    <w:p>
      <w:pPr>
        <w:spacing w:after="0" w:line="69" w:lineRule="exact"/>
        <w:rPr>
          <w:rFonts w:ascii="Times New Roman" w:cs="Times New Roman" w:eastAsia="Times New Roman" w:hAnsi="Times New Roman"/>
          <w:sz w:val="14"/>
          <w:szCs w:val="14"/>
          <w:color w:val="auto"/>
        </w:rPr>
      </w:pPr>
    </w:p>
    <w:p>
      <w:pPr>
        <w:ind w:left="640" w:right="939" w:hanging="358"/>
        <w:spacing w:after="0" w:line="268" w:lineRule="auto"/>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347,082 shares of Common Stock issuable upon conversion of the outstanding senior convertible note issued pursuant to the Tranche B Securities Purchase Agreement, having a current conversion price of $36.40 per share (the “Tranche B Note”).</w:t>
      </w:r>
    </w:p>
    <w:p>
      <w:pPr>
        <w:spacing w:after="0" w:line="135" w:lineRule="exact"/>
        <w:rPr>
          <w:sz w:val="20"/>
          <w:szCs w:val="20"/>
          <w:color w:val="auto"/>
        </w:rPr>
      </w:pPr>
    </w:p>
    <w:p>
      <w:pPr>
        <w:ind w:right="1279" w:firstLine="290"/>
        <w:spacing w:after="0" w:line="268"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named in this prospectus (including their permitted transferees, donees, pledgees and other successors-in-interest) (collectively, the “Selling Securityholders”) of up to an aggregate of 6,581,004 shares (the “Resale Shares” and together with</w:t>
      </w:r>
    </w:p>
    <w:p>
      <w:pPr>
        <w:sectPr>
          <w:pgSz w:w="11900" w:h="16838" w:orient="portrait"/>
          <w:cols w:equalWidth="0" w:num="2">
            <w:col w:w="1800" w:space="220"/>
            <w:col w:w="813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19"/>
        <w:spacing w:after="0" w:line="284" w:lineRule="auto"/>
        <w:rPr>
          <w:sz w:val="20"/>
          <w:szCs w:val="20"/>
          <w:color w:val="auto"/>
        </w:rPr>
      </w:pPr>
      <w:r>
        <w:rPr>
          <w:rFonts w:ascii="Times New Roman" w:cs="Times New Roman" w:eastAsia="Times New Roman" w:hAnsi="Times New Roman"/>
          <w:sz w:val="14"/>
          <w:szCs w:val="14"/>
          <w:color w:val="auto"/>
        </w:rPr>
        <w:t>the Primary Shares, the “Shares”) of our Common Stock and 490,617 Private Warrants (the “Resale Warrants” and together with the Resale Shares, the “Resale Securities”) as follows:</w:t>
      </w:r>
    </w:p>
    <w:p>
      <w:pPr>
        <w:spacing w:after="0" w:line="51" w:lineRule="exact"/>
        <w:rPr>
          <w:sz w:val="20"/>
          <w:szCs w:val="20"/>
          <w:color w:val="auto"/>
        </w:rPr>
      </w:pPr>
    </w:p>
    <w:p>
      <w:pPr>
        <w:ind w:left="2180" w:right="439" w:hanging="500"/>
        <w:spacing w:after="0" w:line="268"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3,250,000 shares of Common Stock issuable upon exercise of a warrant (the “Deposit Warrant”) to purchase 3,250,000 shares of Common Stock issued by us pursuant to a Commitment Side Letter, dated June 11, 2024 between us and the Selling Securityholder named therein (the “Commitment Letter”), having an exercise price of $1.20 per share;</w:t>
      </w:r>
    </w:p>
    <w:p>
      <w:pPr>
        <w:spacing w:after="0" w:line="61" w:lineRule="exact"/>
        <w:rPr>
          <w:rFonts w:ascii="Times New Roman" w:cs="Times New Roman" w:eastAsia="Times New Roman" w:hAnsi="Times New Roman"/>
          <w:sz w:val="14"/>
          <w:szCs w:val="14"/>
          <w:color w:val="auto"/>
        </w:rPr>
      </w:pPr>
    </w:p>
    <w:p>
      <w:pPr>
        <w:ind w:left="2180" w:right="319" w:hanging="500"/>
        <w:spacing w:after="0" w:line="262"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1,513,040 shares of Common Stock (the “Merger Shares”) originally issued to Sorrento on November 10, 2022 in connection with the Scilex Business Combination at an equity consideration value of $350.00 per share, of which 1,458,263 shares were subsequently transferred to and are held by SCLX Stock Acquisition JV, our wholly owned subsidiary (“SCLX JV”), and 54,777 shares are held by Sorrento in abeyance for the benefit of certain holders of warrants to purchase shares of common stock of Sorrento;</w:t>
      </w:r>
    </w:p>
    <w:p>
      <w:pPr>
        <w:spacing w:after="0" w:line="66" w:lineRule="exact"/>
        <w:rPr>
          <w:rFonts w:ascii="Times New Roman" w:cs="Times New Roman" w:eastAsia="Times New Roman" w:hAnsi="Times New Roman"/>
          <w:sz w:val="14"/>
          <w:szCs w:val="14"/>
          <w:color w:val="auto"/>
        </w:rPr>
      </w:pPr>
    </w:p>
    <w:p>
      <w:pPr>
        <w:ind w:left="2180" w:hanging="500"/>
        <w:spacing w:after="0"/>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14,018 shares of Common Stock issuable upon the exercise of the Private Warrants at an exercise price of $402.50 per whole share;</w:t>
      </w:r>
    </w:p>
    <w:p>
      <w:pPr>
        <w:spacing w:after="0" w:line="102" w:lineRule="exact"/>
        <w:rPr>
          <w:rFonts w:ascii="Times New Roman" w:cs="Times New Roman" w:eastAsia="Times New Roman" w:hAnsi="Times New Roman"/>
          <w:sz w:val="14"/>
          <w:szCs w:val="14"/>
          <w:color w:val="auto"/>
        </w:rPr>
      </w:pPr>
    </w:p>
    <w:p>
      <w:pPr>
        <w:ind w:left="2180" w:right="319" w:hanging="500"/>
        <w:spacing w:after="0" w:line="268"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275,000 shares of Common Stock issuable upon the exercise of warrants to purchase up to an aggregate of 275,000 shares of Common Stock that were issued on September 30, 2025, having an exercise price of $20.00 per share (the “September 2025 Warrants”), issued pursuant to the Warrant Exercise Agreement, dated September 30, 2025 (the “Warrant Exercise Agreement”);</w:t>
      </w:r>
    </w:p>
    <w:p>
      <w:pPr>
        <w:spacing w:after="0" w:line="61" w:lineRule="exact"/>
        <w:rPr>
          <w:rFonts w:ascii="Times New Roman" w:cs="Times New Roman" w:eastAsia="Times New Roman" w:hAnsi="Times New Roman"/>
          <w:sz w:val="14"/>
          <w:szCs w:val="14"/>
          <w:color w:val="auto"/>
        </w:rPr>
      </w:pPr>
    </w:p>
    <w:p>
      <w:pPr>
        <w:jc w:val="both"/>
        <w:ind w:left="2180" w:right="339" w:hanging="500"/>
        <w:spacing w:after="0" w:line="268"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1,356,594 shares of Common Stock issuable upon exercise of a warrant to purchase shares of Common Stock issued in November 2025 (the “November 2025 Investor Warrant”) having an exercise price of $29.00 per share, issued pursuant to the Warrant Inducement Agreement, dated as of November 25, 2025 (the “Warrant Inducement Agreement”);</w:t>
      </w:r>
    </w:p>
    <w:p>
      <w:pPr>
        <w:spacing w:after="0" w:line="61" w:lineRule="exact"/>
        <w:rPr>
          <w:rFonts w:ascii="Times New Roman" w:cs="Times New Roman" w:eastAsia="Times New Roman" w:hAnsi="Times New Roman"/>
          <w:sz w:val="14"/>
          <w:szCs w:val="14"/>
          <w:color w:val="auto"/>
        </w:rPr>
      </w:pPr>
    </w:p>
    <w:p>
      <w:pPr>
        <w:ind w:left="2180" w:right="319" w:hanging="500"/>
        <w:spacing w:after="0" w:line="268"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72,352 shares of Common Stock issuable upon exercise of a warrant to purchase shares of Common Stock issued to the placement agent in connection with the November 2025 Investor Warrant issuance, having an exercise price of $29.00 per share (the “November 2025 Placement Agent Warrants” and together with the November 2025 Investor Warrant, the “November 2025 Warrants”);</w:t>
      </w:r>
    </w:p>
    <w:p>
      <w:pPr>
        <w:spacing w:after="0" w:line="61" w:lineRule="exact"/>
        <w:rPr>
          <w:rFonts w:ascii="Times New Roman" w:cs="Times New Roman" w:eastAsia="Times New Roman" w:hAnsi="Times New Roman"/>
          <w:sz w:val="14"/>
          <w:szCs w:val="14"/>
          <w:color w:val="auto"/>
        </w:rPr>
      </w:pPr>
    </w:p>
    <w:p>
      <w:pPr>
        <w:ind w:left="2180" w:right="319" w:hanging="500"/>
        <w:spacing w:after="0" w:line="262"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100,000 shares of Common Stock issuable upon exercise of a warrant to purchase shares of Common Stock issued pursuant to the Warrant Agreement, dated as of February 19, 2026, having an exercise price of $20.00 per share (the “Oramed Warrant Agreement” and such warrant, the “February 2026 Warrant” and together with the November 2025 Warrants, the 2024 Warrants, Exchange Warrants, SPAC Warrants and September 2025 Warrants, the “Warrants”); and</w:t>
      </w:r>
    </w:p>
    <w:p>
      <w:pPr>
        <w:spacing w:after="0" w:line="66" w:lineRule="exact"/>
        <w:rPr>
          <w:rFonts w:ascii="Times New Roman" w:cs="Times New Roman" w:eastAsia="Times New Roman" w:hAnsi="Times New Roman"/>
          <w:sz w:val="14"/>
          <w:szCs w:val="14"/>
          <w:color w:val="auto"/>
        </w:rPr>
      </w:pPr>
    </w:p>
    <w:p>
      <w:pPr>
        <w:ind w:left="2180" w:right="279" w:hanging="500"/>
        <w:spacing w:after="0" w:line="284" w:lineRule="auto"/>
        <w:tabs>
          <w:tab w:leader="none" w:pos="21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490,617 Private Warrants, currently exercisable for 14,018 shares of Common Stock, having an exercise price of $402.50 per share (which were originally issued at a price of $0.75 per Private Warrant).</w:t>
      </w:r>
    </w:p>
    <w:p>
      <w:pPr>
        <w:spacing w:after="0" w:line="125"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Our registration of the Resale Securities covered by this prospectus does not mean that the Selling Securityholders will offer or sell any of the Resale Securities. The Selling Securityholders may sell the Resale Securities covered by this prospectus in a number of different ways and at varying prices. For additional information on the possible methods of sale that may be used by the Selling Securityholders, you should refer to the section of this prospectus entitled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beginning on page 24 of this prospectus.</w:t>
      </w:r>
    </w:p>
    <w:p>
      <w:pPr>
        <w:spacing w:after="0" w:line="140" w:lineRule="exact"/>
        <w:rPr>
          <w:sz w:val="20"/>
          <w:szCs w:val="20"/>
          <w:color w:val="auto"/>
        </w:rPr>
      </w:pPr>
    </w:p>
    <w:p>
      <w:pPr>
        <w:ind w:left="1340" w:right="679" w:firstLine="344"/>
        <w:spacing w:after="0" w:line="284" w:lineRule="auto"/>
        <w:rPr>
          <w:sz w:val="20"/>
          <w:szCs w:val="20"/>
          <w:color w:val="auto"/>
        </w:rPr>
      </w:pPr>
      <w:r>
        <w:rPr>
          <w:rFonts w:ascii="Times New Roman" w:cs="Times New Roman" w:eastAsia="Times New Roman" w:hAnsi="Times New Roman"/>
          <w:sz w:val="14"/>
          <w:szCs w:val="14"/>
          <w:color w:val="auto"/>
        </w:rPr>
        <w:t>We will not receive any of the proceeds from the securities sold by the Selling Securityholders. We will receive the proceeds from the cash exercise of any Warrants.</w:t>
      </w:r>
    </w:p>
    <w:p>
      <w:pPr>
        <w:spacing w:after="0" w:line="125" w:lineRule="exact"/>
        <w:rPr>
          <w:sz w:val="20"/>
          <w:szCs w:val="20"/>
          <w:color w:val="auto"/>
        </w:rPr>
      </w:pPr>
    </w:p>
    <w:p>
      <w:pPr>
        <w:ind w:left="1340" w:right="219" w:firstLine="344"/>
        <w:spacing w:after="0" w:line="262" w:lineRule="auto"/>
        <w:rPr>
          <w:sz w:val="20"/>
          <w:szCs w:val="20"/>
          <w:color w:val="auto"/>
        </w:rPr>
      </w:pPr>
      <w:r>
        <w:rPr>
          <w:rFonts w:ascii="Times New Roman" w:cs="Times New Roman" w:eastAsia="Times New Roman" w:hAnsi="Times New Roman"/>
          <w:sz w:val="14"/>
          <w:szCs w:val="14"/>
          <w:color w:val="auto"/>
        </w:rPr>
        <w:t>No underwriter or other person has been engaged to facilitate the sale of the securities in this offering. The Selling Securityholders may be deemed underwriters of the Resale Securities that they are offering pursuant to this prospectus. We will bear all costs, expenses and fees in connection with the registration of the Resale Securities and Primary Shares. The Selling Securityholders will bear all commissions and discounts, if any, attributable to their respective sales of the Resale Securities.</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both"/>
        <w:ind w:left="1340" w:right="319" w:firstLine="344"/>
        <w:spacing w:after="0" w:line="268"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“SCLX”. On June 1, 2026, the last reported sales price per share of our Common Stock was $7.99. Our SPAC Warrants are listed on the Nasdaq Capital Market under the symbol “SCLXW.” On June 1, 2026, the closing sale price per warrant of our SPAC Warrants was $0.14.</w:t>
      </w:r>
    </w:p>
    <w:p>
      <w:pPr>
        <w:spacing w:after="0" w:line="135" w:lineRule="exact"/>
        <w:rPr>
          <w:sz w:val="20"/>
          <w:szCs w:val="20"/>
          <w:color w:val="auto"/>
        </w:rPr>
      </w:pPr>
    </w:p>
    <w:p>
      <w:pPr>
        <w:jc w:val="both"/>
        <w:ind w:left="1340" w:right="239" w:firstLine="344"/>
        <w:spacing w:after="0" w:line="268" w:lineRule="auto"/>
        <w:rPr>
          <w:sz w:val="20"/>
          <w:szCs w:val="20"/>
          <w:color w:val="auto"/>
        </w:rPr>
      </w:pPr>
      <w:r>
        <w:rPr>
          <w:rFonts w:ascii="Times New Roman" w:cs="Times New Roman" w:eastAsia="Times New Roman" w:hAnsi="Times New Roman"/>
          <w:sz w:val="14"/>
          <w:szCs w:val="14"/>
          <w:color w:val="auto"/>
        </w:rPr>
        <w:t>We are an “emerging growth company” as that term is used in the Jumpstart Our Business Startups Act of 2012 (the “JOBS Act”) and, as such, we have elected to comply with certain reduced public company reporting requirements for this prospectus and future filings with the SEC. See “</w:t>
      </w:r>
      <w:r>
        <w:rPr>
          <w:rFonts w:ascii="Times New Roman" w:cs="Times New Roman" w:eastAsia="Times New Roman" w:hAnsi="Times New Roman"/>
          <w:sz w:val="14"/>
          <w:szCs w:val="14"/>
          <w:i w:val="1"/>
          <w:iCs w:val="1"/>
          <w:color w:val="auto"/>
        </w:rPr>
        <w:t>Prospectus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Summary — Emerging Growth Company.</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340" w:right="699" w:firstLine="344"/>
        <w:spacing w:after="0" w:line="268" w:lineRule="auto"/>
        <w:rPr>
          <w:sz w:val="20"/>
          <w:szCs w:val="20"/>
          <w:color w:val="auto"/>
        </w:rPr>
      </w:pPr>
      <w:r>
        <w:rPr>
          <w:rFonts w:ascii="Times New Roman" w:cs="Times New Roman" w:eastAsia="Times New Roman" w:hAnsi="Times New Roman"/>
          <w:sz w:val="14"/>
          <w:szCs w:val="14"/>
          <w:color w:val="auto"/>
        </w:rPr>
        <w:t>We may amend or supplement this prospectus from time to time by filing amendments or supplements as required. You should read this prospectus, together with additional information described under the heading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any amendments or supplements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161925</wp:posOffset>
            </wp:positionV>
            <wp:extent cx="115125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390" w:lineRule="exact"/>
        <w:rPr>
          <w:sz w:val="20"/>
          <w:szCs w:val="20"/>
          <w:color w:val="auto"/>
        </w:rPr>
      </w:pPr>
    </w:p>
    <w:p>
      <w:pPr>
        <w:ind w:left="1340" w:right="279" w:firstLine="344"/>
        <w:spacing w:after="0" w:line="243"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substantial risks. You should review carefully the risks and uncertainties described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16 of this prospectus and under similar headings in any amendment or supplements to this prospectus and in the documents that are incorporated by reference into this prospectus.</w:t>
      </w:r>
    </w:p>
    <w:p>
      <w:pPr>
        <w:spacing w:after="0" w:line="144" w:lineRule="exact"/>
        <w:rPr>
          <w:sz w:val="20"/>
          <w:szCs w:val="20"/>
          <w:color w:val="auto"/>
        </w:rPr>
      </w:pPr>
    </w:p>
    <w:p>
      <w:pPr>
        <w:ind w:left="1340" w:right="319" w:firstLine="344"/>
        <w:spacing w:after="0" w:line="287"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154305</wp:posOffset>
            </wp:positionV>
            <wp:extent cx="115125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38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3"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17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6520" w:type="dxa"/>
            <w:vAlign w:val="bottom"/>
            <w:gridSpan w:val="7"/>
            <w:vMerge w:val="restart"/>
          </w:tcPr>
          <w:p>
            <w:pPr>
              <w:spacing w:after="0"/>
              <w:rPr>
                <w:sz w:val="11"/>
                <w:szCs w:val="11"/>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0"/>
              </w:rPr>
              <w:t>PAGE</w:t>
            </w:r>
          </w:p>
        </w:tc>
        <w:tc>
          <w:tcPr>
            <w:tcW w:w="0" w:type="dxa"/>
            <w:vAlign w:val="bottom"/>
          </w:tcPr>
          <w:p>
            <w:pPr>
              <w:spacing w:after="0"/>
              <w:rPr>
                <w:sz w:val="1"/>
                <w:szCs w:val="1"/>
                <w:color w:val="auto"/>
              </w:rPr>
            </w:pPr>
          </w:p>
        </w:tc>
      </w:tr>
      <w:tr>
        <w:trPr>
          <w:trHeight w:val="133"/>
        </w:trPr>
        <w:tc>
          <w:tcPr>
            <w:tcW w:w="1760" w:type="dxa"/>
            <w:vAlign w:val="bottom"/>
            <w:tcBorders>
              <w:bottom w:val="single" w:sz="8" w:color="0000EE"/>
            </w:tcBorders>
            <w:gridSpan w:val="9"/>
            <w:vMerge w:val="continue"/>
          </w:tcPr>
          <w:p>
            <w:pPr>
              <w:spacing w:after="0"/>
              <w:rPr>
                <w:sz w:val="11"/>
                <w:szCs w:val="11"/>
                <w:color w:val="auto"/>
              </w:rPr>
            </w:pPr>
          </w:p>
        </w:tc>
        <w:tc>
          <w:tcPr>
            <w:tcW w:w="6520" w:type="dxa"/>
            <w:vAlign w:val="bottom"/>
            <w:gridSpan w:val="7"/>
            <w:vMerge w:val="continue"/>
          </w:tcPr>
          <w:p>
            <w:pPr>
              <w:spacing w:after="0"/>
              <w:rPr>
                <w:sz w:val="11"/>
                <w:szCs w:val="11"/>
                <w:color w:val="auto"/>
              </w:rPr>
            </w:pPr>
          </w:p>
        </w:tc>
        <w:tc>
          <w:tcPr>
            <w:tcW w:w="28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Borders>
              <w:bottom w:val="single" w:sz="8" w:color="0000EE"/>
            </w:tcBorders>
            <w:gridSpan w:val="15"/>
          </w:tcPr>
          <w:p>
            <w:pPr>
              <w:spacing w:after="0" w:line="149"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376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8"/>
              </w:rPr>
              <w:t>CERTAIN DEFINED TERMS</w:t>
            </w:r>
          </w:p>
        </w:tc>
        <w:tc>
          <w:tcPr>
            <w:tcW w:w="6540" w:type="dxa"/>
            <w:vAlign w:val="bottom"/>
            <w:gridSpan w:val="8"/>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w w:val="99"/>
              </w:rPr>
              <w:t>PROSPECTUS SUMMARY</w:t>
            </w:r>
          </w:p>
        </w:tc>
        <w:tc>
          <w:tcPr>
            <w:tcW w:w="6640" w:type="dxa"/>
            <w:vAlign w:val="bottom"/>
            <w:gridSpan w:val="9"/>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9"/>
        </w:trPr>
        <w:tc>
          <w:tcPr>
            <w:tcW w:w="100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8"/>
              </w:rPr>
              <w:t>THE OFFERING</w:t>
            </w:r>
          </w:p>
        </w:tc>
        <w:tc>
          <w:tcPr>
            <w:tcW w:w="7280" w:type="dxa"/>
            <w:vAlign w:val="bottom"/>
            <w:gridSpan w:val="13"/>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98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7"/>
              </w:rPr>
              <w:t>RISK FACTORS</w:t>
            </w:r>
          </w:p>
        </w:tc>
        <w:tc>
          <w:tcPr>
            <w:tcW w:w="7300" w:type="dxa"/>
            <w:vAlign w:val="bottom"/>
            <w:gridSpan w:val="14"/>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80" w:type="dxa"/>
            <w:vAlign w:val="bottom"/>
            <w:tcBorders>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w w:val="98"/>
              </w:rPr>
              <w:t>MARKET AND INDUSTRY DATA</w:t>
            </w:r>
          </w:p>
        </w:tc>
        <w:tc>
          <w:tcPr>
            <w:tcW w:w="6200" w:type="dxa"/>
            <w:vAlign w:val="bottom"/>
            <w:gridSpan w:val="5"/>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124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USE OF PROCEEDS</w:t>
            </w:r>
          </w:p>
        </w:tc>
        <w:tc>
          <w:tcPr>
            <w:tcW w:w="7040" w:type="dxa"/>
            <w:vAlign w:val="bottom"/>
            <w:gridSpan w:val="11"/>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9"/>
        </w:trPr>
        <w:tc>
          <w:tcPr>
            <w:tcW w:w="196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w w:val="99"/>
              </w:rPr>
              <w:t>SELLING SECURITYHOLDERS</w:t>
            </w:r>
          </w:p>
        </w:tc>
        <w:tc>
          <w:tcPr>
            <w:tcW w:w="6320" w:type="dxa"/>
            <w:vAlign w:val="bottom"/>
            <w:gridSpan w:val="6"/>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9"/>
        </w:trPr>
        <w:tc>
          <w:tcPr>
            <w:tcW w:w="828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PLAN OF DISTRIBUTION</w:t>
            </w: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30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DESCRIPTION OF OUR SECURITIES</w:t>
            </w:r>
          </w:p>
        </w:tc>
        <w:tc>
          <w:tcPr>
            <w:tcW w:w="5980" w:type="dxa"/>
            <w:vAlign w:val="bottom"/>
            <w:gridSpan w:val="4"/>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114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7"/>
              </w:rPr>
              <w:t>LEGAL MATTERS</w:t>
            </w:r>
          </w:p>
        </w:tc>
        <w:tc>
          <w:tcPr>
            <w:tcW w:w="7140" w:type="dxa"/>
            <w:vAlign w:val="bottom"/>
            <w:gridSpan w:val="12"/>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9"/>
        </w:trPr>
        <w:tc>
          <w:tcPr>
            <w:tcW w:w="828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EXPERTS</w:t>
            </w: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8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2980" w:type="dxa"/>
            <w:vAlign w:val="bottom"/>
            <w:gridSpan w:val="1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8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8" w:lineRule="exact"/>
        <w:rPr>
          <w:sz w:val="20"/>
          <w:szCs w:val="20"/>
          <w:color w:val="auto"/>
        </w:rPr>
      </w:pPr>
    </w:p>
    <w:p>
      <w:pPr>
        <w:ind w:left="1340" w:right="299" w:firstLine="344"/>
        <w:spacing w:after="0" w:line="258"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certain of our outstanding Warrants. Except with respect to amounts received by us upon the exercise of the Warrants for cash, we will not receive any proceeds from the sale of shares of Common Stock underlying the Warrants.</w:t>
      </w:r>
    </w:p>
    <w:p>
      <w:pPr>
        <w:spacing w:after="0" w:line="142" w:lineRule="exact"/>
        <w:rPr>
          <w:sz w:val="20"/>
          <w:szCs w:val="20"/>
          <w:color w:val="auto"/>
        </w:rPr>
      </w:pPr>
    </w:p>
    <w:p>
      <w:pPr>
        <w:ind w:left="1340" w:right="259" w:firstLine="344"/>
        <w:spacing w:after="0" w:line="259"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43" w:lineRule="exact"/>
        <w:rPr>
          <w:sz w:val="20"/>
          <w:szCs w:val="20"/>
          <w:color w:val="auto"/>
        </w:rPr>
      </w:pPr>
    </w:p>
    <w:p>
      <w:pPr>
        <w:ind w:left="1340" w:right="279" w:firstLine="344"/>
        <w:spacing w:after="0" w:line="262" w:lineRule="auto"/>
        <w:rPr>
          <w:sz w:val="20"/>
          <w:szCs w:val="20"/>
          <w:color w:val="auto"/>
        </w:rPr>
      </w:pPr>
      <w:r>
        <w:rPr>
          <w:rFonts w:ascii="Times New Roman" w:cs="Times New Roman" w:eastAsia="Times New Roman" w:hAnsi="Times New Roman"/>
          <w:sz w:val="14"/>
          <w:szCs w:val="14"/>
          <w:color w:val="auto"/>
        </w:rPr>
        <w:t>We may also provide a prospectus supplement or post-effective amendment to this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4"/>
          <w:szCs w:val="14"/>
          <w:i w:val="1"/>
          <w:iCs w:val="1"/>
          <w:color w:val="auto"/>
        </w:rPr>
        <w:t>Where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You Can Find More Information</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340" w:right="299" w:firstLine="344"/>
        <w:spacing w:after="0" w:line="255" w:lineRule="auto"/>
        <w:rPr>
          <w:sz w:val="20"/>
          <w:szCs w:val="20"/>
          <w:color w:val="auto"/>
        </w:rPr>
      </w:pPr>
      <w:r>
        <w:rPr>
          <w:rFonts w:ascii="Times New Roman" w:cs="Times New Roman" w:eastAsia="Times New Roman" w:hAnsi="Times New Roman"/>
          <w:sz w:val="14"/>
          <w:szCs w:val="14"/>
          <w:color w:val="auto"/>
        </w:rPr>
        <w:t>On November 10, 2022, we consummated the previously-announced business combination (the “Scilex Business Combination”) pursuant to that certain Agreement and Plan of Merger, dated as of March 17, 2022 (as amended, restated or supplemented from time to time, including by Amendment No. 1 to Agreement and Plan of Merger, dated as of September 12, 2022) (the “Merger Agreement”), by and among us, Vantage Merger Sub Inc., our then-wholly owned subsidiary (the “Merger Sub”), and the pre-Scilex Business Combination Scilex Holding Company (“Legacy Scilex”). Pursuant to the terms of the Merger Agreement, we effected a deregistration under the Cayman Islands Companies Act (as revised) and a domestication under Section 388 of the Delaware General Corporation Law, as amended (the “DGCL”), pursuant to which our jurisdiction of incorporation was changed from the Cayman Islands to the State of Delaware (the “Domestication”), and, on the terms and subject to the conditions set forth in the Merger Agreement and in accordance with the DGCL, Merger Sub merged with and into Legacy Scilex, with Legacy Scilex surviving as our wholly owned subsidiary. In connection with the Scilex Business Combination, we changed our name from Vickers Vantage Corp. I to Scilex Holding Company.</w:t>
      </w:r>
    </w:p>
    <w:p>
      <w:pPr>
        <w:spacing w:after="0" w:line="147" w:lineRule="exact"/>
        <w:rPr>
          <w:sz w:val="20"/>
          <w:szCs w:val="20"/>
          <w:color w:val="auto"/>
        </w:rPr>
      </w:pPr>
    </w:p>
    <w:p>
      <w:pPr>
        <w:ind w:left="1340" w:right="299" w:firstLine="344"/>
        <w:spacing w:after="0" w:line="262" w:lineRule="auto"/>
        <w:rPr>
          <w:sz w:val="20"/>
          <w:szCs w:val="20"/>
          <w:color w:val="auto"/>
        </w:rPr>
      </w:pPr>
      <w:r>
        <w:rPr>
          <w:rFonts w:ascii="Times New Roman" w:cs="Times New Roman" w:eastAsia="Times New Roman" w:hAnsi="Times New Roman"/>
          <w:sz w:val="14"/>
          <w:szCs w:val="14"/>
          <w:color w:val="auto"/>
        </w:rPr>
        <w:t>Unless the context indicates otherwise, references in this prospectus to the “Company,” “Scilex,” “we,” “us,” “our,” and similar terms refer to Scilex Holding Company, a Delaware corporation formerly known as Vickers Vantage Corp. I, and its consolidated subsidiaries. References to “Legacy Scilex” refer to the private Delaware corporation that is now our wholly owned subsidiary, named Scilex, Inc. (formerly known as Scilex Holding Company).</w:t>
      </w:r>
    </w:p>
    <w:p>
      <w:pPr>
        <w:spacing w:after="0" w:line="140"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8" w:lineRule="exact"/>
        <w:rPr>
          <w:sz w:val="20"/>
          <w:szCs w:val="20"/>
          <w:color w:val="auto"/>
        </w:rPr>
      </w:pPr>
    </w:p>
    <w:p>
      <w:pPr>
        <w:ind w:left="1340" w:right="359" w:firstLine="344"/>
        <w:spacing w:after="0" w:line="256" w:lineRule="auto"/>
        <w:rPr>
          <w:sz w:val="20"/>
          <w:szCs w:val="20"/>
          <w:color w:val="auto"/>
        </w:rPr>
      </w:pPr>
      <w:r>
        <w:rPr>
          <w:rFonts w:ascii="Times New Roman" w:cs="Times New Roman" w:eastAsia="Times New Roman" w:hAnsi="Times New Roman"/>
          <w:sz w:val="14"/>
          <w:szCs w:val="14"/>
          <w:color w:val="auto"/>
        </w:rPr>
        <w:t>Certain statements contained in this prospectus, including the documents incorporated by reference in this prospectus, may constitute “forward-looking statements” for purposes of federal securities laws. Such statements can be identified by the fact that they do not relate strictly to historical or current facts. Forward-looking statements appear in a number of places in this prospectus and in the documents incorporated by reference herein.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spacing w:after="0" w:line="144" w:lineRule="exact"/>
        <w:rPr>
          <w:sz w:val="20"/>
          <w:szCs w:val="20"/>
          <w:color w:val="auto"/>
        </w:rPr>
      </w:pPr>
    </w:p>
    <w:p>
      <w:pPr>
        <w:ind w:left="1340" w:right="259" w:firstLine="344"/>
        <w:spacing w:after="0" w:line="256"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prospectus or the document in which it appears and our management’s current expectations, forecasts and assumptions, and involve a number of judgments, known and unknown risks, uncertainties or other assumptions and other factors, many of which are outside the control of the Company and our directors, officers and affiliates,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There can be no assurance that future developments will be those that have been anticipated. Accordingly, forward-looking statements should not be relied upon as representing our views as of any subsequent date.</w:t>
      </w:r>
    </w:p>
    <w:p>
      <w:pPr>
        <w:spacing w:after="0" w:line="14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Forward-looking statements in this prospectus or incorporated by reference herein may include, but are not limited to, statements about:</w:t>
      </w:r>
    </w:p>
    <w:p>
      <w:pPr>
        <w:spacing w:after="0" w:line="103" w:lineRule="exact"/>
        <w:rPr>
          <w:sz w:val="20"/>
          <w:szCs w:val="20"/>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listing of our Common Stock and Public Warrants on the Nasdaq Capital Market;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public securities’ liquidity and trading;</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financing in the future;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 of proceeds from future issuances of equity or convertible debt securities;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revenue, costs of revenue and operating expenses;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use of equity or debt financings to execute our business strategy;</w:t>
      </w:r>
    </w:p>
    <w:p>
      <w:pPr>
        <w:spacing w:after="0" w:line="102" w:lineRule="exact"/>
        <w:rPr>
          <w:rFonts w:ascii="Times New Roman" w:cs="Times New Roman" w:eastAsia="Times New Roman" w:hAnsi="Times New Roman"/>
          <w:sz w:val="14"/>
          <w:szCs w:val="14"/>
          <w:color w:val="auto"/>
        </w:rPr>
      </w:pPr>
    </w:p>
    <w:p>
      <w:pPr>
        <w:ind w:left="2100" w:right="239" w:hanging="335"/>
        <w:spacing w:after="0" w:line="284"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use cash on hand to meet current and future financial obligations, including funding our operations, debt service requirements and capital expenditures;</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legal proceedings that may be instituted against us;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directors, officers, employees and key personnel;</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a highly competitive market;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competition from larger biotechnology companies that have greater resources, technology, relationships and/or expertise;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protect and enhance our corporate reputation and brand;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future regulatory, judicial and legislative changes in our industry;</w:t>
      </w:r>
    </w:p>
    <w:p>
      <w:pPr>
        <w:spacing w:after="0" w:line="102" w:lineRule="exact"/>
        <w:rPr>
          <w:rFonts w:ascii="Times New Roman" w:cs="Times New Roman" w:eastAsia="Times New Roman" w:hAnsi="Times New Roman"/>
          <w:sz w:val="14"/>
          <w:szCs w:val="14"/>
          <w:color w:val="auto"/>
        </w:rPr>
      </w:pPr>
    </w:p>
    <w:p>
      <w:pPr>
        <w:ind w:left="2100" w:right="259" w:hanging="335"/>
        <w:spacing w:after="0" w:line="284" w:lineRule="auto"/>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regulatory and legal developments in the United States and foreign countries in which we may seek regulatory approval for our product candidates in the future;</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any of our products and product candidates;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research, discover and develop additional product candidates;</w:t>
      </w:r>
    </w:p>
    <w:p>
      <w:pPr>
        <w:spacing w:after="0" w:line="1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grow and manage growth profitably;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and not infringe on the rights of others;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our business plans and strategy;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prevent, respond to, and recover from a cybersecurity incident;</w:t>
      </w:r>
    </w:p>
    <w:p>
      <w:pPr>
        <w:spacing w:after="0" w:line="102" w:lineRule="exact"/>
        <w:rPr>
          <w:rFonts w:ascii="Times New Roman" w:cs="Times New Roman" w:eastAsia="Times New Roman" w:hAnsi="Times New Roman"/>
          <w:sz w:val="14"/>
          <w:szCs w:val="14"/>
          <w:color w:val="auto"/>
        </w:rPr>
      </w:pPr>
    </w:p>
    <w:p>
      <w:pPr>
        <w:ind w:left="2100" w:right="239" w:hanging="335"/>
        <w:spacing w:after="0" w:line="284" w:lineRule="auto"/>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geopolitical conflicts or new or increased international tariffs, including mitigation efforts and economic effects, on any of the foregoing or other aspects of our business operations, including but not limited to our clinical studies and clinical trials;</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global economic and political developments, including the conflicts in Ukraine and the Middle East (including Iran);</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related to crypto assets and crypto asset markets;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we are an investment company under the Investment Company Act of 1940 (the “1940 Act”);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adopt and execute on our new cryptocurrency treasury strategy;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in the accounting treatment of cryptocurrency holdings;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volatility in the cryptocurrency market; and</w:t>
      </w:r>
    </w:p>
    <w:p>
      <w:pPr>
        <w:spacing w:after="0" w:line="100"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under the section of this prospectus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340" w:right="319" w:firstLine="344"/>
        <w:spacing w:after="0" w:line="256"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the assumptions made by our management prove incorrect, actual results may vary in material respects from those projected in these forward- 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Our forward-looking statements do not reflect the potential impact of any future acquisitions, mergers, dispositions, joint ventures or other strategic transactions or investments we may make or enter into.</w:t>
      </w:r>
    </w:p>
    <w:p>
      <w:pPr>
        <w:spacing w:after="0" w:line="147" w:lineRule="exact"/>
        <w:rPr>
          <w:sz w:val="20"/>
          <w:szCs w:val="20"/>
          <w:color w:val="auto"/>
        </w:rPr>
      </w:pPr>
    </w:p>
    <w:p>
      <w:pPr>
        <w:ind w:left="1340" w:right="299" w:firstLine="344"/>
        <w:spacing w:after="0" w:line="259"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the statement is made, and while we believe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CERTAIN DEFINED TERMS</w:t>
      </w:r>
    </w:p>
    <w:p>
      <w:pPr>
        <w:spacing w:after="0" w:line="197" w:lineRule="exact"/>
        <w:rPr>
          <w:sz w:val="20"/>
          <w:szCs w:val="20"/>
          <w:color w:val="auto"/>
        </w:rPr>
      </w:pPr>
    </w:p>
    <w:p>
      <w:pPr>
        <w:ind w:left="2100" w:right="41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April 2024 RDO Common Warrants</w:t>
      </w:r>
      <w:r>
        <w:rPr>
          <w:rFonts w:ascii="Times New Roman" w:cs="Times New Roman" w:eastAsia="Times New Roman" w:hAnsi="Times New Roman"/>
          <w:sz w:val="14"/>
          <w:szCs w:val="14"/>
          <w:color w:val="auto"/>
        </w:rPr>
        <w:t>” means the warrants to purchase up to an aggregate of 428,572 shares of our Common Stock at an exercise price of $38.50 per share, issued to the investor named in and pursuant to the April 2024 RDO Purchase Agreement.</w:t>
      </w:r>
    </w:p>
    <w:p>
      <w:pPr>
        <w:spacing w:after="0" w:line="47" w:lineRule="exact"/>
        <w:rPr>
          <w:rFonts w:ascii="Times New Roman" w:cs="Times New Roman" w:eastAsia="Times New Roman" w:hAnsi="Times New Roman"/>
          <w:sz w:val="14"/>
          <w:szCs w:val="14"/>
          <w:color w:val="auto"/>
        </w:rPr>
      </w:pPr>
    </w:p>
    <w:p>
      <w:pPr>
        <w:ind w:left="2100" w:right="33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April 2024 RDO Placement Agent Warrants</w:t>
      </w:r>
      <w:r>
        <w:rPr>
          <w:rFonts w:ascii="Times New Roman" w:cs="Times New Roman" w:eastAsia="Times New Roman" w:hAnsi="Times New Roman"/>
          <w:sz w:val="14"/>
          <w:szCs w:val="14"/>
          <w:color w:val="auto"/>
        </w:rPr>
        <w:t>” means the warrants to purchase up to an aggregate of 34,286 shares of our Common Stock at an exercise price of $43.75 per share, issued to the Placement Agents pursuant to the April 2024 RDO Purchase Agreement.</w:t>
      </w:r>
    </w:p>
    <w:p>
      <w:pPr>
        <w:spacing w:after="0" w:line="47" w:lineRule="exact"/>
        <w:rPr>
          <w:rFonts w:ascii="Times New Roman" w:cs="Times New Roman" w:eastAsia="Times New Roman" w:hAnsi="Times New Roman"/>
          <w:sz w:val="14"/>
          <w:szCs w:val="14"/>
          <w:color w:val="auto"/>
        </w:rPr>
      </w:pPr>
    </w:p>
    <w:p>
      <w:pPr>
        <w:ind w:left="2100" w:right="25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April 2024 RDO Purchase Agreement</w:t>
      </w:r>
      <w:r>
        <w:rPr>
          <w:rFonts w:ascii="Times New Roman" w:cs="Times New Roman" w:eastAsia="Times New Roman" w:hAnsi="Times New Roman"/>
          <w:sz w:val="14"/>
          <w:szCs w:val="14"/>
          <w:color w:val="auto"/>
        </w:rPr>
        <w:t>” means that certain securities purchase agreement, dated as of April 23, 2024, entered into between us and the investor named therein.</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April 2024 RDO Warrants</w:t>
      </w:r>
      <w:r>
        <w:rPr>
          <w:rFonts w:ascii="Times New Roman" w:cs="Times New Roman" w:eastAsia="Times New Roman" w:hAnsi="Times New Roman"/>
          <w:sz w:val="14"/>
          <w:szCs w:val="14"/>
          <w:color w:val="auto"/>
        </w:rPr>
        <w:t>” means the April 2024 RDO Common Warrants and the April 2024 RDO Placement Agent Warrants.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means the board of directors of the Company.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Bylaws</w:t>
      </w:r>
      <w:r>
        <w:rPr>
          <w:rFonts w:ascii="Times New Roman" w:cs="Times New Roman" w:eastAsia="Times New Roman" w:hAnsi="Times New Roman"/>
          <w:sz w:val="14"/>
          <w:szCs w:val="14"/>
          <w:color w:val="auto"/>
        </w:rPr>
        <w:t>” means the Bylaws of Scilex Holding Company, effective as of November 10, 2022.</w:t>
      </w:r>
    </w:p>
    <w:p>
      <w:pPr>
        <w:spacing w:after="0" w:line="102" w:lineRule="exact"/>
        <w:rPr>
          <w:rFonts w:ascii="Times New Roman" w:cs="Times New Roman" w:eastAsia="Times New Roman" w:hAnsi="Times New Roman"/>
          <w:sz w:val="14"/>
          <w:szCs w:val="14"/>
          <w:color w:val="auto"/>
        </w:rPr>
      </w:pPr>
    </w:p>
    <w:p>
      <w:pPr>
        <w:ind w:left="2100" w:right="51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Certificate of Incorporation</w:t>
      </w:r>
      <w:r>
        <w:rPr>
          <w:rFonts w:ascii="Times New Roman" w:cs="Times New Roman" w:eastAsia="Times New Roman" w:hAnsi="Times New Roman"/>
          <w:sz w:val="14"/>
          <w:szCs w:val="14"/>
          <w:color w:val="auto"/>
        </w:rPr>
        <w:t>” means the Restated Certificate of Incorporation of Scilex Holding Company, filed with the Secretary of State of the State of Delaware on November 10, 2022, as amended.</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Closing</w:t>
      </w:r>
      <w:r>
        <w:rPr>
          <w:rFonts w:ascii="Times New Roman" w:cs="Times New Roman" w:eastAsia="Times New Roman" w:hAnsi="Times New Roman"/>
          <w:sz w:val="14"/>
          <w:szCs w:val="14"/>
          <w:color w:val="auto"/>
        </w:rPr>
        <w:t>” means the closing of the Scilex Business Combination.</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Commitment Letter</w:t>
      </w:r>
      <w:r>
        <w:rPr>
          <w:rFonts w:ascii="Times New Roman" w:cs="Times New Roman" w:eastAsia="Times New Roman" w:hAnsi="Times New Roman"/>
          <w:sz w:val="14"/>
          <w:szCs w:val="14"/>
          <w:color w:val="auto"/>
        </w:rPr>
        <w:t>” means that certain Commitment Side Letter, dated as of June 11, 2024, entered into between us and FSF.</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Common Stock</w:t>
      </w:r>
      <w:r>
        <w:rPr>
          <w:rFonts w:ascii="Times New Roman" w:cs="Times New Roman" w:eastAsia="Times New Roman" w:hAnsi="Times New Roman"/>
          <w:sz w:val="14"/>
          <w:szCs w:val="14"/>
          <w:color w:val="auto"/>
        </w:rPr>
        <w:t>” means the common stock, par value $0.0001 per share, of Scilex.</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Continental</w:t>
      </w:r>
      <w:r>
        <w:rPr>
          <w:rFonts w:ascii="Times New Roman" w:cs="Times New Roman" w:eastAsia="Times New Roman" w:hAnsi="Times New Roman"/>
          <w:sz w:val="14"/>
          <w:szCs w:val="14"/>
          <w:color w:val="auto"/>
        </w:rPr>
        <w:t>” means Continental Stock Transfer &amp; Trust Company, our transfer agent.</w:t>
      </w:r>
    </w:p>
    <w:p>
      <w:pPr>
        <w:spacing w:after="0" w:line="102" w:lineRule="exact"/>
        <w:rPr>
          <w:rFonts w:ascii="Times New Roman" w:cs="Times New Roman" w:eastAsia="Times New Roman" w:hAnsi="Times New Roman"/>
          <w:sz w:val="14"/>
          <w:szCs w:val="14"/>
          <w:color w:val="auto"/>
        </w:rPr>
      </w:pPr>
    </w:p>
    <w:p>
      <w:pPr>
        <w:ind w:left="2100" w:right="23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December 2024 RDO Common Warrants</w:t>
      </w:r>
      <w:r>
        <w:rPr>
          <w:rFonts w:ascii="Times New Roman" w:cs="Times New Roman" w:eastAsia="Times New Roman" w:hAnsi="Times New Roman"/>
          <w:sz w:val="14"/>
          <w:szCs w:val="14"/>
          <w:color w:val="auto"/>
        </w:rPr>
        <w:t>” means the warrants to purchase up to an aggregate of 1,642,871 shares of our Common Stock, with an exercise price of $22.72 per share, issued to the investors named in and pursuant to the December 2024 RDO Purchase Agreement.</w:t>
      </w:r>
    </w:p>
    <w:p>
      <w:pPr>
        <w:spacing w:after="0" w:line="47" w:lineRule="exact"/>
        <w:rPr>
          <w:rFonts w:ascii="Times New Roman" w:cs="Times New Roman" w:eastAsia="Times New Roman" w:hAnsi="Times New Roman"/>
          <w:sz w:val="14"/>
          <w:szCs w:val="14"/>
          <w:color w:val="auto"/>
        </w:rPr>
      </w:pPr>
    </w:p>
    <w:p>
      <w:pPr>
        <w:ind w:left="2100" w:right="299" w:hanging="335"/>
        <w:spacing w:after="0" w:line="269"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December 2024 RDO Pre-Funded Warrants</w:t>
      </w:r>
      <w:r>
        <w:rPr>
          <w:rFonts w:ascii="Times New Roman" w:cs="Times New Roman" w:eastAsia="Times New Roman" w:hAnsi="Times New Roman"/>
          <w:sz w:val="14"/>
          <w:szCs w:val="14"/>
          <w:color w:val="auto"/>
        </w:rPr>
        <w:t>” means the warrants to purchase up to an aggregate of 68,604 shares of our Common Stock, with an exercise price of $0.0001 per share, issued to the investors named in and pursuant to the December 2024 RDO Purchase Agreement.</w:t>
      </w:r>
    </w:p>
    <w:p>
      <w:pPr>
        <w:spacing w:after="0" w:line="59" w:lineRule="exact"/>
        <w:rPr>
          <w:rFonts w:ascii="Times New Roman" w:cs="Times New Roman" w:eastAsia="Times New Roman" w:hAnsi="Times New Roman"/>
          <w:sz w:val="14"/>
          <w:szCs w:val="14"/>
          <w:color w:val="auto"/>
        </w:rPr>
      </w:pPr>
    </w:p>
    <w:p>
      <w:pPr>
        <w:ind w:left="2100" w:right="43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December 2024 RDO Purchase Agreement</w:t>
      </w:r>
      <w:r>
        <w:rPr>
          <w:rFonts w:ascii="Times New Roman" w:cs="Times New Roman" w:eastAsia="Times New Roman" w:hAnsi="Times New Roman"/>
          <w:sz w:val="14"/>
          <w:szCs w:val="14"/>
          <w:color w:val="auto"/>
        </w:rPr>
        <w:t>” means that certain securities purchase agreement, dated as of December 11, 2024, entered into among us and the investors named therein.</w:t>
      </w:r>
    </w:p>
    <w:p>
      <w:pPr>
        <w:spacing w:after="0" w:line="47" w:lineRule="exact"/>
        <w:rPr>
          <w:rFonts w:ascii="Times New Roman" w:cs="Times New Roman" w:eastAsia="Times New Roman" w:hAnsi="Times New Roman"/>
          <w:sz w:val="14"/>
          <w:szCs w:val="14"/>
          <w:color w:val="auto"/>
        </w:rPr>
      </w:pPr>
    </w:p>
    <w:p>
      <w:pPr>
        <w:ind w:left="2100" w:right="23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December 2024 RDO Warrants</w:t>
      </w:r>
      <w:r>
        <w:rPr>
          <w:rFonts w:ascii="Times New Roman" w:cs="Times New Roman" w:eastAsia="Times New Roman" w:hAnsi="Times New Roman"/>
          <w:sz w:val="14"/>
          <w:szCs w:val="14"/>
          <w:color w:val="auto"/>
        </w:rPr>
        <w:t>” means the December 2024 RDO Pre-Funded Warrants, the December 2024 RDO Common Warrants and the StockBlock Warrants.</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December 2024 Warrants</w:t>
      </w:r>
      <w:r>
        <w:rPr>
          <w:rFonts w:ascii="Times New Roman" w:cs="Times New Roman" w:eastAsia="Times New Roman" w:hAnsi="Times New Roman"/>
          <w:sz w:val="14"/>
          <w:szCs w:val="14"/>
          <w:color w:val="auto"/>
        </w:rPr>
        <w:t>” means the December 2024 RDO Common Warrants and the StockBlock Warrants.</w:t>
      </w:r>
    </w:p>
    <w:p>
      <w:pPr>
        <w:spacing w:after="0" w:line="102" w:lineRule="exact"/>
        <w:rPr>
          <w:rFonts w:ascii="Times New Roman" w:cs="Times New Roman" w:eastAsia="Times New Roman" w:hAnsi="Times New Roman"/>
          <w:sz w:val="14"/>
          <w:szCs w:val="14"/>
          <w:color w:val="auto"/>
        </w:rPr>
      </w:pPr>
    </w:p>
    <w:p>
      <w:pPr>
        <w:ind w:left="2100" w:right="31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 Warrant</w:t>
      </w:r>
      <w:r>
        <w:rPr>
          <w:rFonts w:ascii="Times New Roman" w:cs="Times New Roman" w:eastAsia="Times New Roman" w:hAnsi="Times New Roman"/>
          <w:sz w:val="14"/>
          <w:szCs w:val="14"/>
          <w:color w:val="auto"/>
        </w:rPr>
        <w:t>” means the warrant to purchase up to an aggregate of 3,250,000 shares of our Common Stock, with an exercise price of $1.20 per share, originally issued to FSF pursuant to the Commitment Letter.</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 means the General Corporation Law of the State of Delaware, as amended.</w:t>
      </w:r>
    </w:p>
    <w:p>
      <w:pPr>
        <w:spacing w:after="0" w:line="102" w:lineRule="exact"/>
        <w:rPr>
          <w:rFonts w:ascii="Times New Roman" w:cs="Times New Roman" w:eastAsia="Times New Roman" w:hAnsi="Times New Roman"/>
          <w:sz w:val="14"/>
          <w:szCs w:val="14"/>
          <w:color w:val="auto"/>
        </w:rPr>
      </w:pPr>
    </w:p>
    <w:p>
      <w:pPr>
        <w:ind w:left="2100" w:right="599" w:hanging="335"/>
        <w:spacing w:after="0" w:line="287"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Domestication</w:t>
      </w:r>
      <w:r>
        <w:rPr>
          <w:rFonts w:ascii="Times New Roman" w:cs="Times New Roman" w:eastAsia="Times New Roman" w:hAnsi="Times New Roman"/>
          <w:sz w:val="14"/>
          <w:szCs w:val="14"/>
          <w:color w:val="auto"/>
        </w:rPr>
        <w:t>” means the change of our domicile pursuant to a transfer by way of continuation of an exempted company out of the Cayman Islands and a domestication into the State of Delaware as a corporation, and our de-registration in the Cayman Islands.</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Effective Time</w:t>
      </w:r>
      <w:r>
        <w:rPr>
          <w:rFonts w:ascii="Times New Roman" w:cs="Times New Roman" w:eastAsia="Times New Roman" w:hAnsi="Times New Roman"/>
          <w:sz w:val="14"/>
          <w:szCs w:val="14"/>
          <w:color w:val="auto"/>
        </w:rPr>
        <w:t>” means the time at which the Scilex Business Combination became effective.</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Equity Incentive Plan</w:t>
      </w:r>
      <w:r>
        <w:rPr>
          <w:rFonts w:ascii="Times New Roman" w:cs="Times New Roman" w:eastAsia="Times New Roman" w:hAnsi="Times New Roman"/>
          <w:sz w:val="14"/>
          <w:szCs w:val="14"/>
          <w:color w:val="auto"/>
        </w:rPr>
        <w:t>” means the Scilex Holding Company 2022 Equity Incentive Plan, as amended.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ESPP</w:t>
      </w:r>
      <w:r>
        <w:rPr>
          <w:rFonts w:ascii="Times New Roman" w:cs="Times New Roman" w:eastAsia="Times New Roman" w:hAnsi="Times New Roman"/>
          <w:sz w:val="14"/>
          <w:szCs w:val="14"/>
          <w:color w:val="auto"/>
        </w:rPr>
        <w:t>” means the Scilex Holding Company 2022 Employee Stock Purchase Plan.</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02" w:lineRule="exact"/>
        <w:rPr>
          <w:rFonts w:ascii="Times New Roman" w:cs="Times New Roman" w:eastAsia="Times New Roman" w:hAnsi="Times New Roman"/>
          <w:sz w:val="14"/>
          <w:szCs w:val="14"/>
          <w:color w:val="auto"/>
        </w:rPr>
      </w:pPr>
    </w:p>
    <w:p>
      <w:pPr>
        <w:ind w:left="2100" w:right="33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Warrants</w:t>
      </w:r>
      <w:r>
        <w:rPr>
          <w:rFonts w:ascii="Times New Roman" w:cs="Times New Roman" w:eastAsia="Times New Roman" w:hAnsi="Times New Roman"/>
          <w:sz w:val="14"/>
          <w:szCs w:val="14"/>
          <w:color w:val="auto"/>
        </w:rPr>
        <w:t>” means the warrants to purchase up to an aggregate of 500,000 shares of our Common Stock, with an exercise price of $40.00 per share, issued pursuant to the Warrant Exchange Agreements.</w:t>
      </w:r>
    </w:p>
    <w:p>
      <w:pPr>
        <w:spacing w:after="0" w:line="47" w:lineRule="exact"/>
        <w:rPr>
          <w:rFonts w:ascii="Times New Roman" w:cs="Times New Roman" w:eastAsia="Times New Roman" w:hAnsi="Times New Roman"/>
          <w:sz w:val="14"/>
          <w:szCs w:val="14"/>
          <w:color w:val="auto"/>
        </w:rPr>
      </w:pPr>
    </w:p>
    <w:p>
      <w:pPr>
        <w:ind w:left="2100" w:right="21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February 2024 BDO Firm Warrants</w:t>
      </w:r>
      <w:r>
        <w:rPr>
          <w:rFonts w:ascii="Times New Roman" w:cs="Times New Roman" w:eastAsia="Times New Roman" w:hAnsi="Times New Roman"/>
          <w:sz w:val="14"/>
          <w:szCs w:val="14"/>
          <w:color w:val="auto"/>
        </w:rPr>
        <w:t>” means the warrants to purchase up to an aggregate of 108,686 shares of our Common Stock, with an exercise price of $59.50 per share, issued to the Underwriters pursuant to the February 2024 BDO Underwriting Agreement.</w:t>
      </w:r>
    </w:p>
    <w:p>
      <w:pPr>
        <w:spacing w:after="0" w:line="47" w:lineRule="exact"/>
        <w:rPr>
          <w:rFonts w:ascii="Times New Roman" w:cs="Times New Roman" w:eastAsia="Times New Roman" w:hAnsi="Times New Roman"/>
          <w:sz w:val="14"/>
          <w:szCs w:val="14"/>
          <w:color w:val="auto"/>
        </w:rPr>
      </w:pPr>
    </w:p>
    <w:p>
      <w:pPr>
        <w:ind w:left="2100" w:right="219" w:hanging="335"/>
        <w:spacing w:after="0" w:line="269"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February 2024 BDO Representative Warrants</w:t>
      </w:r>
      <w:r>
        <w:rPr>
          <w:rFonts w:ascii="Times New Roman" w:cs="Times New Roman" w:eastAsia="Times New Roman" w:hAnsi="Times New Roman"/>
          <w:sz w:val="14"/>
          <w:szCs w:val="14"/>
          <w:color w:val="auto"/>
        </w:rPr>
        <w:t>” means the warrants to purchase up to an aggregate of 13,446 shares of our Common Stock, with an exercise price of $74.38 per share, issued to StockBlock and Rodman &amp; Renshaw LLC, pursuant to the February 2024 BDO Underwriting Agreement.</w:t>
      </w:r>
    </w:p>
    <w:p>
      <w:pPr>
        <w:spacing w:after="0" w:line="59"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February 2024 BDO Warrants</w:t>
      </w:r>
      <w:r>
        <w:rPr>
          <w:rFonts w:ascii="Times New Roman" w:cs="Times New Roman" w:eastAsia="Times New Roman" w:hAnsi="Times New Roman"/>
          <w:sz w:val="14"/>
          <w:szCs w:val="14"/>
          <w:color w:val="auto"/>
        </w:rPr>
        <w:t>” means the February 2024 BDO Firm Warrants and the February 2024 BDO Representative Warrants.</w:t>
      </w:r>
    </w:p>
    <w:p>
      <w:pPr>
        <w:spacing w:after="0" w:line="102" w:lineRule="exact"/>
        <w:rPr>
          <w:rFonts w:ascii="Times New Roman" w:cs="Times New Roman" w:eastAsia="Times New Roman" w:hAnsi="Times New Roman"/>
          <w:sz w:val="14"/>
          <w:szCs w:val="14"/>
          <w:color w:val="auto"/>
        </w:rPr>
      </w:pPr>
    </w:p>
    <w:p>
      <w:pPr>
        <w:ind w:left="2100" w:right="39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February 2024 BDO Underwriting Agreement</w:t>
      </w:r>
      <w:r>
        <w:rPr>
          <w:rFonts w:ascii="Times New Roman" w:cs="Times New Roman" w:eastAsia="Times New Roman" w:hAnsi="Times New Roman"/>
          <w:sz w:val="14"/>
          <w:szCs w:val="14"/>
          <w:color w:val="auto"/>
        </w:rPr>
        <w:t>” means that certain underwriting agreement, dated as of February 29, 2024, entered into among us, StockBlock and Rodman &amp; Renshaw LLC, as the representatives of the Underwriters.</w:t>
      </w:r>
    </w:p>
    <w:p>
      <w:pPr>
        <w:spacing w:after="0" w:line="47" w:lineRule="exact"/>
        <w:rPr>
          <w:rFonts w:ascii="Times New Roman" w:cs="Times New Roman" w:eastAsia="Times New Roman" w:hAnsi="Times New Roman"/>
          <w:sz w:val="14"/>
          <w:szCs w:val="14"/>
          <w:color w:val="auto"/>
        </w:rPr>
      </w:pPr>
    </w:p>
    <w:p>
      <w:pPr>
        <w:ind w:left="2100" w:right="399" w:hanging="335"/>
        <w:spacing w:after="0" w:line="269"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Fee Warrant</w:t>
      </w:r>
      <w:r>
        <w:rPr>
          <w:rFonts w:ascii="Times New Roman" w:cs="Times New Roman" w:eastAsia="Times New Roman" w:hAnsi="Times New Roman"/>
          <w:sz w:val="14"/>
          <w:szCs w:val="14"/>
          <w:color w:val="auto"/>
        </w:rPr>
        <w:t>” means the warrant to purchase up to an aggregate of 250,000 shares (on a pre-Reverse Stock Split basis) of our Common Stock, with an exercise price of $1.20 per share (on a pre-Reverse Stock Split basis), issued to IVI pursuant to a letter agreement, dated July 16, 2024, entered into among us, FSF and IVI.</w:t>
      </w:r>
    </w:p>
    <w:p>
      <w:pPr>
        <w:spacing w:after="0" w:line="59"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FSF</w:t>
      </w:r>
      <w:r>
        <w:rPr>
          <w:rFonts w:ascii="Times New Roman" w:cs="Times New Roman" w:eastAsia="Times New Roman" w:hAnsi="Times New Roman"/>
          <w:sz w:val="14"/>
          <w:szCs w:val="14"/>
          <w:color w:val="auto"/>
        </w:rPr>
        <w:t>” means FSF 33433 LLC.</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Inducement Plan</w:t>
      </w:r>
      <w:r>
        <w:rPr>
          <w:rFonts w:ascii="Times New Roman" w:cs="Times New Roman" w:eastAsia="Times New Roman" w:hAnsi="Times New Roman"/>
          <w:sz w:val="14"/>
          <w:szCs w:val="14"/>
          <w:color w:val="auto"/>
        </w:rPr>
        <w:t>” means the Scilex Holding Company 2023 Inducement Plan.</w:t>
      </w:r>
    </w:p>
    <w:p>
      <w:pPr>
        <w:spacing w:after="0" w:line="102" w:lineRule="exact"/>
        <w:rPr>
          <w:rFonts w:ascii="Times New Roman" w:cs="Times New Roman" w:eastAsia="Times New Roman" w:hAnsi="Times New Roman"/>
          <w:sz w:val="14"/>
          <w:szCs w:val="14"/>
          <w:color w:val="auto"/>
        </w:rPr>
      </w:pPr>
    </w:p>
    <w:p>
      <w:pPr>
        <w:ind w:left="2100" w:right="25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IPO</w:t>
      </w:r>
      <w:r>
        <w:rPr>
          <w:rFonts w:ascii="Times New Roman" w:cs="Times New Roman" w:eastAsia="Times New Roman" w:hAnsi="Times New Roman"/>
          <w:sz w:val="14"/>
          <w:szCs w:val="14"/>
          <w:color w:val="auto"/>
        </w:rPr>
        <w:t>” refers to the initial public offering of 13,800,000 Units (on a pre-Reverse Stock Split basis) of Vickers consummated on January 11, 2021.</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IVI</w:t>
      </w:r>
      <w:r>
        <w:rPr>
          <w:rFonts w:ascii="Times New Roman" w:cs="Times New Roman" w:eastAsia="Times New Roman" w:hAnsi="Times New Roman"/>
          <w:sz w:val="14"/>
          <w:szCs w:val="14"/>
          <w:color w:val="auto"/>
        </w:rPr>
        <w:t>” means IVI 66766 LLC.</w:t>
      </w:r>
    </w:p>
    <w:p>
      <w:pPr>
        <w:spacing w:after="0" w:line="102" w:lineRule="exact"/>
        <w:rPr>
          <w:rFonts w:ascii="Times New Roman" w:cs="Times New Roman" w:eastAsia="Times New Roman" w:hAnsi="Times New Roman"/>
          <w:sz w:val="14"/>
          <w:szCs w:val="14"/>
          <w:color w:val="auto"/>
        </w:rPr>
      </w:pPr>
    </w:p>
    <w:p>
      <w:pPr>
        <w:ind w:left="2100" w:right="29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Scilex</w:t>
      </w:r>
      <w:r>
        <w:rPr>
          <w:rFonts w:ascii="Times New Roman" w:cs="Times New Roman" w:eastAsia="Times New Roman" w:hAnsi="Times New Roman"/>
          <w:sz w:val="14"/>
          <w:szCs w:val="14"/>
          <w:color w:val="auto"/>
        </w:rPr>
        <w:t>” means the private Delaware corporation that is now our wholly owned subsidiary, named Scilex, Inc. (formerly known as Scilex Holding Company).</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Scilex Common Stock</w:t>
      </w:r>
      <w:r>
        <w:rPr>
          <w:rFonts w:ascii="Times New Roman" w:cs="Times New Roman" w:eastAsia="Times New Roman" w:hAnsi="Times New Roman"/>
          <w:sz w:val="14"/>
          <w:szCs w:val="14"/>
          <w:color w:val="auto"/>
        </w:rPr>
        <w:t>” means the common stock of Legacy Scilex, par value $0.0001 per share, prior to the Effective Time.</w:t>
      </w:r>
    </w:p>
    <w:p>
      <w:pPr>
        <w:spacing w:after="0" w:line="102" w:lineRule="exact"/>
        <w:rPr>
          <w:rFonts w:ascii="Times New Roman" w:cs="Times New Roman" w:eastAsia="Times New Roman" w:hAnsi="Times New Roman"/>
          <w:sz w:val="14"/>
          <w:szCs w:val="14"/>
          <w:color w:val="auto"/>
        </w:rPr>
      </w:pPr>
    </w:p>
    <w:p>
      <w:pPr>
        <w:ind w:left="2100" w:right="439" w:hanging="335"/>
        <w:spacing w:after="0" w:line="269"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Legacy Scilex Preferred Stock</w:t>
      </w:r>
      <w:r>
        <w:rPr>
          <w:rFonts w:ascii="Times New Roman" w:cs="Times New Roman" w:eastAsia="Times New Roman" w:hAnsi="Times New Roman"/>
          <w:sz w:val="14"/>
          <w:szCs w:val="14"/>
          <w:color w:val="auto"/>
        </w:rPr>
        <w:t>” means the Series A Preferred Stock, par value $0.0001 per share, of Legacy Scilex issued to Sorrento prior to the Effective Time pursuant to that certain Contribution and Satisfaction of Indebtedness Agreement, dated as of September 12, 2022, by and among Sorrento, Legacy Scilex and Scilex Pharmaceuticals, Inc.</w:t>
      </w:r>
    </w:p>
    <w:p>
      <w:pPr>
        <w:spacing w:after="0" w:line="59" w:lineRule="exact"/>
        <w:rPr>
          <w:rFonts w:ascii="Times New Roman" w:cs="Times New Roman" w:eastAsia="Times New Roman" w:hAnsi="Times New Roman"/>
          <w:sz w:val="14"/>
          <w:szCs w:val="14"/>
          <w:color w:val="auto"/>
        </w:rPr>
      </w:pPr>
    </w:p>
    <w:p>
      <w:pPr>
        <w:ind w:left="2100" w:right="43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Merger Agreement</w:t>
      </w:r>
      <w:r>
        <w:rPr>
          <w:rFonts w:ascii="Times New Roman" w:cs="Times New Roman" w:eastAsia="Times New Roman" w:hAnsi="Times New Roman"/>
          <w:sz w:val="14"/>
          <w:szCs w:val="14"/>
          <w:color w:val="auto"/>
        </w:rPr>
        <w:t>” means that certain Agreement and Plan of Merger, dated as of March 17, 2022, by and among us, Merger Sub and Legacy Scilex, as it may be amended or restated from time to time, including by the Merger Agreement Amendment.</w:t>
      </w:r>
    </w:p>
    <w:p>
      <w:pPr>
        <w:spacing w:after="0" w:line="47" w:lineRule="exact"/>
        <w:rPr>
          <w:rFonts w:ascii="Times New Roman" w:cs="Times New Roman" w:eastAsia="Times New Roman" w:hAnsi="Times New Roman"/>
          <w:sz w:val="14"/>
          <w:szCs w:val="14"/>
          <w:color w:val="auto"/>
        </w:rPr>
      </w:pPr>
    </w:p>
    <w:p>
      <w:pPr>
        <w:ind w:left="2100" w:right="259" w:hanging="335"/>
        <w:spacing w:after="0" w:line="287"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Merger Agreement Amendment</w:t>
      </w:r>
      <w:r>
        <w:rPr>
          <w:rFonts w:ascii="Times New Roman" w:cs="Times New Roman" w:eastAsia="Times New Roman" w:hAnsi="Times New Roman"/>
          <w:sz w:val="14"/>
          <w:szCs w:val="14"/>
          <w:color w:val="auto"/>
        </w:rPr>
        <w:t>” means that Amendment No. 1 to Agreement and Plan of Merger, dated as of September 12, 2022, by and among us, Merger Sub and Legacy Scilex.</w:t>
      </w:r>
    </w:p>
    <w:p>
      <w:pPr>
        <w:spacing w:after="0" w:line="47" w:lineRule="exact"/>
        <w:rPr>
          <w:rFonts w:ascii="Times New Roman" w:cs="Times New Roman" w:eastAsia="Times New Roman" w:hAnsi="Times New Roman"/>
          <w:sz w:val="14"/>
          <w:szCs w:val="14"/>
          <w:color w:val="auto"/>
        </w:rPr>
      </w:pPr>
    </w:p>
    <w:p>
      <w:pPr>
        <w:ind w:left="2100" w:right="259" w:hanging="335"/>
        <w:spacing w:after="0" w:line="269" w:lineRule="auto"/>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Merger Sub</w:t>
      </w:r>
      <w:r>
        <w:rPr>
          <w:rFonts w:ascii="Times New Roman" w:cs="Times New Roman" w:eastAsia="Times New Roman" w:hAnsi="Times New Roman"/>
          <w:sz w:val="14"/>
          <w:szCs w:val="14"/>
          <w:color w:val="auto"/>
        </w:rPr>
        <w:t>” means Vantage Merger Sub Inc., a Delaware corporation that was a wholly owned subsidiary of Vickers prior to the Closing and that, pursuant to the Scilex Business Combination, was merged with and into Legacy Scilex, with Legacy Scilex continuing as our wholly owned subsidiary.</w:t>
      </w:r>
    </w:p>
    <w:p>
      <w:pPr>
        <w:spacing w:after="0" w:line="59"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Nasdaq</w:t>
      </w:r>
      <w:r>
        <w:rPr>
          <w:rFonts w:ascii="Times New Roman" w:cs="Times New Roman" w:eastAsia="Times New Roman" w:hAnsi="Times New Roman"/>
          <w:sz w:val="14"/>
          <w:szCs w:val="14"/>
          <w:color w:val="auto"/>
        </w:rPr>
        <w:t>” means The Nasdaq Stock Market LLC.</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Nasdaq Listing Rules</w:t>
      </w:r>
      <w:r>
        <w:rPr>
          <w:rFonts w:ascii="Times New Roman" w:cs="Times New Roman" w:eastAsia="Times New Roman" w:hAnsi="Times New Roman"/>
          <w:sz w:val="14"/>
          <w:szCs w:val="14"/>
          <w:color w:val="auto"/>
        </w:rPr>
        <w:t>” means the rules and listing standards of Nasdaq.</w:t>
      </w:r>
    </w:p>
    <w:p>
      <w:pPr>
        <w:spacing w:after="0" w:line="102" w:lineRule="exact"/>
        <w:rPr>
          <w:rFonts w:ascii="Times New Roman" w:cs="Times New Roman" w:eastAsia="Times New Roman" w:hAnsi="Times New Roman"/>
          <w:sz w:val="14"/>
          <w:szCs w:val="14"/>
          <w:color w:val="auto"/>
        </w:rPr>
      </w:pPr>
    </w:p>
    <w:p>
      <w:pPr>
        <w:ind w:left="2100" w:right="339" w:hanging="335"/>
        <w:spacing w:after="0" w:line="287"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October 2024 Noteholder Warrants</w:t>
      </w:r>
      <w:r>
        <w:rPr>
          <w:rFonts w:ascii="Times New Roman" w:cs="Times New Roman" w:eastAsia="Times New Roman" w:hAnsi="Times New Roman"/>
          <w:sz w:val="14"/>
          <w:szCs w:val="14"/>
          <w:color w:val="auto"/>
        </w:rPr>
        <w:t>” means the warrants to purchase up to an aggregate of 214,284 shares of our Common Stock, with a current exercise price of $36.40 per share, issued to the Tranche B Noteholders.</w:t>
      </w:r>
    </w:p>
    <w:p>
      <w:pPr>
        <w:spacing w:after="0" w:line="47" w:lineRule="exact"/>
        <w:rPr>
          <w:rFonts w:ascii="Times New Roman" w:cs="Times New Roman" w:eastAsia="Times New Roman" w:hAnsi="Times New Roman"/>
          <w:sz w:val="14"/>
          <w:szCs w:val="14"/>
          <w:color w:val="auto"/>
        </w:rPr>
      </w:pPr>
    </w:p>
    <w:p>
      <w:pPr>
        <w:jc w:val="both"/>
        <w:ind w:left="2100" w:right="239" w:hanging="335"/>
        <w:spacing w:after="0" w:line="269"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October 2024 Placement Agent Warrants</w:t>
      </w:r>
      <w:r>
        <w:rPr>
          <w:rFonts w:ascii="Times New Roman" w:cs="Times New Roman" w:eastAsia="Times New Roman" w:hAnsi="Times New Roman"/>
          <w:sz w:val="14"/>
          <w:szCs w:val="14"/>
          <w:color w:val="auto"/>
        </w:rPr>
        <w:t>” means the warrants to purchase up to an aggregate of 104,848 shares of Common Stock, with a current exercise price of $36.40 per share, issued to StockBlock and Rodman &amp; Renshaw LLC in connection with the Tranche B Securities Purchase Agreement.</w:t>
      </w:r>
    </w:p>
    <w:p>
      <w:pPr>
        <w:spacing w:after="0" w:line="59"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October 2024 Warrants</w:t>
      </w:r>
      <w:r>
        <w:rPr>
          <w:rFonts w:ascii="Times New Roman" w:cs="Times New Roman" w:eastAsia="Times New Roman" w:hAnsi="Times New Roman"/>
          <w:sz w:val="14"/>
          <w:szCs w:val="14"/>
          <w:color w:val="auto"/>
        </w:rPr>
        <w:t>” means the October 2024 Noteholder Warrants and the October 2024 Placement Agent Warrants.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Oramed</w:t>
      </w:r>
      <w:r>
        <w:rPr>
          <w:rFonts w:ascii="Times New Roman" w:cs="Times New Roman" w:eastAsia="Times New Roman" w:hAnsi="Times New Roman"/>
          <w:sz w:val="14"/>
          <w:szCs w:val="14"/>
          <w:color w:val="auto"/>
        </w:rPr>
        <w:t>” means Oramed Pharmaceuticals Inc., a Delaware corporation.</w:t>
      </w:r>
    </w:p>
    <w:p>
      <w:pPr>
        <w:spacing w:after="0" w:line="102" w:lineRule="exact"/>
        <w:rPr>
          <w:rFonts w:ascii="Times New Roman" w:cs="Times New Roman" w:eastAsia="Times New Roman" w:hAnsi="Times New Roman"/>
          <w:sz w:val="14"/>
          <w:szCs w:val="14"/>
          <w:color w:val="auto"/>
        </w:rPr>
      </w:pPr>
    </w:p>
    <w:p>
      <w:pPr>
        <w:ind w:left="2100" w:right="259" w:hanging="335"/>
        <w:spacing w:after="0" w:line="287"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Oramed Note</w:t>
      </w:r>
      <w:r>
        <w:rPr>
          <w:rFonts w:ascii="Times New Roman" w:cs="Times New Roman" w:eastAsia="Times New Roman" w:hAnsi="Times New Roman"/>
          <w:sz w:val="14"/>
          <w:szCs w:val="14"/>
          <w:color w:val="auto"/>
        </w:rPr>
        <w:t>” means that certain senior secured promissory note issued by us on September 21, 2023 to Oramed due 18 months from the date of issuance in the principal amount of $101,875,000.</w:t>
      </w:r>
    </w:p>
    <w:p>
      <w:pPr>
        <w:spacing w:after="0" w:line="47" w:lineRule="exact"/>
        <w:rPr>
          <w:rFonts w:ascii="Times New Roman" w:cs="Times New Roman" w:eastAsia="Times New Roman" w:hAnsi="Times New Roman"/>
          <w:sz w:val="14"/>
          <w:szCs w:val="14"/>
          <w:color w:val="auto"/>
        </w:rPr>
      </w:pPr>
    </w:p>
    <w:p>
      <w:pPr>
        <w:ind w:left="2100" w:right="399" w:hanging="335"/>
        <w:spacing w:after="0" w:line="287"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Penny Warrants</w:t>
      </w:r>
      <w:r>
        <w:rPr>
          <w:rFonts w:ascii="Times New Roman" w:cs="Times New Roman" w:eastAsia="Times New Roman" w:hAnsi="Times New Roman"/>
          <w:sz w:val="14"/>
          <w:szCs w:val="14"/>
          <w:color w:val="auto"/>
        </w:rPr>
        <w:t>” means the warrants to purchase up to an aggregate of 13,000,000 shares of our Common Stock, each with an exercise price of $0.01 per share, issued to Oramed pursuant to the Scilex-Oramed SPA.</w:t>
      </w:r>
    </w:p>
    <w:p>
      <w:pPr>
        <w:spacing w:after="0" w:line="47" w:lineRule="exact"/>
        <w:rPr>
          <w:rFonts w:ascii="Times New Roman" w:cs="Times New Roman" w:eastAsia="Times New Roman" w:hAnsi="Times New Roman"/>
          <w:sz w:val="14"/>
          <w:szCs w:val="14"/>
          <w:color w:val="auto"/>
        </w:rPr>
      </w:pPr>
    </w:p>
    <w:p>
      <w:pPr>
        <w:ind w:left="2100" w:right="259" w:hanging="335"/>
        <w:spacing w:after="0" w:line="258"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Private Warrants</w:t>
      </w:r>
      <w:r>
        <w:rPr>
          <w:rFonts w:ascii="Times New Roman" w:cs="Times New Roman" w:eastAsia="Times New Roman" w:hAnsi="Times New Roman"/>
          <w:sz w:val="14"/>
          <w:szCs w:val="14"/>
          <w:color w:val="auto"/>
        </w:rPr>
        <w:t>” means, on a pre-Reverse Stock Split basis, the 6,840,000 warrants sold in a private placement to Vickers Venture Fund VI Pte Ltd and Vickers Venture Fund VI (Plan) Pte Ltd consummated on January 11, 2021 (of which 2,736,000 were forfeited pursuant to that certain Sponsor Support Agreement, dated March 17, 2022, by and among the Sponsors, Pei Wei Woo, Suneel Kaji, Steve Myint and Scilex, Inc. (f/k/a Scilex Holding Company) and 3,104,000 were transferred to Sorrento pursuant to that certain Warrant Transfer Agreement, dated as of October 17, 2022, by and among Sorrento, the Sponsors, Vickers and Maxim Group LLC, in each case in connection with the Scilex Business Combination).</w:t>
      </w:r>
    </w:p>
    <w:p>
      <w:pPr>
        <w:spacing w:after="0" w:line="68" w:lineRule="exact"/>
        <w:rPr>
          <w:rFonts w:ascii="Times New Roman" w:cs="Times New Roman" w:eastAsia="Times New Roman" w:hAnsi="Times New Roman"/>
          <w:sz w:val="14"/>
          <w:szCs w:val="14"/>
          <w:color w:val="auto"/>
        </w:rPr>
      </w:pPr>
    </w:p>
    <w:p>
      <w:pPr>
        <w:ind w:left="2100" w:right="239" w:hanging="335"/>
        <w:spacing w:after="0" w:line="222"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Public Warrants</w:t>
      </w:r>
      <w:r>
        <w:rPr>
          <w:rFonts w:ascii="Times New Roman" w:cs="Times New Roman" w:eastAsia="Times New Roman" w:hAnsi="Times New Roman"/>
          <w:sz w:val="14"/>
          <w:szCs w:val="14"/>
          <w:color w:val="auto"/>
        </w:rPr>
        <w:t>” means the redeemable warrants that were included in the Units that, following the Scilex Business Combination and the Reverse Stock Split, entitle the holder of each whole warrant to purchase (1/35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of a share of Common Stock at a price of $402.50 per whole share.</w:t>
      </w:r>
    </w:p>
    <w:p>
      <w:pPr>
        <w:spacing w:after="0" w:line="79"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Reverse Stock Split</w:t>
      </w:r>
      <w:r>
        <w:rPr>
          <w:rFonts w:ascii="Times New Roman" w:cs="Times New Roman" w:eastAsia="Times New Roman" w:hAnsi="Times New Roman"/>
          <w:sz w:val="14"/>
          <w:szCs w:val="14"/>
          <w:color w:val="auto"/>
        </w:rPr>
        <w:t>” means the reverse stock split of our Common Stock at a ratio of 1-for-35, which became effective on April 15, 2025.</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Scilex Business Combination</w:t>
      </w:r>
      <w:r>
        <w:rPr>
          <w:rFonts w:ascii="Times New Roman" w:cs="Times New Roman" w:eastAsia="Times New Roman" w:hAnsi="Times New Roman"/>
          <w:sz w:val="14"/>
          <w:szCs w:val="14"/>
          <w:color w:val="auto"/>
        </w:rPr>
        <w:t>” means the merger contemplated by the Merger Agreement.</w:t>
      </w:r>
    </w:p>
    <w:p>
      <w:pPr>
        <w:spacing w:after="0" w:line="102" w:lineRule="exact"/>
        <w:rPr>
          <w:rFonts w:ascii="Times New Roman" w:cs="Times New Roman" w:eastAsia="Times New Roman" w:hAnsi="Times New Roman"/>
          <w:sz w:val="14"/>
          <w:szCs w:val="14"/>
          <w:color w:val="auto"/>
        </w:rPr>
      </w:pPr>
    </w:p>
    <w:p>
      <w:pPr>
        <w:ind w:left="2100" w:right="259" w:hanging="335"/>
        <w:spacing w:after="0" w:line="287"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Scilex-Oramed SPA</w:t>
      </w:r>
      <w:r>
        <w:rPr>
          <w:rFonts w:ascii="Times New Roman" w:cs="Times New Roman" w:eastAsia="Times New Roman" w:hAnsi="Times New Roman"/>
          <w:sz w:val="14"/>
          <w:szCs w:val="14"/>
          <w:color w:val="auto"/>
        </w:rPr>
        <w:t>” means the Securities Purchase Agreement, dated as of September 21, 2023, by and among us, Oramed and Acquiom Agency Services LLC, as the collateral agent.</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SCLX JV</w:t>
      </w:r>
      <w:r>
        <w:rPr>
          <w:rFonts w:ascii="Times New Roman" w:cs="Times New Roman" w:eastAsia="Times New Roman" w:hAnsi="Times New Roman"/>
          <w:sz w:val="14"/>
          <w:szCs w:val="14"/>
          <w:color w:val="auto"/>
        </w:rPr>
        <w:t>” means SCLX Stock Acquisition JV LLC, our indirect wholly owned subsidiary.</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means the U.S. Securities and Exchange Commission.</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02" w:lineRule="exact"/>
        <w:rPr>
          <w:rFonts w:ascii="Times New Roman" w:cs="Times New Roman" w:eastAsia="Times New Roman" w:hAnsi="Times New Roman"/>
          <w:sz w:val="14"/>
          <w:szCs w:val="14"/>
          <w:color w:val="auto"/>
        </w:rPr>
      </w:pPr>
    </w:p>
    <w:p>
      <w:pPr>
        <w:ind w:left="2100" w:right="259" w:hanging="335"/>
        <w:spacing w:after="0" w:line="269"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 A Certificate of Designations</w:t>
      </w:r>
      <w:r>
        <w:rPr>
          <w:rFonts w:ascii="Times New Roman" w:cs="Times New Roman" w:eastAsia="Times New Roman" w:hAnsi="Times New Roman"/>
          <w:sz w:val="14"/>
          <w:szCs w:val="14"/>
          <w:color w:val="auto"/>
        </w:rPr>
        <w:t>” means the Certificate of Designations of the Company, designating the series of preferred stock, par value $0.0001 per share, of the Company as “Series A Preferred Stock”, filed with the Secretary of State of the State of Delaware on November 10, 2022.</w:t>
      </w:r>
    </w:p>
    <w:p>
      <w:pPr>
        <w:spacing w:after="0" w:line="59" w:lineRule="exact"/>
        <w:rPr>
          <w:rFonts w:ascii="Times New Roman" w:cs="Times New Roman" w:eastAsia="Times New Roman" w:hAnsi="Times New Roman"/>
          <w:sz w:val="14"/>
          <w:szCs w:val="14"/>
          <w:color w:val="auto"/>
        </w:rPr>
      </w:pPr>
    </w:p>
    <w:p>
      <w:pPr>
        <w:ind w:left="2100" w:right="239" w:hanging="335"/>
        <w:spacing w:after="0" w:line="287" w:lineRule="auto"/>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 A Preferred Stock</w:t>
      </w:r>
      <w:r>
        <w:rPr>
          <w:rFonts w:ascii="Times New Roman" w:cs="Times New Roman" w:eastAsia="Times New Roman" w:hAnsi="Times New Roman"/>
          <w:sz w:val="14"/>
          <w:szCs w:val="14"/>
          <w:color w:val="auto"/>
        </w:rPr>
        <w:t>” means the preferred stock, par value $0.0001 per share, of the Company, designated as Series A Preferred Stock pursuant to the Series A Certificate of Designations.</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Sorrento</w:t>
      </w:r>
      <w:r>
        <w:rPr>
          <w:rFonts w:ascii="Times New Roman" w:cs="Times New Roman" w:eastAsia="Times New Roman" w:hAnsi="Times New Roman"/>
          <w:sz w:val="14"/>
          <w:szCs w:val="14"/>
          <w:color w:val="auto"/>
        </w:rPr>
        <w:t>” means Sorrento Therapeutics, Inc.</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Sorrento Group</w:t>
      </w:r>
      <w:r>
        <w:rPr>
          <w:rFonts w:ascii="Times New Roman" w:cs="Times New Roman" w:eastAsia="Times New Roman" w:hAnsi="Times New Roman"/>
          <w:sz w:val="14"/>
          <w:szCs w:val="14"/>
          <w:color w:val="auto"/>
        </w:rPr>
        <w:t>” means Sorrento together with its affiliates, subsidiaries, successors and assigns (other than us and our subsidiaries).</w:t>
      </w:r>
    </w:p>
    <w:p>
      <w:pPr>
        <w:spacing w:after="0" w:line="1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Sorrento SPA</w:t>
      </w:r>
      <w:r>
        <w:rPr>
          <w:rFonts w:ascii="Times New Roman" w:cs="Times New Roman" w:eastAsia="Times New Roman" w:hAnsi="Times New Roman"/>
          <w:sz w:val="14"/>
          <w:szCs w:val="14"/>
          <w:color w:val="auto"/>
        </w:rPr>
        <w:t>” means that certain Stock Purchase Agreement, dated September 21, 2023, between us and Sorrento.</w:t>
      </w:r>
    </w:p>
    <w:p>
      <w:pPr>
        <w:spacing w:after="0" w:line="102" w:lineRule="exact"/>
        <w:rPr>
          <w:rFonts w:ascii="Times New Roman" w:cs="Times New Roman" w:eastAsia="Times New Roman" w:hAnsi="Times New Roman"/>
          <w:sz w:val="14"/>
          <w:szCs w:val="14"/>
          <w:color w:val="auto"/>
        </w:rPr>
      </w:pPr>
    </w:p>
    <w:p>
      <w:pPr>
        <w:ind w:left="2100" w:right="43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Sorrento Trigger Event</w:t>
      </w:r>
      <w:r>
        <w:rPr>
          <w:rFonts w:ascii="Times New Roman" w:cs="Times New Roman" w:eastAsia="Times New Roman" w:hAnsi="Times New Roman"/>
          <w:sz w:val="14"/>
          <w:szCs w:val="14"/>
          <w:color w:val="auto"/>
        </w:rPr>
        <w:t>” means the time that the Sorrento Group first ceases to beneficially own more than 50% in voting power of the then-outstanding shares of our capital stock entitled to vote generally in the election of directors.</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SPAC Warrants</w:t>
      </w:r>
      <w:r>
        <w:rPr>
          <w:rFonts w:ascii="Times New Roman" w:cs="Times New Roman" w:eastAsia="Times New Roman" w:hAnsi="Times New Roman"/>
          <w:sz w:val="14"/>
          <w:szCs w:val="14"/>
          <w:color w:val="auto"/>
        </w:rPr>
        <w:t>” means the Private Warrants and the Public Warrants.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Sponsors</w:t>
      </w:r>
      <w:r>
        <w:rPr>
          <w:rFonts w:ascii="Times New Roman" w:cs="Times New Roman" w:eastAsia="Times New Roman" w:hAnsi="Times New Roman"/>
          <w:sz w:val="14"/>
          <w:szCs w:val="14"/>
          <w:color w:val="auto"/>
        </w:rPr>
        <w:t>” means Vickers Venture Fund VI Pte Ltd and Vickers Venture Fund VI (Plan) Pte Ltd.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StockBlock</w:t>
      </w:r>
      <w:r>
        <w:rPr>
          <w:rFonts w:ascii="Times New Roman" w:cs="Times New Roman" w:eastAsia="Times New Roman" w:hAnsi="Times New Roman"/>
          <w:sz w:val="14"/>
          <w:szCs w:val="14"/>
          <w:color w:val="auto"/>
        </w:rPr>
        <w:t>” means StockBlock Securities LLC.</w:t>
      </w:r>
    </w:p>
    <w:p>
      <w:pPr>
        <w:spacing w:after="0" w:line="102" w:lineRule="exact"/>
        <w:rPr>
          <w:rFonts w:ascii="Times New Roman" w:cs="Times New Roman" w:eastAsia="Times New Roman" w:hAnsi="Times New Roman"/>
          <w:sz w:val="14"/>
          <w:szCs w:val="14"/>
          <w:color w:val="auto"/>
        </w:rPr>
      </w:pPr>
    </w:p>
    <w:p>
      <w:pPr>
        <w:ind w:left="2100" w:right="27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StockBlock Warrants</w:t>
      </w:r>
      <w:r>
        <w:rPr>
          <w:rFonts w:ascii="Times New Roman" w:cs="Times New Roman" w:eastAsia="Times New Roman" w:hAnsi="Times New Roman"/>
          <w:sz w:val="14"/>
          <w:szCs w:val="14"/>
          <w:color w:val="auto"/>
        </w:rPr>
        <w:t>” means the warrants to purchase up to an aggregate of 131,472 shares of our Common Stock, with an exercise price of $25.81 per share, issued to StockBlock pursuant to the December 2024 RDO Purchase Agreement.</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Stockholder Agreement</w:t>
      </w:r>
      <w:r>
        <w:rPr>
          <w:rFonts w:ascii="Times New Roman" w:cs="Times New Roman" w:eastAsia="Times New Roman" w:hAnsi="Times New Roman"/>
          <w:sz w:val="14"/>
          <w:szCs w:val="14"/>
          <w:color w:val="auto"/>
        </w:rPr>
        <w:t>” means the Stockholder Agreement, dated as of September 12, 2022, between Vickers and Sorrento.</w:t>
      </w:r>
    </w:p>
    <w:p>
      <w:pPr>
        <w:spacing w:after="0" w:line="102" w:lineRule="exact"/>
        <w:rPr>
          <w:rFonts w:ascii="Times New Roman" w:cs="Times New Roman" w:eastAsia="Times New Roman" w:hAnsi="Times New Roman"/>
          <w:sz w:val="14"/>
          <w:szCs w:val="14"/>
          <w:color w:val="auto"/>
        </w:rPr>
      </w:pPr>
    </w:p>
    <w:p>
      <w:pPr>
        <w:ind w:left="2100" w:right="79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Tranche B Investors</w:t>
      </w:r>
      <w:r>
        <w:rPr>
          <w:rFonts w:ascii="Times New Roman" w:cs="Times New Roman" w:eastAsia="Times New Roman" w:hAnsi="Times New Roman"/>
          <w:sz w:val="14"/>
          <w:szCs w:val="14"/>
          <w:color w:val="auto"/>
        </w:rPr>
        <w:t>” means each of the investors listed on the schedule of buyers attached to the Tranche B Securities Purchase Agreement other than Oramed.</w:t>
      </w:r>
    </w:p>
    <w:p>
      <w:pPr>
        <w:spacing w:after="0" w:line="47"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Tranche B Letter Agreement</w:t>
      </w:r>
      <w:r>
        <w:rPr>
          <w:rFonts w:ascii="Times New Roman" w:cs="Times New Roman" w:eastAsia="Times New Roman" w:hAnsi="Times New Roman"/>
          <w:sz w:val="14"/>
          <w:szCs w:val="14"/>
          <w:color w:val="auto"/>
        </w:rPr>
        <w:t>” means that certain letter agreement, dated as of October 2, 2025, entered into between us and Oramed.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Tranche B Noteholders</w:t>
      </w:r>
      <w:r>
        <w:rPr>
          <w:rFonts w:ascii="Times New Roman" w:cs="Times New Roman" w:eastAsia="Times New Roman" w:hAnsi="Times New Roman"/>
          <w:sz w:val="14"/>
          <w:szCs w:val="14"/>
          <w:color w:val="auto"/>
        </w:rPr>
        <w:t>” means the Tranche B Investors and Oramed.</w:t>
      </w:r>
    </w:p>
    <w:p>
      <w:pPr>
        <w:spacing w:after="0" w:line="102" w:lineRule="exact"/>
        <w:rPr>
          <w:rFonts w:ascii="Times New Roman" w:cs="Times New Roman" w:eastAsia="Times New Roman" w:hAnsi="Times New Roman"/>
          <w:sz w:val="14"/>
          <w:szCs w:val="14"/>
          <w:color w:val="auto"/>
        </w:rPr>
      </w:pPr>
    </w:p>
    <w:p>
      <w:pPr>
        <w:ind w:left="2100" w:right="61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Tranche B Notes</w:t>
      </w:r>
      <w:r>
        <w:rPr>
          <w:rFonts w:ascii="Times New Roman" w:cs="Times New Roman" w:eastAsia="Times New Roman" w:hAnsi="Times New Roman"/>
          <w:sz w:val="14"/>
          <w:szCs w:val="14"/>
          <w:color w:val="auto"/>
        </w:rPr>
        <w:t>” means those certain tranche B senior secured convertible notes issued by us on October 8, 2024 to the Tranche B Noteholders, due on the second anniversary of the issuance date in the principal amount of $50.0 million.</w:t>
      </w:r>
    </w:p>
    <w:p>
      <w:pPr>
        <w:spacing w:after="0" w:line="47" w:lineRule="exact"/>
        <w:rPr>
          <w:rFonts w:ascii="Times New Roman" w:cs="Times New Roman" w:eastAsia="Times New Roman" w:hAnsi="Times New Roman"/>
          <w:sz w:val="14"/>
          <w:szCs w:val="14"/>
          <w:color w:val="auto"/>
        </w:rPr>
      </w:pPr>
    </w:p>
    <w:p>
      <w:pPr>
        <w:ind w:left="2100" w:right="29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Tranche B Securities Purchase Agreement</w:t>
      </w:r>
      <w:r>
        <w:rPr>
          <w:rFonts w:ascii="Times New Roman" w:cs="Times New Roman" w:eastAsia="Times New Roman" w:hAnsi="Times New Roman"/>
          <w:sz w:val="14"/>
          <w:szCs w:val="14"/>
          <w:color w:val="auto"/>
        </w:rPr>
        <w:t>” means that certain securities purchase agreement, dated as of October 7, 2024, among us, the investors listed on the schedule of buyers attached thereto and Oramed.</w:t>
      </w:r>
    </w:p>
    <w:p>
      <w:pPr>
        <w:spacing w:after="0" w:line="47" w:lineRule="exact"/>
        <w:rPr>
          <w:rFonts w:ascii="Times New Roman" w:cs="Times New Roman" w:eastAsia="Times New Roman" w:hAnsi="Times New Roman"/>
          <w:sz w:val="14"/>
          <w:szCs w:val="14"/>
          <w:color w:val="auto"/>
        </w:rPr>
      </w:pPr>
    </w:p>
    <w:p>
      <w:pPr>
        <w:ind w:left="2100" w:right="299" w:hanging="335"/>
        <w:spacing w:after="0" w:line="263"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Units</w:t>
      </w:r>
      <w:r>
        <w:rPr>
          <w:rFonts w:ascii="Times New Roman" w:cs="Times New Roman" w:eastAsia="Times New Roman" w:hAnsi="Times New Roman"/>
          <w:sz w:val="14"/>
          <w:szCs w:val="14"/>
          <w:color w:val="auto"/>
        </w:rPr>
        <w:t>” means the units of Vickers, each of which consisted of one Vickers Ordinary Share and one-half of one redeemable warrant upon the consummation of an initial business combination, which units, if not separated into its component securities as of immediately prior to the Effective Time were, without any action on the part of the holder, separated automatically into its component securities, comprised of one share of Common Stock and one-half of one warrant to purchase one share of Common Stock.</w:t>
      </w:r>
    </w:p>
    <w:p>
      <w:pPr>
        <w:spacing w:after="0" w:line="63"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Vickers</w:t>
      </w:r>
      <w:r>
        <w:rPr>
          <w:rFonts w:ascii="Times New Roman" w:cs="Times New Roman" w:eastAsia="Times New Roman" w:hAnsi="Times New Roman"/>
          <w:sz w:val="14"/>
          <w:szCs w:val="14"/>
          <w:color w:val="auto"/>
        </w:rPr>
        <w:t>” means Vickers Vantage Corp. I, our predecessor company.</w:t>
      </w:r>
    </w:p>
    <w:p>
      <w:pPr>
        <w:spacing w:after="0" w:line="102" w:lineRule="exact"/>
        <w:rPr>
          <w:rFonts w:ascii="Times New Roman" w:cs="Times New Roman" w:eastAsia="Times New Roman" w:hAnsi="Times New Roman"/>
          <w:sz w:val="14"/>
          <w:szCs w:val="14"/>
          <w:color w:val="auto"/>
        </w:rPr>
      </w:pPr>
    </w:p>
    <w:p>
      <w:pPr>
        <w:ind w:left="2100" w:right="45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Vickers Ordinary Shares</w:t>
      </w:r>
      <w:r>
        <w:rPr>
          <w:rFonts w:ascii="Times New Roman" w:cs="Times New Roman" w:eastAsia="Times New Roman" w:hAnsi="Times New Roman"/>
          <w:sz w:val="14"/>
          <w:szCs w:val="14"/>
          <w:color w:val="auto"/>
        </w:rPr>
        <w:t>” means (i) the ordinary shares, par value $0.0001 per share, of Vickers prior to the Domestication and (ii) the Common Stock following the Domestication.</w:t>
      </w:r>
    </w:p>
    <w:p>
      <w:pPr>
        <w:spacing w:after="0" w:line="47" w:lineRule="exact"/>
        <w:rPr>
          <w:rFonts w:ascii="Times New Roman" w:cs="Times New Roman" w:eastAsia="Times New Roman" w:hAnsi="Times New Roman"/>
          <w:sz w:val="14"/>
          <w:szCs w:val="14"/>
          <w:color w:val="auto"/>
        </w:rPr>
      </w:pPr>
    </w:p>
    <w:p>
      <w:pPr>
        <w:ind w:left="2100" w:right="599" w:hanging="335"/>
        <w:spacing w:after="0" w:line="287"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Warrant Exchange Agreements</w:t>
      </w:r>
      <w:r>
        <w:rPr>
          <w:rFonts w:ascii="Times New Roman" w:cs="Times New Roman" w:eastAsia="Times New Roman" w:hAnsi="Times New Roman"/>
          <w:sz w:val="14"/>
          <w:szCs w:val="14"/>
          <w:color w:val="auto"/>
        </w:rPr>
        <w:t>” means each of the Warrant Exchange Agreements, dated July 22, 2025, between us and each of the investors named therein.</w:t>
      </w:r>
    </w:p>
    <w:p>
      <w:pPr>
        <w:spacing w:after="0" w:line="7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4685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5467985" cy="4685030"/>
                    </a:xfrm>
                    <a:prstGeom prst="rect">
                      <a:avLst/>
                    </a:prstGeom>
                    <a:noFill/>
                  </pic:spPr>
                </pic:pic>
              </a:graphicData>
            </a:graphic>
          </wp:anchor>
        </w:drawing>
      </w:r>
    </w:p>
    <w:p>
      <w:pPr>
        <w:spacing w:after="0" w:line="3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6" w:lineRule="exact"/>
        <w:rPr>
          <w:sz w:val="20"/>
          <w:szCs w:val="20"/>
          <w:color w:val="auto"/>
        </w:rPr>
      </w:pPr>
    </w:p>
    <w:p>
      <w:pPr>
        <w:ind w:left="1480" w:right="379" w:firstLine="333"/>
        <w:spacing w:after="0" w:line="256"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in this prospectus or in the documents incorporated by reference into this prospectus. Because it is only a summary, it does not contain all of the information you should consider before investing in our securities and it is qualified in its entirety by, and should be read in conjunction with, the more detailed information included elsewhere in this prospectus and the documents incorporated by reference into this prospectus. Before you decide whether to purchase our securities, you should read this entire prospectus carefully, including the section of this prospectus titled “Risk Factors” and similar headings in the other documents that are incorporated by reference into this prospectus. You should also carefully read the information incorporated by reference into this prospectus, including our financial statements and the related notes, as well as the exhibits to the registration statement of which this prospectus is a part.</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94" w:lineRule="exact"/>
        <w:rPr>
          <w:sz w:val="20"/>
          <w:szCs w:val="20"/>
          <w:color w:val="auto"/>
        </w:rPr>
      </w:pPr>
    </w:p>
    <w:p>
      <w:pPr>
        <w:ind w:left="1480" w:right="499" w:firstLine="333"/>
        <w:spacing w:after="0" w:line="268" w:lineRule="auto"/>
        <w:rPr>
          <w:sz w:val="20"/>
          <w:szCs w:val="20"/>
          <w:color w:val="auto"/>
        </w:rPr>
      </w:pPr>
      <w:r>
        <w:rPr>
          <w:rFonts w:ascii="Times New Roman" w:cs="Times New Roman" w:eastAsia="Times New Roman" w:hAnsi="Times New Roman"/>
          <w:sz w:val="14"/>
          <w:szCs w:val="14"/>
          <w:color w:val="auto"/>
        </w:rPr>
        <w:t>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w:t>
      </w:r>
    </w:p>
    <w:p>
      <w:pPr>
        <w:spacing w:after="0" w:line="135" w:lineRule="exact"/>
        <w:rPr>
          <w:sz w:val="20"/>
          <w:szCs w:val="20"/>
          <w:color w:val="auto"/>
        </w:rPr>
      </w:pPr>
    </w:p>
    <w:p>
      <w:pPr>
        <w:ind w:left="1480" w:right="439" w:firstLine="333"/>
        <w:spacing w:after="0" w:line="213" w:lineRule="auto"/>
        <w:rPr>
          <w:sz w:val="20"/>
          <w:szCs w:val="20"/>
          <w:color w:val="auto"/>
        </w:rPr>
      </w:pPr>
      <w:r>
        <w:rPr>
          <w:rFonts w:ascii="Times New Roman" w:cs="Times New Roman" w:eastAsia="Times New Roman" w:hAnsi="Times New Roman"/>
          <w:sz w:val="14"/>
          <w:szCs w:val="14"/>
          <w:color w:val="auto"/>
        </w:rPr>
        <w:t>Our commercial products are: (i) ZTlido (lidocaine topical system) 1.8%, a prescription lidocaine topical product approved by the U.S. Food and Drug Administration (the “FDA”) for the relief of neuropathic pain associated with postherpetic neuralgia (“PHN”), which is a form of post-shingles nerve pain; (ii) ELYXYB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 potential first-line treatment and the only FDA-approved, ready-to-use oral solution for the acute treatment of migraine, with or without aura, in adults; and (iii) GLOPERBA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the first and only liquid oral version of the anti-gout medicine colchicine indicated for the prophylaxis of painful gout flares in adults, which launched in June 2024. In addition, we have three product candidates:</w:t>
      </w:r>
    </w:p>
    <w:p>
      <w:pPr>
        <w:spacing w:after="0" w:line="1" w:lineRule="exact"/>
        <w:rPr>
          <w:sz w:val="20"/>
          <w:szCs w:val="20"/>
          <w:color w:val="auto"/>
        </w:rPr>
      </w:pPr>
    </w:p>
    <w:p>
      <w:pPr>
        <w:ind w:left="1480" w:right="439" w:firstLine="6"/>
        <w:spacing w:after="0" w:line="253" w:lineRule="auto"/>
        <w:tabs>
          <w:tab w:leader="none" w:pos="164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SP-102 (10 mg, dexamethasone sodium phosphate viscous gel) (“SEMDEXAÔ”), a novel, viscous gel formulation of a widely used corticosteroid for epidural injections to treat lumbosacral radicular pain, or sciatica for which we have completed a Phase 3 study; (ii) SP-103 (lidocaine topical system) 5.4% (“SP-103”), a next-generation, triple-strength formulation of ZTlido, for the treatment of acute pain and for which we have completed a Phase 2 trial in acute low back pain (“LBP”); and (iii) SP-104 (4.5 mg, low-dose naltrexone hydrochloride delayed-release capsules) (“SP-104”), a novel low-dose delayed-release naltrexone hydrochloride being developed for the treatment of fibromyalgia, for which Phase 1 trials were completed. We believe our currently approved products and future product candidates, if approved by the FDA, could uniquely address what we believe are the significant unmet needs of the targeted populations and become the preferred treatment option for their respective indications.</w:t>
      </w:r>
    </w:p>
    <w:p>
      <w:pPr>
        <w:spacing w:after="0" w:line="146" w:lineRule="exact"/>
        <w:rPr>
          <w:sz w:val="20"/>
          <w:szCs w:val="20"/>
          <w:color w:val="auto"/>
        </w:rPr>
      </w:pPr>
    </w:p>
    <w:p>
      <w:pPr>
        <w:ind w:left="1480" w:right="419" w:firstLine="333"/>
        <w:spacing w:after="0" w:line="259" w:lineRule="auto"/>
        <w:rPr>
          <w:sz w:val="20"/>
          <w:szCs w:val="20"/>
          <w:color w:val="auto"/>
        </w:rPr>
      </w:pPr>
      <w:r>
        <w:rPr>
          <w:rFonts w:ascii="Times New Roman" w:cs="Times New Roman" w:eastAsia="Times New Roman" w:hAnsi="Times New Roman"/>
          <w:sz w:val="14"/>
          <w:szCs w:val="14"/>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w:t>
      </w:r>
    </w:p>
    <w:p>
      <w:pPr>
        <w:spacing w:after="0" w:line="143" w:lineRule="exact"/>
        <w:rPr>
          <w:sz w:val="20"/>
          <w:szCs w:val="20"/>
          <w:color w:val="auto"/>
        </w:rPr>
      </w:pPr>
    </w:p>
    <w:p>
      <w:pPr>
        <w:ind w:left="1480" w:right="439" w:firstLine="333"/>
        <w:spacing w:after="0" w:line="259" w:lineRule="auto"/>
        <w:rPr>
          <w:sz w:val="20"/>
          <w:szCs w:val="20"/>
          <w:color w:val="auto"/>
        </w:rPr>
      </w:pPr>
      <w:r>
        <w:rPr>
          <w:rFonts w:ascii="Times New Roman" w:cs="Times New Roman" w:eastAsia="Times New Roman" w:hAnsi="Times New Roman"/>
          <w:sz w:val="14"/>
          <w:szCs w:val="14"/>
          <w:color w:val="auto"/>
        </w:rPr>
        <w:t>We have adopted a cryptocurrency treasury strategy in which we intend to invest in Bitcoin, Ethereum and other blockchain-linked cryptocurrencies. We intend to accumulate such cryptocurrencies as a long-term treasury asset. Our goal is to acquire and grow our overall cryptocurrency position and utilize professional treasury strategies to both increase our cryptocurrency holdings, while driving revenue via a range of staking and related yield-generating activities. In the future, we plan to evaluate additional cryptocurrency holdings and transactions, including but not limited to strategic investments and/or acquisitions of operating companies that we view as</w:t>
      </w:r>
    </w:p>
    <w:p>
      <w:pPr>
        <w:spacing w:after="0" w:line="23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4577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5467985" cy="4577715"/>
                    </a:xfrm>
                    <a:prstGeom prst="rect">
                      <a:avLst/>
                    </a:prstGeom>
                    <a:noFill/>
                  </pic:spPr>
                </pic:pic>
              </a:graphicData>
            </a:graphic>
          </wp:anchor>
        </w:drawing>
      </w:r>
    </w:p>
    <w:p>
      <w:pPr>
        <w:spacing w:after="0" w:line="367" w:lineRule="exact"/>
        <w:rPr>
          <w:sz w:val="20"/>
          <w:szCs w:val="20"/>
          <w:color w:val="auto"/>
        </w:rPr>
      </w:pPr>
    </w:p>
    <w:p>
      <w:pPr>
        <w:ind w:left="1480" w:right="539"/>
        <w:spacing w:after="0" w:line="287" w:lineRule="auto"/>
        <w:rPr>
          <w:sz w:val="20"/>
          <w:szCs w:val="20"/>
          <w:color w:val="auto"/>
        </w:rPr>
      </w:pPr>
      <w:r>
        <w:rPr>
          <w:rFonts w:ascii="Times New Roman" w:cs="Times New Roman" w:eastAsia="Times New Roman" w:hAnsi="Times New Roman"/>
          <w:sz w:val="14"/>
          <w:szCs w:val="14"/>
          <w:color w:val="auto"/>
        </w:rPr>
        <w:t>aligned with our cryptocurrency treasury strategy. For more information, please see the section titled “</w:t>
      </w:r>
      <w:r>
        <w:rPr>
          <w:rFonts w:ascii="Times New Roman" w:cs="Times New Roman" w:eastAsia="Times New Roman" w:hAnsi="Times New Roman"/>
          <w:sz w:val="14"/>
          <w:szCs w:val="14"/>
          <w:i w:val="1"/>
          <w:iCs w:val="1"/>
          <w:color w:val="auto"/>
        </w:rPr>
        <w:t>Business — Our Treasury Strategy</w:t>
      </w:r>
      <w:r>
        <w:rPr>
          <w:rFonts w:ascii="Times New Roman" w:cs="Times New Roman" w:eastAsia="Times New Roman" w:hAnsi="Times New Roman"/>
          <w:sz w:val="14"/>
          <w:szCs w:val="14"/>
          <w:color w:val="auto"/>
        </w:rPr>
        <w:t>” in our Annual Report on Form 10-K for the year ended December 31, 2025.</w:t>
      </w:r>
    </w:p>
    <w:p>
      <w:pPr>
        <w:spacing w:after="0" w:line="2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Our Products</w:t>
      </w:r>
    </w:p>
    <w:p>
      <w:pPr>
        <w:spacing w:after="0" w:line="94" w:lineRule="exact"/>
        <w:rPr>
          <w:sz w:val="20"/>
          <w:szCs w:val="20"/>
          <w:color w:val="auto"/>
        </w:rPr>
      </w:pPr>
    </w:p>
    <w:p>
      <w:pPr>
        <w:ind w:left="1480" w:right="399" w:firstLine="333"/>
        <w:spacing w:after="0" w:line="254" w:lineRule="auto"/>
        <w:rPr>
          <w:sz w:val="20"/>
          <w:szCs w:val="20"/>
          <w:color w:val="auto"/>
        </w:rPr>
      </w:pPr>
      <w:r>
        <w:rPr>
          <w:rFonts w:ascii="Times New Roman" w:cs="Times New Roman" w:eastAsia="Times New Roman" w:hAnsi="Times New Roman"/>
          <w:sz w:val="14"/>
          <w:szCs w:val="14"/>
          <w:color w:val="auto"/>
        </w:rPr>
        <w:t>We launched our first commercial product, ZTlido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Koseido Co., Ltd. (“Oishi”) in Japan. We license the rights to ZTlido from and rely exclusively on Oishi and Itochu Chemical Frontier Corporation (“Itochu”) pursuant to the Product Development Agreement (the “Product Development Agreement”) dated as of May 11, 2011, by and among Scilex Pharmaceuticals Inc., our wholly owned subsidiary (“Scilex Pharma”), Oishi and Itochu, and the Commercial Supply Agreement (the “Commercial Supply Agreement”), dated as of February 16, 2017, by and among Scilex Pharma, Oishi and Itochu. We have exclusive worldwide rights to Oishi’s proprietary formulation and manufacturing technologies except with respect to Japan. In 2025, there were more than 206 million prescription lidocaine patches sold in the United States, according to Symphony Healthcare.</w:t>
      </w:r>
    </w:p>
    <w:p>
      <w:pPr>
        <w:spacing w:after="0" w:line="150" w:lineRule="exact"/>
        <w:rPr>
          <w:sz w:val="20"/>
          <w:szCs w:val="20"/>
          <w:color w:val="auto"/>
        </w:rPr>
      </w:pPr>
    </w:p>
    <w:p>
      <w:pPr>
        <w:ind w:left="1480" w:right="359" w:firstLine="333"/>
        <w:spacing w:after="0" w:line="261" w:lineRule="auto"/>
        <w:rPr>
          <w:sz w:val="20"/>
          <w:szCs w:val="20"/>
          <w:color w:val="auto"/>
        </w:rPr>
      </w:pPr>
      <w:r>
        <w:rPr>
          <w:rFonts w:ascii="Times New Roman" w:cs="Times New Roman" w:eastAsia="Times New Roman" w:hAnsi="Times New Roman"/>
          <w:sz w:val="14"/>
          <w:szCs w:val="14"/>
          <w:color w:val="auto"/>
        </w:rPr>
        <w:t>We launched our second commercial product, ELYXYBÒ in April 2023. We acquired the rights to certain patents, trademarks, regulatory approvals, data, contracts, and other rights related to ELYXYBÒ (celecoxib oral solution) and the commercialization thereof in the United States and Canada from BioDelivery Sciences International, Inc. and Collegium Pharmaceutical, Inc. in February 2023. ELYXYBÒ is a potential first-line treatment and the only FDA-approved, ready-to-use oral solution for the acute treatment of migraine, with or without aura, in adults. We filed a New Drug Submission to Health Canada’s Pharmaceutical Drugs Directorate, Bureau of Cardiology, Allergy and Neurological Sciences for the approval of ELYXYB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for acute treatment of migraine with or without aura in Canada.</w:t>
      </w:r>
    </w:p>
    <w:p>
      <w:pPr>
        <w:spacing w:after="0" w:line="43" w:lineRule="exact"/>
        <w:rPr>
          <w:sz w:val="20"/>
          <w:szCs w:val="20"/>
          <w:color w:val="auto"/>
        </w:rPr>
      </w:pPr>
    </w:p>
    <w:p>
      <w:pPr>
        <w:ind w:left="1480" w:right="379" w:firstLine="333"/>
        <w:spacing w:after="0" w:line="241" w:lineRule="auto"/>
        <w:rPr>
          <w:sz w:val="20"/>
          <w:szCs w:val="20"/>
          <w:color w:val="auto"/>
        </w:rPr>
      </w:pPr>
      <w:r>
        <w:rPr>
          <w:rFonts w:ascii="Times New Roman" w:cs="Times New Roman" w:eastAsia="Times New Roman" w:hAnsi="Times New Roman"/>
          <w:sz w:val="14"/>
          <w:szCs w:val="14"/>
          <w:color w:val="auto"/>
        </w:rPr>
        <w:t>We launched our third commercial product, GLOPERBA, in June 2024. We acquired certain rights to GLOPERBA and the exclusive license to use the trademark “GLOPERBA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pursuant to a License and Commercialization Agreement we entered into with RxOmeg Therapeutics LLC (a/k/a Romeg Therapeutics, LLC) (“Romeg”), dated as of June 14, 2022, which agreement was subsequently amended on January 16, 2025 (such agreement, as so amended, the “Romeg License Agreement”). GLOPERBA is an FDA-approved, liquid,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United States is observed to have a high prevalence of gout, owing to lifestyle issues such as high alcohol intake, obesity, and smoking. We commercialized GLOPERBA in June 2024 and believe we are well positioned to market and distribute the product. We have a direct distribution network to national and regional wholesalers and pharmacies throughout the United States.</w:t>
      </w:r>
    </w:p>
    <w:p>
      <w:pPr>
        <w:spacing w:after="0" w:line="2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i w:val="1"/>
          <w:iCs w:val="1"/>
          <w:color w:val="auto"/>
        </w:rPr>
        <w:t>Our Product Candidates</w:t>
      </w:r>
    </w:p>
    <w:p>
      <w:pPr>
        <w:spacing w:after="0" w:line="94" w:lineRule="exact"/>
        <w:rPr>
          <w:sz w:val="20"/>
          <w:szCs w:val="20"/>
          <w:color w:val="auto"/>
        </w:rPr>
      </w:pPr>
    </w:p>
    <w:p>
      <w:pPr>
        <w:ind w:left="1480" w:right="539" w:firstLine="333"/>
        <w:spacing w:after="0" w:line="228" w:lineRule="auto"/>
        <w:rPr>
          <w:sz w:val="20"/>
          <w:szCs w:val="20"/>
          <w:color w:val="auto"/>
        </w:rPr>
      </w:pPr>
      <w:r>
        <w:rPr>
          <w:rFonts w:ascii="Times New Roman" w:cs="Times New Roman" w:eastAsia="Times New Roman" w:hAnsi="Times New Roman"/>
          <w:sz w:val="14"/>
          <w:szCs w:val="14"/>
          <w:color w:val="auto"/>
        </w:rPr>
        <w:t>We acquired SP-102 from Semnur Pharmaceuticals, Inc. (“Semnur”)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has been granted fast track designation by the FDA and, if approved, could become the only FDA-approved ESI for the treatment of sciatica. According to a report by Decision</w:t>
      </w:r>
    </w:p>
    <w:p>
      <w:pPr>
        <w:spacing w:after="0" w:line="2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4718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467985" cy="4718685"/>
                    </a:xfrm>
                    <a:prstGeom prst="rect">
                      <a:avLst/>
                    </a:prstGeom>
                    <a:noFill/>
                  </pic:spPr>
                </pic:pic>
              </a:graphicData>
            </a:graphic>
          </wp:anchor>
        </w:drawing>
      </w:r>
    </w:p>
    <w:p>
      <w:pPr>
        <w:spacing w:after="0" w:line="369" w:lineRule="exact"/>
        <w:rPr>
          <w:sz w:val="20"/>
          <w:szCs w:val="20"/>
          <w:color w:val="auto"/>
        </w:rPr>
      </w:pPr>
    </w:p>
    <w:p>
      <w:pPr>
        <w:ind w:left="1480" w:right="419"/>
        <w:spacing w:after="0" w:line="254" w:lineRule="auto"/>
        <w:rPr>
          <w:sz w:val="20"/>
          <w:szCs w:val="20"/>
          <w:color w:val="auto"/>
        </w:rPr>
      </w:pPr>
      <w:r>
        <w:rPr>
          <w:rFonts w:ascii="Times New Roman" w:cs="Times New Roman" w:eastAsia="Times New Roman" w:hAnsi="Times New Roman"/>
          <w:sz w:val="14"/>
          <w:szCs w:val="14"/>
          <w:color w:val="auto"/>
        </w:rPr>
        <w:t>Resources Group, it was estimated that over 4.8 million patients would suffer from sciatica in the United States in 2022.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SP-103, if approved, could become the first FDA-approved lidocaine topical product for the treatment of acute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w:t>
      </w:r>
    </w:p>
    <w:p>
      <w:pPr>
        <w:spacing w:after="0" w:line="148" w:lineRule="exact"/>
        <w:rPr>
          <w:sz w:val="20"/>
          <w:szCs w:val="20"/>
          <w:color w:val="auto"/>
        </w:rPr>
      </w:pPr>
    </w:p>
    <w:p>
      <w:pPr>
        <w:ind w:left="1480" w:right="399" w:firstLine="333"/>
        <w:spacing w:after="0" w:line="262" w:lineRule="auto"/>
        <w:rPr>
          <w:sz w:val="20"/>
          <w:szCs w:val="20"/>
          <w:color w:val="auto"/>
        </w:rPr>
      </w:pPr>
      <w:r>
        <w:rPr>
          <w:rFonts w:ascii="Times New Roman" w:cs="Times New Roman" w:eastAsia="Times New Roman" w:hAnsi="Times New Roman"/>
          <w:sz w:val="14"/>
          <w:szCs w:val="14"/>
          <w:color w:val="auto"/>
        </w:rPr>
        <w:t>In April 2025, Scilex Bio, Inc. (“Scilex Bio”), our subsidiary, signed an agreement with NeuroBiogen Company (“NBG”) to grant Scilex Bio an exclusive worldwide license to the franchise KDS2010 drug candidate to develop and commercialize in metabolic diseases (including obesity and type 2 diabetes) and neurodegenerative diseases, including Alzheimer’s, Parkinson’s and other CNS diseases. The lead program in the proposed joint venture is an oral tablet product candidate that is currently in Phase 2 trials in obesity and Alzheimer’s disease indications.</w:t>
      </w:r>
    </w:p>
    <w:p>
      <w:pPr>
        <w:spacing w:after="0" w:line="140" w:lineRule="exact"/>
        <w:rPr>
          <w:sz w:val="20"/>
          <w:szCs w:val="20"/>
          <w:color w:val="auto"/>
        </w:rPr>
      </w:pPr>
    </w:p>
    <w:p>
      <w:pPr>
        <w:ind w:left="1480" w:right="379" w:firstLine="333"/>
        <w:spacing w:after="0" w:line="268" w:lineRule="auto"/>
        <w:rPr>
          <w:sz w:val="20"/>
          <w:szCs w:val="20"/>
          <w:color w:val="auto"/>
        </w:rPr>
      </w:pPr>
      <w:r>
        <w:rPr>
          <w:rFonts w:ascii="Times New Roman" w:cs="Times New Roman" w:eastAsia="Times New Roman" w:hAnsi="Times New Roman"/>
          <w:sz w:val="14"/>
          <w:szCs w:val="14"/>
          <w:color w:val="auto"/>
        </w:rPr>
        <w:t>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The following chart illustrates completed and anticipated milestones for our current commercial products and novel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80" w:right="619" w:firstLine="333"/>
        <w:spacing w:after="0" w:line="268" w:lineRule="auto"/>
        <w:rPr>
          <w:sz w:val="20"/>
          <w:szCs w:val="20"/>
          <w:color w:val="auto"/>
        </w:rPr>
      </w:pPr>
      <w:r>
        <w:rPr>
          <w:rFonts w:ascii="Times New Roman" w:cs="Times New Roman" w:eastAsia="Times New Roman" w:hAnsi="Times New Roman"/>
          <w:sz w:val="14"/>
          <w:szCs w:val="14"/>
          <w:color w:val="auto"/>
        </w:rPr>
        <w:t>For a complete description of our business, financial condition, results of operations and other important information, we refer you to our filings with the SEC that are incorporated by reference into this prospectus, including our Annual Report on Form 10-K for the year ended December 31, 2025, as amended, supplemented or</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47923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467985" cy="4792345"/>
                    </a:xfrm>
                    <a:prstGeom prst="rect">
                      <a:avLst/>
                    </a:prstGeom>
                    <a:noFill/>
                  </pic:spPr>
                </pic:pic>
              </a:graphicData>
            </a:graphic>
          </wp:anchor>
        </w:drawing>
      </w:r>
    </w:p>
    <w:p>
      <w:pPr>
        <w:spacing w:after="0" w:line="369" w:lineRule="exact"/>
        <w:rPr>
          <w:sz w:val="20"/>
          <w:szCs w:val="20"/>
          <w:color w:val="auto"/>
        </w:rPr>
      </w:pPr>
    </w:p>
    <w:p>
      <w:pPr>
        <w:ind w:left="1480" w:right="579"/>
        <w:spacing w:after="0" w:line="284" w:lineRule="auto"/>
        <w:rPr>
          <w:sz w:val="20"/>
          <w:szCs w:val="20"/>
          <w:color w:val="auto"/>
        </w:rPr>
      </w:pPr>
      <w:r>
        <w:rPr>
          <w:rFonts w:ascii="Times New Roman" w:cs="Times New Roman" w:eastAsia="Times New Roman" w:hAnsi="Times New Roman"/>
          <w:sz w:val="14"/>
          <w:szCs w:val="14"/>
          <w:color w:val="auto"/>
        </w:rPr>
        <w:t>superseded from time to time by other reports we have filed or will file with the SEC in the future, which are incorporated by reference into this prospectus. For instructions on how to find copies of these documents,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this prospectus for a discussion of some of the risks related to the execution of our business strategy.</w:t>
      </w:r>
    </w:p>
    <w:p>
      <w:pPr>
        <w:spacing w:after="0" w:line="26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Scilex Business Combination</w:t>
      </w:r>
    </w:p>
    <w:p>
      <w:pPr>
        <w:spacing w:after="0" w:line="94" w:lineRule="exact"/>
        <w:rPr>
          <w:sz w:val="20"/>
          <w:szCs w:val="20"/>
          <w:color w:val="auto"/>
        </w:rPr>
      </w:pPr>
    </w:p>
    <w:p>
      <w:pPr>
        <w:ind w:left="1480" w:right="519" w:firstLine="333"/>
        <w:spacing w:after="0" w:line="284" w:lineRule="auto"/>
        <w:rPr>
          <w:sz w:val="20"/>
          <w:szCs w:val="20"/>
          <w:color w:val="auto"/>
        </w:rPr>
      </w:pPr>
      <w:r>
        <w:rPr>
          <w:rFonts w:ascii="Times New Roman" w:cs="Times New Roman" w:eastAsia="Times New Roman" w:hAnsi="Times New Roman"/>
          <w:sz w:val="14"/>
          <w:szCs w:val="14"/>
          <w:color w:val="auto"/>
        </w:rPr>
        <w:t>On November 10, 2022, we consummated the Scilex Business Combination pursuant to the terms of the Merger Agreement, by and among Vickers, Merger Sub and Legacy Scilex.</w:t>
      </w:r>
    </w:p>
    <w:p>
      <w:pPr>
        <w:spacing w:after="0" w:line="125" w:lineRule="exact"/>
        <w:rPr>
          <w:sz w:val="20"/>
          <w:szCs w:val="20"/>
          <w:color w:val="auto"/>
        </w:rPr>
      </w:pPr>
    </w:p>
    <w:p>
      <w:pPr>
        <w:ind w:left="1480" w:right="399" w:firstLine="333"/>
        <w:spacing w:after="0" w:line="262" w:lineRule="auto"/>
        <w:rPr>
          <w:sz w:val="20"/>
          <w:szCs w:val="20"/>
          <w:color w:val="auto"/>
        </w:rPr>
      </w:pPr>
      <w:r>
        <w:rPr>
          <w:rFonts w:ascii="Times New Roman" w:cs="Times New Roman" w:eastAsia="Times New Roman" w:hAnsi="Times New Roman"/>
          <w:sz w:val="14"/>
          <w:szCs w:val="14"/>
          <w:color w:val="auto"/>
        </w:rPr>
        <w:t>Pursuant to the Merger Agreement, (i) prior to the Closing, Vickers effected the Domestication and (ii) at the Closing, and following the Domestication, the parties effected the Merger, with Legacy Scilex as the surviving company in the Merger, and, after giving effect to such Merger, Legacy Scilex became a wholly owned subsidiary of Vickers. The Merger was approved by Vickers’s shareholders at a meeting held on November 9, 2022. In connection with the Scilex Business Combination, Vickers changed its name to “Scilex Holding Company.”</w:t>
      </w:r>
    </w:p>
    <w:p>
      <w:pPr>
        <w:spacing w:after="0" w:line="140" w:lineRule="exact"/>
        <w:rPr>
          <w:sz w:val="20"/>
          <w:szCs w:val="20"/>
          <w:color w:val="auto"/>
        </w:rPr>
      </w:pPr>
    </w:p>
    <w:p>
      <w:pPr>
        <w:ind w:left="1480" w:right="359" w:firstLine="333"/>
        <w:spacing w:after="0" w:line="256" w:lineRule="auto"/>
        <w:rPr>
          <w:sz w:val="20"/>
          <w:szCs w:val="20"/>
          <w:color w:val="auto"/>
        </w:rPr>
      </w:pPr>
      <w:r>
        <w:rPr>
          <w:rFonts w:ascii="Times New Roman" w:cs="Times New Roman" w:eastAsia="Times New Roman" w:hAnsi="Times New Roman"/>
          <w:sz w:val="14"/>
          <w:szCs w:val="14"/>
          <w:color w:val="auto"/>
        </w:rPr>
        <w:t>In accordance with the terms and subject to the conditions of the Merger Agreement, at the time at which the Scilex Business Combination became effective (the “Effective Time”), (i) each outstanding share of Legacy Scilex Common Stock outstanding immediately prior to the Effective Time was automatically cancelled in exchange for the right to receive 0.673498 shares of our Common Stock, (ii) each share of Legacy Scilex Preferred Stock outstanding immediately prior to the Effective Time was cancelled in exchange for the right to receive (a) one share of Series A Preferred Stock (as defined below) and (b) one-tenth of one share of our Common Stock, and (iii) each option to purchase shares of Legacy Scilex Common Stock outstanding as of immediately prior to the Effective Time was converted into the right to receive a comparable option to purchase shares of our Common Stock.</w:t>
      </w:r>
    </w:p>
    <w:p>
      <w:pPr>
        <w:spacing w:after="0" w:line="147" w:lineRule="exact"/>
        <w:rPr>
          <w:sz w:val="20"/>
          <w:szCs w:val="20"/>
          <w:color w:val="auto"/>
        </w:rPr>
      </w:pPr>
    </w:p>
    <w:p>
      <w:pPr>
        <w:ind w:left="1480" w:right="739" w:firstLine="333"/>
        <w:spacing w:after="0" w:line="284" w:lineRule="auto"/>
        <w:rPr>
          <w:sz w:val="20"/>
          <w:szCs w:val="20"/>
          <w:color w:val="auto"/>
        </w:rPr>
      </w:pPr>
      <w:r>
        <w:rPr>
          <w:rFonts w:ascii="Times New Roman" w:cs="Times New Roman" w:eastAsia="Times New Roman" w:hAnsi="Times New Roman"/>
          <w:sz w:val="14"/>
          <w:szCs w:val="14"/>
          <w:color w:val="auto"/>
        </w:rPr>
        <w:t>Our Common Stock and Public Warrants are currently listed on the Nasdaq Capital Market under the symbols “SCLX” and “SCLXW,” respectively.</w:t>
      </w:r>
    </w:p>
    <w:p>
      <w:pPr>
        <w:spacing w:after="0" w:line="125" w:lineRule="exact"/>
        <w:rPr>
          <w:sz w:val="20"/>
          <w:szCs w:val="20"/>
          <w:color w:val="auto"/>
        </w:rPr>
      </w:pPr>
    </w:p>
    <w:p>
      <w:pPr>
        <w:ind w:left="1480" w:right="359" w:firstLine="333"/>
        <w:spacing w:after="0" w:line="262" w:lineRule="auto"/>
        <w:rPr>
          <w:sz w:val="20"/>
          <w:szCs w:val="20"/>
          <w:color w:val="auto"/>
        </w:rPr>
      </w:pPr>
      <w:r>
        <w:rPr>
          <w:rFonts w:ascii="Times New Roman" w:cs="Times New Roman" w:eastAsia="Times New Roman" w:hAnsi="Times New Roman"/>
          <w:sz w:val="14"/>
          <w:szCs w:val="14"/>
          <w:color w:val="auto"/>
        </w:rPr>
        <w:t>The rights of holders of our Common Stock and Warrants (as defined below) are governed by the Certificate of Incorporation, the Bylaws and the DGCL, and, in the case of the Warrants, the Warrant Agreement (the “Warrant Agreement”), dated January 6, 2021, between Vickers and Continental Stock Transfer &amp; Trust Co. (“Continental”). See sections of this prospectus titled “</w:t>
      </w:r>
      <w:r>
        <w:rPr>
          <w:rFonts w:ascii="Times New Roman" w:cs="Times New Roman" w:eastAsia="Times New Roman" w:hAnsi="Times New Roman"/>
          <w:sz w:val="14"/>
          <w:szCs w:val="14"/>
          <w:i w:val="1"/>
          <w:iCs w:val="1"/>
          <w:color w:val="auto"/>
        </w:rPr>
        <w:t>Description of Our Securities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Relationships and Related Party Transactions</w:t>
      </w:r>
      <w:r>
        <w:rPr>
          <w:rFonts w:ascii="Times New Roman" w:cs="Times New Roman" w:eastAsia="Times New Roman" w:hAnsi="Times New Roman"/>
          <w:sz w:val="14"/>
          <w:szCs w:val="14"/>
          <w:color w:val="auto"/>
        </w:rPr>
        <w:t>.”</w:t>
      </w:r>
    </w:p>
    <w:p>
      <w:pPr>
        <w:spacing w:after="0" w:line="2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Emerging Growth Company</w:t>
      </w:r>
    </w:p>
    <w:p>
      <w:pPr>
        <w:spacing w:after="0" w:line="94" w:lineRule="exact"/>
        <w:rPr>
          <w:sz w:val="20"/>
          <w:szCs w:val="20"/>
          <w:color w:val="auto"/>
        </w:rPr>
      </w:pPr>
    </w:p>
    <w:p>
      <w:pPr>
        <w:ind w:left="1480" w:right="459" w:firstLine="333"/>
        <w:spacing w:after="0" w:line="256"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as modified by the Jumpstart Our Business Startups Act of 2012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7" w:lineRule="exact"/>
        <w:rPr>
          <w:sz w:val="20"/>
          <w:szCs w:val="20"/>
          <w:color w:val="auto"/>
        </w:rPr>
      </w:pPr>
    </w:p>
    <w:p>
      <w:pPr>
        <w:ind w:left="1480" w:right="859" w:firstLine="333"/>
        <w:spacing w:after="0" w:line="284"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3507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467985" cy="3507105"/>
                    </a:xfrm>
                    <a:prstGeom prst="rect">
                      <a:avLst/>
                    </a:prstGeom>
                    <a:noFill/>
                  </pic:spPr>
                </pic:pic>
              </a:graphicData>
            </a:graphic>
          </wp:anchor>
        </w:drawing>
      </w:r>
    </w:p>
    <w:p>
      <w:pPr>
        <w:spacing w:after="0" w:line="369" w:lineRule="exact"/>
        <w:rPr>
          <w:sz w:val="20"/>
          <w:szCs w:val="20"/>
          <w:color w:val="auto"/>
        </w:rPr>
      </w:pPr>
    </w:p>
    <w:p>
      <w:pPr>
        <w:ind w:left="1480" w:right="359"/>
        <w:spacing w:after="0" w:line="255" w:lineRule="auto"/>
        <w:rPr>
          <w:sz w:val="20"/>
          <w:szCs w:val="20"/>
          <w:color w:val="auto"/>
        </w:rPr>
      </w:pPr>
      <w:r>
        <w:rPr>
          <w:rFonts w:ascii="Times New Roman" w:cs="Times New Roman" w:eastAsia="Times New Roman" w:hAnsi="Times New Roman"/>
          <w:sz w:val="14"/>
          <w:szCs w:val="14"/>
          <w:color w:val="auto"/>
        </w:rPr>
        <w:t>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If we elect to take advantage of reduced reporting requirements or other exemptions from reporting requirements in our future filings with the SEC, the information that we provide to our stockholders may be different than you might receive from other public reporting companies.</w:t>
      </w:r>
    </w:p>
    <w:p>
      <w:pPr>
        <w:spacing w:after="0" w:line="145" w:lineRule="exact"/>
        <w:rPr>
          <w:sz w:val="20"/>
          <w:szCs w:val="20"/>
          <w:color w:val="auto"/>
        </w:rPr>
      </w:pPr>
    </w:p>
    <w:p>
      <w:pPr>
        <w:ind w:left="1480" w:right="439" w:firstLine="333"/>
        <w:spacing w:after="0" w:line="258"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(i) the last day of the fiscal year (a) following the fifth anniversary of the closing of the initial public offering of Vickers Vantage Corp. I (our predecessor company),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4" w:lineRule="exact"/>
        <w:rPr>
          <w:sz w:val="20"/>
          <w:szCs w:val="20"/>
          <w:color w:val="auto"/>
        </w:rPr>
      </w:pPr>
    </w:p>
    <w:p>
      <w:pPr>
        <w:ind w:left="1480" w:right="499" w:firstLine="333"/>
        <w:spacing w:after="0" w:line="259" w:lineRule="auto"/>
        <w:rPr>
          <w:sz w:val="20"/>
          <w:szCs w:val="20"/>
          <w:color w:val="auto"/>
        </w:rPr>
      </w:pPr>
      <w:r>
        <w:rPr>
          <w:rFonts w:ascii="Times New Roman" w:cs="Times New Roman" w:eastAsia="Times New Roman" w:hAnsi="Times New Roman"/>
          <w:sz w:val="14"/>
          <w:szCs w:val="14"/>
          <w:color w:val="auto"/>
        </w:rPr>
        <w:t>We were incorporated under the name “Vickers Vantage Corp. I” on February 21, 2020 as a Cayman Islands exempted company for the purpose of effecting a merger, share exchange, asset acquisition, share purchase, reorganization or similar business combination with one or more businesses or entities. On November 9, 2022, we changed our jurisdiction of incorporation by deregistering as a Cayman Islands exempted company and continuing and domesticating as a corporation incorporated under the laws of the State of Delaware. On November 9, 2022, we changed our name to “Scilex Holding Company”.</w:t>
      </w:r>
    </w:p>
    <w:p>
      <w:pPr>
        <w:spacing w:after="0" w:line="143" w:lineRule="exact"/>
        <w:rPr>
          <w:sz w:val="20"/>
          <w:szCs w:val="20"/>
          <w:color w:val="auto"/>
        </w:rPr>
      </w:pPr>
    </w:p>
    <w:p>
      <w:pPr>
        <w:ind w:left="1480" w:right="399" w:firstLine="333"/>
        <w:spacing w:after="0" w:line="259"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960 San Antonio Road, Palo Alto, California 94303, and our telephone number is (650) 516-4310. Our website address is www.scilexholding.com.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4"/>
          <w:szCs w:val="14"/>
          <w:i w:val="1"/>
          <w:iCs w:val="1"/>
          <w:color w:val="auto"/>
        </w:rPr>
        <w:t>http://www.sec.gov.</w:t>
      </w:r>
    </w:p>
    <w:p>
      <w:pPr>
        <w:spacing w:after="0" w:line="2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4631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467985" cy="4631690"/>
                    </a:xfrm>
                    <a:prstGeom prst="rect">
                      <a:avLst/>
                    </a:prstGeom>
                    <a:noFill/>
                  </pic:spPr>
                </pic:pic>
              </a:graphicData>
            </a:graphic>
          </wp:anchor>
        </w:drawing>
      </w:r>
    </w:p>
    <w:p>
      <w:pPr>
        <w:spacing w:after="0" w:line="36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Issuance of Common Stock by Us</w:t>
      </w:r>
    </w:p>
    <w:p>
      <w:pPr>
        <w:spacing w:after="0" w:line="199" w:lineRule="exact"/>
        <w:rPr>
          <w:sz w:val="20"/>
          <w:szCs w:val="20"/>
          <w:color w:val="auto"/>
        </w:rPr>
      </w:pPr>
    </w:p>
    <w:p>
      <w:pPr>
        <w:jc w:val="right"/>
        <w:ind w:right="379"/>
        <w:spacing w:after="0"/>
        <w:tabs>
          <w:tab w:leader="none" w:pos="5120" w:val="left"/>
        </w:tabs>
        <w:rPr>
          <w:sz w:val="20"/>
          <w:szCs w:val="20"/>
          <w:color w:val="auto"/>
        </w:rPr>
      </w:pPr>
      <w:r>
        <w:rPr>
          <w:rFonts w:ascii="Times New Roman" w:cs="Times New Roman" w:eastAsia="Times New Roman" w:hAnsi="Times New Roman"/>
          <w:sz w:val="14"/>
          <w:szCs w:val="14"/>
          <w:color w:val="auto"/>
        </w:rPr>
        <w:t>Shares of Common Stock offered by us</w:t>
      </w:r>
      <w:r>
        <w:rPr>
          <w:sz w:val="20"/>
          <w:szCs w:val="20"/>
          <w:color w:val="auto"/>
        </w:rPr>
        <w:tab/>
      </w:r>
      <w:r>
        <w:rPr>
          <w:rFonts w:ascii="Times New Roman" w:cs="Times New Roman" w:eastAsia="Times New Roman" w:hAnsi="Times New Roman"/>
          <w:sz w:val="14"/>
          <w:szCs w:val="14"/>
          <w:color w:val="auto"/>
        </w:rPr>
        <w:t>Up to 2,083,067 shares of our Common Stock, issuable upon exercise of the February 2024</w:t>
      </w:r>
    </w:p>
    <w:p>
      <w:pPr>
        <w:spacing w:after="0" w:line="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BDO Warrants, April 2024 RDO Placement Agent Warrants, October 2024 Warrants,</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December 2024 RDO Common Warrants, StockBlock Warrants, SPAC Warrants and</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Exchange Warrants and the conversion of the Tranche B Note.</w:t>
      </w:r>
    </w:p>
    <w:p>
      <w:pPr>
        <w:sectPr>
          <w:pgSz w:w="11900" w:h="16838" w:orient="portrait"/>
          <w:cols w:equalWidth="0" w:num="1">
            <w:col w:w="10159"/>
          </w:cols>
          <w:pgMar w:left="300" w:top="386" w:right="1440" w:bottom="1440" w:gutter="0" w:footer="0" w:header="0"/>
        </w:sectPr>
      </w:pPr>
    </w:p>
    <w:p>
      <w:pPr>
        <w:spacing w:after="0" w:line="151" w:lineRule="exact"/>
        <w:rPr>
          <w:sz w:val="20"/>
          <w:szCs w:val="20"/>
          <w:color w:val="auto"/>
        </w:rPr>
      </w:pPr>
    </w:p>
    <w:p>
      <w:pPr>
        <w:ind w:left="1540" w:right="340" w:hanging="61"/>
        <w:spacing w:after="0" w:line="288" w:lineRule="auto"/>
        <w:rPr>
          <w:sz w:val="20"/>
          <w:szCs w:val="20"/>
          <w:color w:val="auto"/>
        </w:rPr>
      </w:pPr>
      <w:r>
        <w:rPr>
          <w:rFonts w:ascii="Times New Roman" w:cs="Times New Roman" w:eastAsia="Times New Roman" w:hAnsi="Times New Roman"/>
          <w:sz w:val="14"/>
          <w:szCs w:val="14"/>
          <w:color w:val="auto"/>
        </w:rPr>
        <w:t>Shares of Common Stock outstanding before this Offering</w:t>
      </w:r>
      <w:r>
        <w:rPr>
          <w:rFonts w:ascii="Times New Roman" w:cs="Times New Roman" w:eastAsia="Times New Roman" w:hAnsi="Times New Roman"/>
          <w:sz w:val="21"/>
          <w:szCs w:val="21"/>
          <w:color w:val="auto"/>
          <w:vertAlign w:val="superscript"/>
        </w:rPr>
        <w:t>(1)</w:t>
      </w:r>
    </w:p>
    <w:p>
      <w:pPr>
        <w:spacing w:after="0" w:line="55" w:lineRule="exact"/>
        <w:rPr>
          <w:sz w:val="20"/>
          <w:szCs w:val="20"/>
          <w:color w:val="auto"/>
        </w:rPr>
      </w:pPr>
    </w:p>
    <w:p>
      <w:pPr>
        <w:ind w:left="1540" w:hanging="61"/>
        <w:spacing w:after="0" w:line="262" w:lineRule="auto"/>
        <w:rPr>
          <w:sz w:val="20"/>
          <w:szCs w:val="20"/>
          <w:color w:val="auto"/>
        </w:rPr>
      </w:pPr>
      <w:r>
        <w:rPr>
          <w:rFonts w:ascii="Times New Roman" w:cs="Times New Roman" w:eastAsia="Times New Roman" w:hAnsi="Times New Roman"/>
          <w:sz w:val="14"/>
          <w:szCs w:val="14"/>
          <w:color w:val="auto"/>
        </w:rPr>
        <w:t>Shares of Common Stock outstanding assuming the exercise of all SPAC Warrants, 2024 Warrants, Exchange Warrants and the conversion of the Tranche B Note</w:t>
      </w:r>
    </w:p>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Exercise Prices of the following warrants: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February 2024 BDO Firm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February 2024 BDO Representative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April 2024 RDO Placement Agent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October 2024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December 2024 RDO Common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StockBlock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SPAC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Exchange Warrants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Conversion Price of the Tranche B Note:</w:t>
      </w:r>
    </w:p>
    <w:p>
      <w:pPr>
        <w:spacing w:after="0" w:line="1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8,491,267 shares of Common Stock.</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10,574,334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$59.50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$74.38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$43.75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$36.40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$22.72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$25.81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$402.50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$40.00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$36.40 per share.</w:t>
      </w:r>
    </w:p>
    <w:p>
      <w:pPr>
        <w:spacing w:after="0" w:line="113" w:lineRule="exact"/>
        <w:rPr>
          <w:sz w:val="20"/>
          <w:szCs w:val="20"/>
          <w:color w:val="auto"/>
        </w:rPr>
      </w:pPr>
    </w:p>
    <w:p>
      <w:pPr>
        <w:ind w:right="439"/>
        <w:spacing w:after="0" w:line="256" w:lineRule="auto"/>
        <w:rPr>
          <w:sz w:val="20"/>
          <w:szCs w:val="20"/>
          <w:color w:val="auto"/>
        </w:rPr>
      </w:pPr>
      <w:r>
        <w:rPr>
          <w:rFonts w:ascii="Times New Roman" w:cs="Times New Roman" w:eastAsia="Times New Roman" w:hAnsi="Times New Roman"/>
          <w:sz w:val="14"/>
          <w:szCs w:val="14"/>
          <w:color w:val="auto"/>
        </w:rPr>
        <w:t>We will receive up to an aggregate of approximately $144.9 million from the exercise of the SPAC Warrants, 2024 Warrants and Exchange Warrants, assuming the exercise in full of all of such warrants for cash and the conversion of the Tranche B Note. Such warrants have exercise prices ranging from $22.72 per share to $402.50 per share. On June 1, 2026, the closing price for our Common Stock was $7.99 per share. If the price of our Common Stock remains below the exercise prices of such warrants or the conversion price of the Tranche B Note, we believe the holders of such securities will be unlikely to cash exercise their warrants or convert the outstanding note, resulting in little or no cash proceeds to us.</w:t>
      </w:r>
    </w:p>
    <w:p>
      <w:pPr>
        <w:spacing w:after="0" w:line="200" w:lineRule="exact"/>
        <w:rPr>
          <w:sz w:val="20"/>
          <w:szCs w:val="20"/>
          <w:color w:val="auto"/>
        </w:rPr>
      </w:pPr>
    </w:p>
    <w:p>
      <w:pPr>
        <w:sectPr>
          <w:pgSz w:w="11900" w:h="16838" w:orient="portrait"/>
          <w:cols w:equalWidth="0" w:num="2">
            <w:col w:w="4580" w:space="60"/>
            <w:col w:w="5519"/>
          </w:cols>
          <w:pgMar w:left="300" w:top="386" w:right="1440" w:bottom="1440" w:gutter="0" w:footer="0" w:header="0"/>
          <w:type w:val="continuous"/>
        </w:sectPr>
      </w:pP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4751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467985" cy="4751705"/>
                    </a:xfrm>
                    <a:prstGeom prst="rect">
                      <a:avLst/>
                    </a:prstGeom>
                    <a:noFill/>
                  </pic:spPr>
                </pic:pic>
              </a:graphicData>
            </a:graphic>
          </wp:anchor>
        </w:drawing>
      </w:r>
    </w:p>
    <w:p>
      <w:pPr>
        <w:spacing w:after="0" w:line="369" w:lineRule="exact"/>
        <w:rPr>
          <w:sz w:val="20"/>
          <w:szCs w:val="20"/>
          <w:color w:val="auto"/>
        </w:rPr>
      </w:pPr>
    </w:p>
    <w:p>
      <w:pPr>
        <w:ind w:left="4640" w:right="439"/>
        <w:spacing w:after="0" w:line="258" w:lineRule="auto"/>
        <w:rPr>
          <w:sz w:val="20"/>
          <w:szCs w:val="20"/>
          <w:color w:val="auto"/>
        </w:rPr>
      </w:pPr>
      <w:r>
        <w:rPr>
          <w:rFonts w:ascii="Times New Roman" w:cs="Times New Roman" w:eastAsia="Times New Roman" w:hAnsi="Times New Roman"/>
          <w:sz w:val="14"/>
          <w:szCs w:val="14"/>
          <w:color w:val="auto"/>
        </w:rPr>
        <w:t>We expect to use any net proceeds from the exercise of such warrants for cash for working capital and general corporate purposes, which may include capital expenditures, research and development expenditures, regulatory affairs expenditures, clinical trial expenditures, acquisitions of new technologies and investments, business combinations and the repayment, refinancing, redemption or repurchase of indebtedness or capital stock.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elsewhere in this prospectus.</w:t>
      </w:r>
    </w:p>
    <w:p>
      <w:pPr>
        <w:spacing w:after="0" w:line="14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Resale of Securities by the Selling Securityholders</w:t>
      </w:r>
    </w:p>
    <w:p>
      <w:pPr>
        <w:sectPr>
          <w:pgSz w:w="11900" w:h="16838" w:orient="portrait"/>
          <w:cols w:equalWidth="0" w:num="1">
            <w:col w:w="10159"/>
          </w:cols>
          <w:pgMar w:left="300" w:top="386" w:right="1440" w:bottom="1440" w:gutter="0" w:footer="0" w:header="0"/>
        </w:sectPr>
      </w:pPr>
    </w:p>
    <w:p>
      <w:pPr>
        <w:spacing w:after="0" w:line="19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Shares of Common Stock offered by the Selling</w:t>
      </w:r>
    </w:p>
    <w:p>
      <w:pPr>
        <w:spacing w:after="0" w:line="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Securityholders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39"/>
        <w:spacing w:after="0" w:line="259" w:lineRule="auto"/>
        <w:rPr>
          <w:sz w:val="20"/>
          <w:szCs w:val="20"/>
          <w:color w:val="auto"/>
        </w:rPr>
      </w:pPr>
      <w:r>
        <w:rPr>
          <w:rFonts w:ascii="Times New Roman" w:cs="Times New Roman" w:eastAsia="Times New Roman" w:hAnsi="Times New Roman"/>
          <w:sz w:val="14"/>
          <w:szCs w:val="14"/>
          <w:color w:val="auto"/>
        </w:rPr>
        <w:t>Up to 6,581,004 Resale Shares consisting of (i) 3,250,000 shares underlying the Deposit Warrant, (ii) 1,513,040 Merger Shares, (iii) 14,018 shares underlying the Private Warrants, (iv) 275,000 shares underlying the September 2025 Warrants, (v) 1,428,946 shares underlying the November 2025 Warrants, and (vi) 100,000 shares underlying the February 2026 Warrant.</w:t>
      </w:r>
    </w:p>
    <w:p>
      <w:pPr>
        <w:spacing w:after="0" w:line="164" w:lineRule="exact"/>
        <w:rPr>
          <w:sz w:val="20"/>
          <w:szCs w:val="20"/>
          <w:color w:val="auto"/>
        </w:rPr>
      </w:pPr>
    </w:p>
    <w:p>
      <w:pPr>
        <w:sectPr>
          <w:pgSz w:w="11900" w:h="16838" w:orient="portrait"/>
          <w:cols w:equalWidth="0" w:num="2">
            <w:col w:w="4180" w:space="460"/>
            <w:col w:w="5519"/>
          </w:cols>
          <w:pgMar w:left="300" w:top="386" w:right="1440"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3"/>
          <w:szCs w:val="13"/>
          <w:color w:val="auto"/>
        </w:rPr>
        <w:t>Warrants offered by the Selling Warrantholders</w:t>
      </w:r>
    </w:p>
    <w:p>
      <w:pPr>
        <w:spacing w:after="0" w:line="20" w:lineRule="exact"/>
        <w:rPr>
          <w:sz w:val="20"/>
          <w:szCs w:val="20"/>
          <w:color w:val="auto"/>
        </w:rPr>
      </w:pPr>
      <w:r>
        <w:rPr>
          <w:sz w:val="20"/>
          <w:szCs w:val="20"/>
          <w:color w:val="auto"/>
        </w:rPr>
        <w:br w:type="column"/>
      </w:r>
    </w:p>
    <w:p>
      <w:pPr>
        <w:ind w:right="659"/>
        <w:spacing w:after="0" w:line="284" w:lineRule="auto"/>
        <w:rPr>
          <w:sz w:val="20"/>
          <w:szCs w:val="20"/>
          <w:color w:val="auto"/>
        </w:rPr>
      </w:pPr>
      <w:r>
        <w:rPr>
          <w:rFonts w:ascii="Times New Roman" w:cs="Times New Roman" w:eastAsia="Times New Roman" w:hAnsi="Times New Roman"/>
          <w:sz w:val="14"/>
          <w:szCs w:val="14"/>
          <w:color w:val="auto"/>
        </w:rPr>
        <w:t>Up to 490,617 Private Warrants, exercisable for up to an aggregate of 14,018 shares of Common Stock.</w:t>
      </w:r>
    </w:p>
    <w:p>
      <w:pPr>
        <w:spacing w:after="0" w:line="146" w:lineRule="exact"/>
        <w:rPr>
          <w:sz w:val="20"/>
          <w:szCs w:val="20"/>
          <w:color w:val="auto"/>
        </w:rPr>
      </w:pPr>
    </w:p>
    <w:p>
      <w:pPr>
        <w:sectPr>
          <w:pgSz w:w="11900" w:h="16838" w:orient="portrait"/>
          <w:cols w:equalWidth="0" w:num="2">
            <w:col w:w="4140" w:space="500"/>
            <w:col w:w="5519"/>
          </w:cols>
          <w:pgMar w:left="300" w:top="386" w:right="1440"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ind w:right="439"/>
        <w:spacing w:after="0" w:line="262" w:lineRule="auto"/>
        <w:rPr>
          <w:sz w:val="20"/>
          <w:szCs w:val="20"/>
          <w:color w:val="auto"/>
        </w:rPr>
      </w:pPr>
      <w:r>
        <w:rPr>
          <w:rFonts w:ascii="Times New Roman" w:cs="Times New Roman" w:eastAsia="Times New Roman" w:hAnsi="Times New Roman"/>
          <w:sz w:val="14"/>
          <w:szCs w:val="14"/>
          <w:color w:val="auto"/>
        </w:rPr>
        <w:t>We will receive up to $58.5 million upon the exercise of the Private Warrants, Deposit Warrant, September 2025 Warrants, November 2025 Warrants and February 2026 Warrant for cash. However, we will not receive any proceeds from the sale of Resale Securities by the Selling Securityholders.</w:t>
      </w:r>
    </w:p>
    <w:p>
      <w:pPr>
        <w:spacing w:after="0" w:line="161"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jc w:val="center"/>
        <w:ind w:left="780"/>
        <w:spacing w:after="0"/>
        <w:rPr>
          <w:sz w:val="20"/>
          <w:szCs w:val="20"/>
          <w:color w:val="auto"/>
        </w:rPr>
      </w:pPr>
      <w:r>
        <w:rPr>
          <w:rFonts w:ascii="Times New Roman" w:cs="Times New Roman" w:eastAsia="Times New Roman" w:hAnsi="Times New Roman"/>
          <w:sz w:val="14"/>
          <w:szCs w:val="14"/>
          <w:color w:val="auto"/>
        </w:rPr>
        <w:t>Market for our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Our Common Stock is listed on the Nasdaq Capital Market under the symbol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“SCLX.” There is no established public trading market for the Warrants, except the SPAC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Warrants, and we do not expect a market to develop. We do not intend to list the any of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Warrants, with the exception of the SPAC Warrants which are currently listed, 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Nasdaq Capital Market, any other national securities exchange or any other nationally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recognized trading system. Without an active trading market, the liquidity of the Warrants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be limited.</w:t>
      </w:r>
    </w:p>
    <w:p>
      <w:pPr>
        <w:spacing w:after="0" w:line="181"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spacing w:after="0" w:line="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ind w:right="399"/>
        <w:spacing w:after="0" w:line="269" w:lineRule="auto"/>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beginning on page 16 and other information included in this prospectus for a discussion of factors you should carefully consider before deciding to invest in the securities being offered by this prospectus.</w:t>
      </w:r>
    </w:p>
    <w:p>
      <w:pPr>
        <w:spacing w:after="0" w:line="114" w:lineRule="exact"/>
        <w:rPr>
          <w:sz w:val="20"/>
          <w:szCs w:val="20"/>
          <w:color w:val="auto"/>
        </w:rPr>
      </w:pPr>
    </w:p>
    <w:p>
      <w:pPr>
        <w:sectPr>
          <w:pgSz w:w="11900" w:h="16838" w:orient="portrait"/>
          <w:cols w:equalWidth="0" w:num="2">
            <w:col w:w="3920" w:space="720"/>
            <w:col w:w="5519"/>
          </w:cols>
          <w:pgMar w:left="300" w:top="386" w:right="1440" w:bottom="1440" w:gutter="0" w:footer="0" w:header="0"/>
          <w:type w:val="continuous"/>
        </w:sectPr>
      </w:pPr>
    </w:p>
    <w:p>
      <w:pPr>
        <w:ind w:left="1820" w:right="399" w:hanging="334"/>
        <w:spacing w:after="0" w:line="284" w:lineRule="auto"/>
        <w:tabs>
          <w:tab w:leader="none" w:pos="18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outstanding assumes that an aggregate of 8,491,267 shares are outstanding as of April 30, 2026, and excludes:</w:t>
      </w:r>
    </w:p>
    <w:p>
      <w:pPr>
        <w:spacing w:after="0" w:line="51" w:lineRule="exact"/>
        <w:rPr>
          <w:rFonts w:ascii="Times New Roman" w:cs="Times New Roman" w:eastAsia="Times New Roman" w:hAnsi="Times New Roman"/>
          <w:sz w:val="14"/>
          <w:szCs w:val="14"/>
          <w:color w:val="auto"/>
        </w:rPr>
      </w:pPr>
    </w:p>
    <w:p>
      <w:pPr>
        <w:ind w:left="2220" w:right="499" w:hanging="323"/>
        <w:spacing w:after="0" w:line="284" w:lineRule="auto"/>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17,504 shares of Common Stock issuable upon the exercise of stock options outstanding under the 2017 Scilex Pharmaceuticals Inc. Equity Incentive Plan (the “Scilex Pharma 2017 Plan”) with a weighted average exercise price of $27.03 per share;</w:t>
      </w:r>
    </w:p>
    <w:p>
      <w:pPr>
        <w:spacing w:after="0" w:line="51" w:lineRule="exact"/>
        <w:rPr>
          <w:rFonts w:ascii="Times New Roman" w:cs="Times New Roman" w:eastAsia="Times New Roman" w:hAnsi="Times New Roman"/>
          <w:sz w:val="14"/>
          <w:szCs w:val="14"/>
          <w:color w:val="auto"/>
        </w:rPr>
      </w:pPr>
    </w:p>
    <w:p>
      <w:pPr>
        <w:ind w:left="2220" w:right="399" w:hanging="323"/>
        <w:spacing w:after="0" w:line="284" w:lineRule="auto"/>
        <w:tabs>
          <w:tab w:leader="none" w:pos="22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425,037 shares of Common Stock issuable upon the exercise of stock options outstanding under the 2019 Stock Option Plan of Scilex, Inc. (the “2019 Stock Option Plan”) with a weighted average exercise price of $60.55 per share;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166370</wp:posOffset>
            </wp:positionV>
            <wp:extent cx="5467985" cy="32321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467985" cy="3232150"/>
                    </a:xfrm>
                    <a:prstGeom prst="rect">
                      <a:avLst/>
                    </a:prstGeom>
                    <a:noFill/>
                  </pic:spPr>
                </pic:pic>
              </a:graphicData>
            </a:graphic>
          </wp:anchor>
        </w:drawing>
      </w:r>
    </w:p>
    <w:p>
      <w:pPr>
        <w:spacing w:after="0" w:line="369" w:lineRule="exact"/>
        <w:rPr>
          <w:sz w:val="20"/>
          <w:szCs w:val="20"/>
          <w:color w:val="auto"/>
        </w:rPr>
      </w:pPr>
    </w:p>
    <w:p>
      <w:pPr>
        <w:ind w:left="2540" w:right="459" w:hanging="232"/>
        <w:spacing w:after="0" w:line="284" w:lineRule="auto"/>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1,046,074 shares of Common Stock issuable upon the exercise of stock options outstanding under the Scilex Holding Company 2022 Equity Incentive Plan (the “Equity Incentive Plan”), with a weighted average exercise price of $114.04 per share;</w:t>
      </w:r>
    </w:p>
    <w:p>
      <w:pPr>
        <w:spacing w:after="0" w:line="51"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446,303 shares of Common Stock available for future issuance under the Equity Incentive Plan;</w:t>
      </w:r>
    </w:p>
    <w:p>
      <w:pPr>
        <w:spacing w:after="0" w:line="102" w:lineRule="exact"/>
        <w:rPr>
          <w:rFonts w:ascii="Times New Roman" w:cs="Times New Roman" w:eastAsia="Times New Roman" w:hAnsi="Times New Roman"/>
          <w:sz w:val="14"/>
          <w:szCs w:val="14"/>
          <w:color w:val="auto"/>
        </w:rPr>
      </w:pPr>
    </w:p>
    <w:p>
      <w:pPr>
        <w:ind w:left="2540" w:right="459" w:hanging="232"/>
        <w:spacing w:after="0" w:line="284" w:lineRule="auto"/>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226,551 shares of Common Stock available for future issuance under the Scilex Holding Company 2022 Employee Stock Purchase Plan (the “ESPP”);</w:t>
      </w:r>
    </w:p>
    <w:p>
      <w:pPr>
        <w:spacing w:after="0" w:line="51" w:lineRule="exact"/>
        <w:rPr>
          <w:rFonts w:ascii="Times New Roman" w:cs="Times New Roman" w:eastAsia="Times New Roman" w:hAnsi="Times New Roman"/>
          <w:sz w:val="14"/>
          <w:szCs w:val="14"/>
          <w:color w:val="auto"/>
        </w:rPr>
      </w:pPr>
    </w:p>
    <w:p>
      <w:pPr>
        <w:ind w:left="2540" w:right="519" w:hanging="232"/>
        <w:spacing w:after="0" w:line="284" w:lineRule="auto"/>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40,000 shares of Common Stock available for future issuance under the Scilex Holding Company 2023 Inducement Plan (the “Inducement Plan”);</w:t>
      </w:r>
    </w:p>
    <w:p>
      <w:pPr>
        <w:spacing w:after="0" w:line="51" w:lineRule="exact"/>
        <w:rPr>
          <w:rFonts w:ascii="Times New Roman" w:cs="Times New Roman" w:eastAsia="Times New Roman" w:hAnsi="Times New Roman"/>
          <w:sz w:val="14"/>
          <w:szCs w:val="14"/>
          <w:color w:val="auto"/>
        </w:rPr>
      </w:pPr>
    </w:p>
    <w:p>
      <w:pPr>
        <w:ind w:left="2540" w:right="499" w:hanging="232"/>
        <w:spacing w:after="0" w:line="284" w:lineRule="auto"/>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198,807 shares (on a post-Reverse Stock Split basis) of Common Stock, issuable upon exercise of up to 6,958,204 SPAC Warrants, with an exercise price of $402.50 per whole share;</w:t>
      </w:r>
    </w:p>
    <w:p>
      <w:pPr>
        <w:spacing w:after="0" w:line="51"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108,686 shares of Common Stock issuable upon the exercise of the February 2024 BDO Firm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13,446 shares of Common Stock issuable upon the exercise of the February 2024 BDO Representative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34,286 shares of Common Stock issuable upon the exercise of the April 2024 RDO Placement Agent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211,990 shares of Common Stock issuable upon the exercise of the October 2024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668,770 shares of Common Stock issuable upon the exercise of the December 2024 RDO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3,250,000 shares of Common Stock issuable upon the exercise of the Deposit Warrant;</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 shares of Common Stock issuable upon the exercise of the Exchange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275,000 shares of Common Stock issuable upon the exercise of the September 2025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1,428,946 shares of shares of Common Stock issuable upon the exercise of the November 2025 Warrants;</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shares of Common Stock issuable upon the exercise of the February 2026 Warrant; and</w:t>
      </w:r>
    </w:p>
    <w:p>
      <w:pPr>
        <w:spacing w:after="0" w:line="102" w:lineRule="exact"/>
        <w:rPr>
          <w:rFonts w:ascii="Times New Roman" w:cs="Times New Roman" w:eastAsia="Times New Roman" w:hAnsi="Times New Roman"/>
          <w:sz w:val="14"/>
          <w:szCs w:val="14"/>
          <w:color w:val="auto"/>
        </w:rPr>
      </w:pPr>
    </w:p>
    <w:p>
      <w:pPr>
        <w:ind w:left="2540" w:hanging="232"/>
        <w:spacing w:after="0"/>
        <w:tabs>
          <w:tab w:leader="none" w:pos="2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347,082 shares of Common Stock issuable upon the conversion of the Tranche B Note.</w:t>
      </w: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6" w:lineRule="exact"/>
        <w:rPr>
          <w:sz w:val="20"/>
          <w:szCs w:val="20"/>
          <w:color w:val="auto"/>
        </w:rPr>
      </w:pPr>
    </w:p>
    <w:p>
      <w:pPr>
        <w:ind w:left="1340" w:right="259" w:firstLine="344"/>
        <w:spacing w:after="0" w:line="255"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Before making an investment decision, in addition to the risks and uncertainties addressed in the section of this prospectus titled “Cautionary Note Regarding Forward-Looking Statements,” you should carefully consider the risks and uncertainties described below, under the section titled “Risk Factors” contained in our most recent Annual Report on Form 10-K and our most recent Quarterly Report on Form 10-Q together with all of the other information appearing in or incorporated by reference into this prospectus, as updated by our subsequent filings with the SEC, as well as the risk factors and other information contained in any applicable prospectus supplement and any applicable free writing prospectus before deciding to invest in our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any post-effective amendment or in any filing or document incorporated by reference herein or therein are not the only risks and uncertainties that we face. We may face additional risks and uncertainties that are not presently known to us, or that we currently deem immaterial, which may become material and adversely affect our business.</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from the exercise of the Warrants and may not use them effectively.</w:t>
      </w:r>
    </w:p>
    <w:p>
      <w:pPr>
        <w:spacing w:after="0" w:line="94" w:lineRule="exact"/>
        <w:rPr>
          <w:sz w:val="20"/>
          <w:szCs w:val="20"/>
          <w:color w:val="auto"/>
        </w:rPr>
      </w:pPr>
    </w:p>
    <w:p>
      <w:pPr>
        <w:ind w:left="1340" w:right="279" w:firstLine="344"/>
        <w:spacing w:after="0" w:line="262" w:lineRule="auto"/>
        <w:rPr>
          <w:sz w:val="20"/>
          <w:szCs w:val="20"/>
          <w:color w:val="auto"/>
        </w:rPr>
      </w:pPr>
      <w:r>
        <w:rPr>
          <w:rFonts w:ascii="Times New Roman" w:cs="Times New Roman" w:eastAsia="Times New Roman" w:hAnsi="Times New Roman"/>
          <w:sz w:val="14"/>
          <w:szCs w:val="14"/>
          <w:color w:val="auto"/>
        </w:rPr>
        <w:t>If and to the extent any of the Warrants are exercised for cash, we currently intend to use the net proceeds from this offering pursuant to such exercises for working capital and general corporate purposes, including repayment of our indebtedness. We will have broad discretion in the application of the net proceeds in the category of other working capital and general corporate purposes and investors will be relying on the judgment of our management regarding the application of the proceeds of this offering.</w:t>
      </w:r>
    </w:p>
    <w:p>
      <w:pPr>
        <w:spacing w:after="0" w:line="140" w:lineRule="exact"/>
        <w:rPr>
          <w:sz w:val="20"/>
          <w:szCs w:val="20"/>
          <w:color w:val="auto"/>
        </w:rPr>
      </w:pPr>
    </w:p>
    <w:p>
      <w:pPr>
        <w:ind w:left="1340" w:right="339" w:firstLine="344"/>
        <w:spacing w:after="0" w:line="259" w:lineRule="auto"/>
        <w:rPr>
          <w:sz w:val="20"/>
          <w:szCs w:val="20"/>
          <w:color w:val="auto"/>
        </w:rPr>
      </w:pPr>
      <w:r>
        <w:rPr>
          <w:rFonts w:ascii="Times New Roman" w:cs="Times New Roman" w:eastAsia="Times New Roman" w:hAnsi="Times New Roman"/>
          <w:sz w:val="14"/>
          <w:szCs w:val="14"/>
          <w:color w:val="auto"/>
        </w:rPr>
        <w:t>The precise amount and timing of the application of these proceeds will depend upon a number of factors, such as the timing and progress of our research and development efforts, our funding requirements and the availability and costs of other funds. As of the date of this prospectus,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w:t>
      </w:r>
    </w:p>
    <w:p>
      <w:pPr>
        <w:spacing w:after="0" w:line="143" w:lineRule="exact"/>
        <w:rPr>
          <w:sz w:val="20"/>
          <w:szCs w:val="20"/>
          <w:color w:val="auto"/>
        </w:rPr>
      </w:pPr>
    </w:p>
    <w:p>
      <w:pPr>
        <w:ind w:left="1340" w:right="219" w:firstLine="344"/>
        <w:spacing w:after="0" w:line="259" w:lineRule="auto"/>
        <w:rPr>
          <w:sz w:val="20"/>
          <w:szCs w:val="20"/>
          <w:color w:val="auto"/>
        </w:rPr>
      </w:pPr>
      <w:r>
        <w:rPr>
          <w:rFonts w:ascii="Times New Roman" w:cs="Times New Roman" w:eastAsia="Times New Roman" w:hAnsi="Times New Roman"/>
          <w:sz w:val="14"/>
          <w:szCs w:val="14"/>
          <w:color w:val="auto"/>
        </w:rPr>
        <w:t>The failure by our management to apply these funds effectively could harm our business, financial condition and results of operations. Pending their use, we may invest the net proceeds from the cash exercise of our Warrants in short-term, interest-bearing instruments. These investments may not yield a favorable return to our stockholders. We will not receive any proceeds from the exercise of the February 2024 BDO Warrants, April 2024 RDO Placement Agent Warrants, October 2024 Warrants, December 2024 Warrants, Exchange Warrants, September 2025 Warrants, November 2025 Warrants or February 2026 Warrant on a “cashless basis.” The Deposit Warrant is not exercisable on a “cashless basis.”</w:t>
      </w:r>
    </w:p>
    <w:p>
      <w:pPr>
        <w:spacing w:after="0" w:line="143" w:lineRule="exact"/>
        <w:rPr>
          <w:sz w:val="20"/>
          <w:szCs w:val="20"/>
          <w:color w:val="auto"/>
        </w:rPr>
      </w:pPr>
    </w:p>
    <w:p>
      <w:pPr>
        <w:ind w:left="1340" w:right="479" w:firstLine="344"/>
        <w:spacing w:after="0" w:line="256" w:lineRule="auto"/>
        <w:rPr>
          <w:sz w:val="20"/>
          <w:szCs w:val="20"/>
          <w:color w:val="auto"/>
        </w:rPr>
      </w:pPr>
      <w:r>
        <w:rPr>
          <w:rFonts w:ascii="Times New Roman" w:cs="Times New Roman" w:eastAsia="Times New Roman" w:hAnsi="Times New Roman"/>
          <w:sz w:val="14"/>
          <w:szCs w:val="14"/>
          <w:color w:val="auto"/>
        </w:rPr>
        <w:t>We may use a significant portion of the net proceeds to purchase additional Bitcoin, Ethereum, BNB, Doge, and/or other blockchain-linked cryptocurrencies in accordance with our treasury strategy. Cryptocurrency is a highly volatile asset. Cryptocurrency does not pay interest, but if management determines to stake the cryptocurrency tokens in treasury, rewards can be earned on cryptocurrency. The ability to generate a return on investment from the net proceeds will depend on whether there is appreciation in the value of Ethereum, Bitcoin, BNB, Doge, and other blockchain-linked cryptocurrencies following our purchases of such cryptocurrency with the net proceeds from this offering by the Company and whether the Company is successful in pursuing other strategies to create income streams or otherwise generate funds using its cryptocurrency holdings. Future fluctuations in Ethereum’s, Bitcoin’s, BNB’s, Doge’s, and other blockchain-linked cryptocurrencies’ trading prices may result in our converting cryptocurrency purchased with the net proceeds of this offering into cash with a value substantially below the net proceeds from such an offering.</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Significant holders or beneficial holders of our Common Stock may not be permitted to exercise their Warrants.</w:t>
      </w:r>
    </w:p>
    <w:p>
      <w:pPr>
        <w:spacing w:after="0" w:line="94" w:lineRule="exact"/>
        <w:rPr>
          <w:sz w:val="20"/>
          <w:szCs w:val="20"/>
          <w:color w:val="auto"/>
        </w:rPr>
      </w:pPr>
    </w:p>
    <w:p>
      <w:pPr>
        <w:ind w:left="1340" w:right="299" w:firstLine="344"/>
        <w:spacing w:after="0" w:line="259" w:lineRule="auto"/>
        <w:rPr>
          <w:sz w:val="20"/>
          <w:szCs w:val="20"/>
          <w:color w:val="auto"/>
        </w:rPr>
      </w:pPr>
      <w:r>
        <w:rPr>
          <w:rFonts w:ascii="Times New Roman" w:cs="Times New Roman" w:eastAsia="Times New Roman" w:hAnsi="Times New Roman"/>
          <w:sz w:val="14"/>
          <w:szCs w:val="14"/>
          <w:color w:val="auto"/>
        </w:rPr>
        <w:t>With the exception of the SPAC Warrants, the terms of the Warrants prohibit a holder (together with its affiliates) from exercising such warrant to the extent that immediately after giving effect to such exercise, the holder would own more than 4.99% of our outstanding Common Stock, provided that, at the election of the holder, such beneficial ownership limitation may be increased or decreased to a percentage not to exceed 9.99% of our outstanding Common Stock upon 61 days’ notice to us. As a result, if you hold a significant amount of our securities, you may not be able to exercise such warrant for shares of our Common Stock, in whole or in part, at a time when it would be financially beneficial for you to do so.</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We may not have sufficient resources to repurchase the Warrants.</w:t>
      </w:r>
    </w:p>
    <w:p>
      <w:pPr>
        <w:spacing w:after="0" w:line="94" w:lineRule="exact"/>
        <w:rPr>
          <w:sz w:val="20"/>
          <w:szCs w:val="20"/>
          <w:color w:val="auto"/>
        </w:rPr>
      </w:pPr>
    </w:p>
    <w:p>
      <w:pPr>
        <w:ind w:left="1340" w:right="239" w:firstLine="344"/>
        <w:spacing w:after="0" w:line="256" w:lineRule="auto"/>
        <w:rPr>
          <w:sz w:val="20"/>
          <w:szCs w:val="20"/>
          <w:color w:val="auto"/>
        </w:rPr>
      </w:pPr>
      <w:r>
        <w:rPr>
          <w:rFonts w:ascii="Times New Roman" w:cs="Times New Roman" w:eastAsia="Times New Roman" w:hAnsi="Times New Roman"/>
          <w:sz w:val="14"/>
          <w:szCs w:val="14"/>
          <w:color w:val="auto"/>
        </w:rPr>
        <w:t>Under certain circumstances, in the event of a fundamental transaction, as described in the Warrants, with the exception of the SPAC Warrants and the Deposit Warrant, the respective holders thereof may each require us or our successor entity in such transaction to repurchase the remaining unexercised portion of such warrants for an amount of cash equal to the value of such warrant as determined in accordance with the Black Scholes option pricing model on the date of the fundamental transaction, if the fundamental transaction is within our control. Our or such successor entity’s ability to repurchase such warrants upon such an event will depend on our or such successor entity’s available cash resources at such time, which will also be subject to general economic, financial, competitive, legislative and regulatory factors and other factors that are beyond our control. We cannot assure you that we will maintain sufficient cash reserves or that our business will generate cash flow from operations at levels sufficient to permit us to repurchase such warrants in the event of a fundamental transaction.</w:t>
      </w:r>
    </w:p>
    <w:p>
      <w:pPr>
        <w:spacing w:after="0" w:line="227" w:lineRule="exact"/>
        <w:rPr>
          <w:sz w:val="20"/>
          <w:szCs w:val="20"/>
          <w:color w:val="auto"/>
        </w:rPr>
      </w:pPr>
    </w:p>
    <w:p>
      <w:pPr>
        <w:ind w:left="1340" w:right="23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If we do not maintain a current and effective registration statement or resale registration statement registering the shares of Common Stock issuable upon exercise of the Warrants, with the exception of the Deposit Warrant, the respective holders will also be able to exercise such warrants on a “cashless basis.”</w:t>
      </w:r>
    </w:p>
    <w:p>
      <w:pPr>
        <w:spacing w:after="0" w:line="51"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If a registration statement registering the shares of Common Stock issuable upon exercise of the February 2024 BDO Warrants, October 2024 Warrants, December 2024 RDO Common Warrants or Exchange Warrants, under the Securities Act is not effective or available at the time that holders wish to exercise such warrants, and if a resale registration statement registering the Resale Shares underlying such warrants, with the exception of the Deposit Warrant, under the Securities Act is also not effective or available at the time that holders wish to exercise such warrants, holders will be able to exercise the such warrants on a “cashless basis.” As a result, the number of shares of Common Stock that holders will receive upon exercise of such warrants will be fewer than it would have been had such holders exercised their warrants for cash.</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We may not receive any additional funds upon the exercise of the Warrants.</w:t>
      </w:r>
    </w:p>
    <w:p>
      <w:pPr>
        <w:spacing w:after="0" w:line="94" w:lineRule="exact"/>
        <w:rPr>
          <w:sz w:val="20"/>
          <w:szCs w:val="20"/>
          <w:color w:val="auto"/>
        </w:rPr>
      </w:pPr>
    </w:p>
    <w:p>
      <w:pPr>
        <w:ind w:left="1340" w:right="219" w:firstLine="344"/>
        <w:spacing w:after="0" w:line="259" w:lineRule="auto"/>
        <w:rPr>
          <w:sz w:val="20"/>
          <w:szCs w:val="20"/>
          <w:color w:val="auto"/>
        </w:rPr>
      </w:pPr>
      <w:r>
        <w:rPr>
          <w:rFonts w:ascii="Times New Roman" w:cs="Times New Roman" w:eastAsia="Times New Roman" w:hAnsi="Times New Roman"/>
          <w:sz w:val="14"/>
          <w:szCs w:val="14"/>
          <w:color w:val="auto"/>
        </w:rPr>
        <w:t>Each of the Warrants, except the Deposit Warrant, may be exercised by way of a cashless exercise under certain circumstances, as permitted by the terms of such warrants, meaning that the holder may not pay a cash purchase price upon exercise, but instead would receive upon such exercise the net number of shares of our Common Stock determined according to the formula set forth in the respective warrant. Accordingly, we may not receive any additional funds upon the exercise of the Warrants, except the Deposit Warrant, if such warrants are exercised on a cashless basis, or if such warrants are not exercised at all.</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Unstable market and economic conditions may have serious adverse consequences on our business, financial condition and results of operations.</w:t>
      </w:r>
    </w:p>
    <w:p>
      <w:pPr>
        <w:spacing w:after="0" w:line="94" w:lineRule="exact"/>
        <w:rPr>
          <w:sz w:val="20"/>
          <w:szCs w:val="20"/>
          <w:color w:val="auto"/>
        </w:rPr>
      </w:pPr>
    </w:p>
    <w:p>
      <w:pPr>
        <w:ind w:left="1340" w:right="439" w:firstLine="344"/>
        <w:spacing w:after="0" w:line="268" w:lineRule="auto"/>
        <w:rPr>
          <w:sz w:val="20"/>
          <w:szCs w:val="20"/>
          <w:color w:val="auto"/>
        </w:rPr>
      </w:pPr>
      <w:r>
        <w:rPr>
          <w:rFonts w:ascii="Times New Roman" w:cs="Times New Roman" w:eastAsia="Times New Roman" w:hAnsi="Times New Roman"/>
          <w:sz w:val="14"/>
          <w:szCs w:val="14"/>
          <w:color w:val="auto"/>
        </w:rPr>
        <w:t>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ongoing geopolitical conflicts in Ukraine, war in Iran and other conflicts and instability in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939"/>
        <w:spacing w:after="0" w:line="284" w:lineRule="auto"/>
        <w:rPr>
          <w:sz w:val="20"/>
          <w:szCs w:val="20"/>
          <w:color w:val="auto"/>
        </w:rPr>
      </w:pPr>
      <w:r>
        <w:rPr>
          <w:rFonts w:ascii="Times New Roman" w:cs="Times New Roman" w:eastAsia="Times New Roman" w:hAnsi="Times New Roman"/>
          <w:sz w:val="14"/>
          <w:szCs w:val="14"/>
          <w:color w:val="auto"/>
        </w:rPr>
        <w:t>the Middle East, instability in Venezuela, tensions between not only the U.S. and China, but also between the U.S. and other countries in the international community.</w:t>
      </w:r>
    </w:p>
    <w:p>
      <w:pPr>
        <w:spacing w:after="0" w:line="125" w:lineRule="exact"/>
        <w:rPr>
          <w:sz w:val="20"/>
          <w:szCs w:val="20"/>
          <w:color w:val="auto"/>
        </w:rPr>
      </w:pPr>
    </w:p>
    <w:p>
      <w:pPr>
        <w:ind w:left="1340" w:right="359" w:firstLine="344"/>
        <w:spacing w:after="0" w:line="258" w:lineRule="auto"/>
        <w:rPr>
          <w:sz w:val="20"/>
          <w:szCs w:val="20"/>
          <w:color w:val="auto"/>
        </w:rPr>
      </w:pPr>
      <w:r>
        <w:rPr>
          <w:rFonts w:ascii="Times New Roman" w:cs="Times New Roman" w:eastAsia="Times New Roman" w:hAnsi="Times New Roman"/>
          <w:sz w:val="14"/>
          <w:szCs w:val="14"/>
          <w:color w:val="auto"/>
        </w:rPr>
        <w:t>The ongoing conflict between Russia and Ukraine, war in Iran and other conflicts and instability in the Middle East and instability in Venezuela are causing disruptions to global economic conditions.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w:t>
      </w:r>
    </w:p>
    <w:p>
      <w:pPr>
        <w:spacing w:after="0" w:line="142" w:lineRule="exact"/>
        <w:rPr>
          <w:sz w:val="20"/>
          <w:szCs w:val="20"/>
          <w:color w:val="auto"/>
        </w:rPr>
      </w:pPr>
    </w:p>
    <w:p>
      <w:pPr>
        <w:ind w:left="1340" w:right="239" w:firstLine="344"/>
        <w:spacing w:after="0" w:line="259" w:lineRule="auto"/>
        <w:rPr>
          <w:sz w:val="20"/>
          <w:szCs w:val="20"/>
          <w:color w:val="auto"/>
        </w:rPr>
      </w:pPr>
      <w:r>
        <w:rPr>
          <w:rFonts w:ascii="Times New Roman" w:cs="Times New Roman" w:eastAsia="Times New Roman" w:hAnsi="Times New Roman"/>
          <w:sz w:val="14"/>
          <w:szCs w:val="14"/>
          <w:color w:val="auto"/>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8" w:lineRule="exact"/>
        <w:rPr>
          <w:sz w:val="20"/>
          <w:szCs w:val="20"/>
          <w:color w:val="auto"/>
        </w:rPr>
      </w:pPr>
    </w:p>
    <w:p>
      <w:pPr>
        <w:ind w:left="1340" w:right="319" w:firstLine="344"/>
        <w:spacing w:after="0" w:line="254" w:lineRule="auto"/>
        <w:rPr>
          <w:sz w:val="20"/>
          <w:szCs w:val="20"/>
          <w:color w:val="auto"/>
        </w:rPr>
      </w:pPr>
      <w:r>
        <w:rPr>
          <w:rFonts w:ascii="Times New Roman" w:cs="Times New Roman" w:eastAsia="Times New Roman" w:hAnsi="Times New Roman"/>
          <w:sz w:val="14"/>
          <w:szCs w:val="14"/>
          <w:color w:val="auto"/>
        </w:rPr>
        <w:t>Certain information contained in this prospectus and the documents incorporate by reference into this prospectus relates to or is based on studies, publications, surveys, publicly available information, reports of governmental agencies and other data obtained from third-party sources and our own internal estimates and research. This information involves a number of assumptions and limitations, and you are cautioned not to give undue weight to these estimates. While we believe these third-party sources to be reliable as of the date of this prospectus or such document incorporated by reference, we have not independently verified the market and industry data contained in this prospectus and the documents incorporated by reference into this prospectus or the underlying assumptions relied on therein. Finally, while we believe our own internal research is reliable, such research has not been verified by any independent source. Notwithstanding the foregoing, we are liable for the information provided in this prospectus and the documents incorporated by reference into this prospectus. The industry in which we operate is subject to a high degree of uncertainty and risk due to a variety of factors, including those described in the section of this prospectus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under similar headings in the documents incorporated by reference into this prospectus. These and other factors could cause results to differ materially from those expressed in the estimates made by the independent parties and by us.</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ind w:left="1340" w:right="319" w:firstLine="344"/>
        <w:spacing w:after="0" w:line="258" w:lineRule="auto"/>
        <w:rPr>
          <w:sz w:val="20"/>
          <w:szCs w:val="20"/>
          <w:color w:val="auto"/>
        </w:rPr>
      </w:pPr>
      <w:r>
        <w:rPr>
          <w:rFonts w:ascii="Times New Roman" w:cs="Times New Roman" w:eastAsia="Times New Roman" w:hAnsi="Times New Roman"/>
          <w:sz w:val="14"/>
          <w:szCs w:val="14"/>
          <w:color w:val="auto"/>
        </w:rPr>
        <w:t>All of the Resale Securities offered by the Selling Securityholders pursuant to this prospectus will be sold by the Selling Securityholders for their own accounts. We will not receive any proceeds from the sale of the Resale Securities by the Selling Securityholders. The Selling Securityholders will pay any underwriting discounts, selling commissions or transfer taxes incurred in disposing of the Shares and the expenses of any attorney or other advisor they decide to employ. We will bear all other costs, fees and expenses incurred in effecting the registration of the securities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142" w:lineRule="exact"/>
        <w:rPr>
          <w:sz w:val="20"/>
          <w:szCs w:val="20"/>
          <w:color w:val="auto"/>
        </w:rPr>
      </w:pPr>
    </w:p>
    <w:p>
      <w:pPr>
        <w:ind w:left="1340" w:right="239" w:firstLine="344"/>
        <w:spacing w:after="0" w:line="253" w:lineRule="auto"/>
        <w:rPr>
          <w:sz w:val="20"/>
          <w:szCs w:val="20"/>
          <w:color w:val="auto"/>
        </w:rPr>
      </w:pPr>
      <w:r>
        <w:rPr>
          <w:rFonts w:ascii="Times New Roman" w:cs="Times New Roman" w:eastAsia="Times New Roman" w:hAnsi="Times New Roman"/>
          <w:sz w:val="14"/>
          <w:szCs w:val="14"/>
          <w:color w:val="auto"/>
        </w:rPr>
        <w:t>We will receive up to an aggregate of approximately $144.9 million from the exercise of the Warrants, assuming the exercise in full of the Warrants for cash and the conversion of the Tranche B Note, but will not receive any proceeds from the sale of the Resale Securities. The net proceeds from the conversion of the Tranche B Note consists of amounts that we would otherwise be obligated to repay to the holder thereof. If the price of our Common Stock falls or remains below the exercise price of the Warrants or conversion price of the Tranche B Note, as applicable, we believe the respective holders of such securities will be unlikely to cash exercise their warrants or convert the outstanding Tranche B Note, resulting in little or no cash proceeds to us. We expect to use any proceeds from the cash exercise of the Warrants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 although we believe we can fund our operations with cash on hand. However, we have not designated any specific uses and have no current agreement with respect to any acquisition or strategic transaction. As of the date of this prospectus, we cannot specify with certainty all of the particular uses, and the respective amounts we may allocate to those uses, for any proceeds we receive from the cash exercise of the Warrants. Accordingly, we will retain broad discretion over the use of these proceeds. Pending our use of the proceeds as described above, we may invest such proceeds in interest-bearing instruments or use a significant portion of the net proceeds to purchase additional Bitcoin, Ethereum, BNB, Doge, and/or other blockchain-linked cryptocurrencies in accordance with our treasury strategy. Cryptocurrency is a highly volatile asset. Cryptocurrency does not pay interest, but if management determines to stake the cryptocurrency tokens in treasury, rewards can be earned on cryptocurrency. The ability to generate a return on investment from the net proceeds will depend on whether there is appreciation in the value of Ethereum, Bitcoin, BNB, Doge, and other blockchain-linked cryptocurrencies following our purchases of such cryptocurrency with the net proceeds from the cash exercise of any of our Warrants and whether the Company is successful in pursuing other strategies to create income streams or otherwise generate funds using its cryptocurrency holdings. Future fluctuations in Ethereum’s, Bitcoin’s, BNB’s, Doge’s, and other blockchain-linked cryptocurrencies’ trading prices may result in our converting cryptocurrency purchased with the net proceeds of this offering into cash with a value substantially below the net proceeds from such an offering. There is no assurance that the holders of the Warrants will elect to exercise any or all of such warrants. To the extent that any of the Warrants are exercised on a “cashless basis,” the amount of cash we would receive from the exercise of such warrants will decrease.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78"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Securityholders of up to an aggregate of 6,581,004 Resale Shares and 490,617 Private Warrants. Unless the context otherwise requires, as used in this prospectus, “Selling Securityholders” includes the Selling Securityholders listed below and donees, pledgees, permitted transferees or other successors-in-interest selling securities received after the date of this prospectus from the Selling Securityholders as a gift, pledge or other non-sale related transfer.</w:t>
      </w:r>
    </w:p>
    <w:p>
      <w:pPr>
        <w:spacing w:after="0" w:line="140" w:lineRule="exact"/>
        <w:rPr>
          <w:sz w:val="20"/>
          <w:szCs w:val="20"/>
          <w:color w:val="auto"/>
        </w:rPr>
      </w:pPr>
    </w:p>
    <w:p>
      <w:pPr>
        <w:jc w:val="both"/>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The Resale Securities to be offered by the Selling Securityholders pursuant to this prospectus were “restricted” securities under applicable federal and state securities laws upon initial issuance and are being registered under the Securities Act to give the Selling Securityholders the opportunity to sell the Resale Securities publicly. The registration of the resale of the Resale Securities does not require that any of the Resale Securities be offered or sold by the Selling Securityholders. The Selling Securityholders may also from time to time offer and sell all or a portion of their Resale Securities indicated below in privately negotiated transactions or, in the case of the Resale Shares, on the Nasdaq Capital Market or any other market on which our Common Stock may subsequently be listed or quoted.</w:t>
      </w:r>
    </w:p>
    <w:p>
      <w:pPr>
        <w:spacing w:after="0" w:line="142"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The registered securities may be sold directly or through brokers or dealers, or in a distribution by one or more underwriters on a firm commitment or best effort basis. To the extent required, the names of any agent or broker-dealer and applicable commissions or discounts and any other required information with respect to any particular offering will be set forth in a prospectus supplement. See the section of this prospectus entitled “</w:t>
      </w:r>
      <w:r>
        <w:rPr>
          <w:rFonts w:ascii="Times New Roman" w:cs="Times New Roman" w:eastAsia="Times New Roman" w:hAnsi="Times New Roman"/>
          <w:sz w:val="14"/>
          <w:szCs w:val="14"/>
          <w:i w:val="1"/>
          <w:iCs w:val="1"/>
          <w:color w:val="auto"/>
        </w:rPr>
        <w:t>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Distribution</w:t>
      </w:r>
      <w:r>
        <w:rPr>
          <w:rFonts w:ascii="Times New Roman" w:cs="Times New Roman" w:eastAsia="Times New Roman" w:hAnsi="Times New Roman"/>
          <w:sz w:val="14"/>
          <w:szCs w:val="14"/>
          <w:color w:val="auto"/>
        </w:rPr>
        <w:t>”. The Selling Securityholders and any agents or broker-dealers that participate with the Selling Securityholders in the distribution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registered shares may be deemed to be “underwriters” within the meaning of the Securities Act, and any commissions received by them and any profit on the resale of the registered shares may be deemed to be underwriting commissions or discounts under the Securities Act.</w:t>
      </w:r>
    </w:p>
    <w:p>
      <w:pPr>
        <w:spacing w:after="0" w:line="142" w:lineRule="exact"/>
        <w:rPr>
          <w:sz w:val="20"/>
          <w:szCs w:val="20"/>
          <w:color w:val="auto"/>
        </w:rPr>
      </w:pPr>
    </w:p>
    <w:p>
      <w:pPr>
        <w:ind w:left="1340" w:right="299" w:firstLine="344"/>
        <w:spacing w:after="0" w:line="256" w:lineRule="auto"/>
        <w:rPr>
          <w:sz w:val="20"/>
          <w:szCs w:val="20"/>
          <w:color w:val="auto"/>
        </w:rPr>
      </w:pPr>
      <w:r>
        <w:rPr>
          <w:rFonts w:ascii="Times New Roman" w:cs="Times New Roman" w:eastAsia="Times New Roman" w:hAnsi="Times New Roman"/>
          <w:sz w:val="14"/>
          <w:szCs w:val="14"/>
          <w:color w:val="auto"/>
        </w:rPr>
        <w:t>No estimate can be given as to the amount or percentage of Common Stock that will be held by the Selling Securityholders after any sales made pursuant to this prospectus because the Selling Securityholders are not required to sell any of the Resale Securities being registered under the registration statement of which this prospectus forms a part. In particular, the Selling Securityholders identified below may have sold, transferred or otherwise disposed of all or a portion of its securities after the date on which it provided us with information regarding it securities in transactions exempt from registration under the Securities Act. Information about the Selling Securityholders may change over time. Any changed information will be set forth in a prospectus supplement or amendments to the registration statement of which this prospectus is a part, if and when required. Any prospectus supplement or amendments to the registration statement may add, update, substitute, or change the information contained in this prospectus, including the identity of the Selling Securityholders and the number of shares registered on its behalf.</w:t>
      </w:r>
    </w:p>
    <w:p>
      <w:pPr>
        <w:spacing w:after="0" w:line="144"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This table is prepared based on information supplied to us by the Selling Securityholders, and reflects holdings as of April 30, 2026. The number of shares in the columns titled “Number of Shares of Common Stock Being Offered” and “Number of Warrants Being Offered” represents all of the securities being offered for resale by the Selling Securityholders under this prospectus. The Selling Securityholders may sell some, all, or none of the securities being offered for resale in this offering. We do not know how long the Selling Securityholders will hold the securities before selling them, and we are not aware of any existing arrangements between any Selling Securityholder and any other stockholder, broker, dealer, underwriter, or agent relating to the sale or distribution of the securities being offered for resale by this prospectus.</w:t>
      </w:r>
    </w:p>
    <w:p>
      <w:pPr>
        <w:spacing w:after="0" w:line="142"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The following table sets forth certain information provided by or on behalf of the Selling Securityholders as of April 30, 2026 concerning the Resale Securities that may be offered from time to time by each Selling Securityholder with this prospectus.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For the purposes of the following table, we have assumed that the Selling Securityholders will have sold all of the securities covered by this prospectus upon the completion of the offering. The beneficial ownership of Common Stock is based on 8,491,267 shares of such</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19"/>
        <w:spacing w:after="0" w:line="268" w:lineRule="auto"/>
        <w:rPr>
          <w:sz w:val="20"/>
          <w:szCs w:val="20"/>
          <w:color w:val="auto"/>
        </w:rPr>
      </w:pPr>
      <w:r>
        <w:rPr>
          <w:rFonts w:ascii="Times New Roman" w:cs="Times New Roman" w:eastAsia="Times New Roman" w:hAnsi="Times New Roman"/>
          <w:sz w:val="14"/>
          <w:szCs w:val="14"/>
          <w:color w:val="auto"/>
        </w:rPr>
        <w:t>Common Stock outstanding as of April 30, 2026. Beneficial ownership is determined in accordance with Rule 13d-3(d) promulgated by the SEC under the Exchange Act, and includes shares of our Common Stock with respect to which the Selling Securityholders have sole or shared voting and investment power.</w:t>
      </w:r>
    </w:p>
    <w:p>
      <w:pPr>
        <w:spacing w:after="0" w:line="135"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Except as indicated by the footnotes below, we believe, based on the information furnished to us, that the Selling Securityholders have sole voting and investment power with respect to all shares of Common Stock that each such Selling Securityholder beneficially owns, subject to applicable community property laws. Except as otherwise described below, based on the information provided to us by the Selling Securityholders, the Selling Securityholders are not broker-dealers or an affiliates of broker-dealers.</w:t>
      </w:r>
    </w:p>
    <w:p>
      <w:pPr>
        <w:spacing w:after="0" w:line="146"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Beneficial</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Beneficial Ownership</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5"/>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Ownership of</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5"/>
          </w:tcPr>
          <w:p>
            <w:pPr>
              <w:jc w:val="center"/>
              <w:ind w:right="34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tcPr>
          <w:p>
            <w:pPr>
              <w:jc w:val="center"/>
              <w:ind w:right="320"/>
              <w:spacing w:after="0" w:line="116" w:lineRule="exact"/>
              <w:rPr>
                <w:sz w:val="20"/>
                <w:szCs w:val="20"/>
                <w:color w:val="auto"/>
              </w:rPr>
            </w:pPr>
            <w:r>
              <w:rPr>
                <w:rFonts w:ascii="Times New Roman" w:cs="Times New Roman" w:eastAsia="Times New Roman" w:hAnsi="Times New Roman"/>
                <w:sz w:val="11"/>
                <w:szCs w:val="11"/>
                <w:b w:val="1"/>
                <w:bCs w:val="1"/>
                <w:color w:val="auto"/>
              </w:rPr>
              <w:t>of Common Stock</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3"/>
          </w:tcPr>
          <w:p>
            <w:pPr>
              <w:ind w:left="320"/>
              <w:spacing w:after="0" w:line="116" w:lineRule="exact"/>
              <w:rPr>
                <w:sz w:val="20"/>
                <w:szCs w:val="20"/>
                <w:color w:val="auto"/>
              </w:rPr>
            </w:pPr>
            <w:r>
              <w:rPr>
                <w:rFonts w:ascii="Times New Roman" w:cs="Times New Roman" w:eastAsia="Times New Roman" w:hAnsi="Times New Roman"/>
                <w:sz w:val="11"/>
                <w:szCs w:val="11"/>
                <w:b w:val="1"/>
                <w:bCs w:val="1"/>
                <w:color w:val="auto"/>
              </w:rPr>
              <w:t>After the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Prior to the Offering</w:t>
            </w:r>
          </w:p>
        </w:tc>
        <w:tc>
          <w:tcPr>
            <w:tcW w:w="32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SPAC</w:t>
            </w:r>
          </w:p>
        </w:tc>
        <w:tc>
          <w:tcPr>
            <w:tcW w:w="13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1"/>
                <w:szCs w:val="11"/>
                <w:color w:val="auto"/>
              </w:rPr>
            </w:pPr>
          </w:p>
        </w:tc>
        <w:tc>
          <w:tcPr>
            <w:tcW w:w="8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2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SPAC</w:t>
            </w:r>
          </w:p>
        </w:tc>
        <w:tc>
          <w:tcPr>
            <w:tcW w:w="0" w:type="dxa"/>
            <w:vAlign w:val="bottom"/>
          </w:tcPr>
          <w:p>
            <w:pPr>
              <w:spacing w:after="0"/>
              <w:rPr>
                <w:sz w:val="1"/>
                <w:szCs w:val="1"/>
                <w:color w:val="auto"/>
              </w:rPr>
            </w:pPr>
          </w:p>
        </w:tc>
      </w:tr>
      <w:tr>
        <w:trPr>
          <w:trHeight w:val="87"/>
        </w:trPr>
        <w:tc>
          <w:tcPr>
            <w:tcW w:w="2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82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SPAC</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0" w:type="dxa"/>
            <w:vAlign w:val="bottom"/>
          </w:tcPr>
          <w:p>
            <w:pPr>
              <w:spacing w:after="0"/>
              <w:rPr>
                <w:sz w:val="1"/>
                <w:szCs w:val="1"/>
                <w:color w:val="auto"/>
              </w:rPr>
            </w:pPr>
          </w:p>
        </w:tc>
      </w:tr>
      <w:tr>
        <w:trPr>
          <w:trHeight w:val="116"/>
        </w:trPr>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82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Common</w:t>
            </w:r>
          </w:p>
        </w:tc>
        <w:tc>
          <w:tcPr>
            <w:tcW w:w="7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16"/>
        </w:trPr>
        <w:tc>
          <w:tcPr>
            <w:tcW w:w="28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Name and Address of Selling</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Owned</w:t>
            </w:r>
          </w:p>
        </w:tc>
        <w:tc>
          <w:tcPr>
            <w:tcW w:w="82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00" w:type="dxa"/>
            <w:vAlign w:val="bottom"/>
            <w:gridSpan w:val="2"/>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Warrants</w:t>
            </w: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14"/>
        </w:trPr>
        <w:tc>
          <w:tcPr>
            <w:tcW w:w="282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320" w:type="dxa"/>
            <w:vAlign w:val="bottom"/>
            <w:vMerge w:val="restart"/>
          </w:tcPr>
          <w:p>
            <w:pPr>
              <w:spacing w:after="0"/>
              <w:rPr>
                <w:sz w:val="9"/>
                <w:szCs w:val="9"/>
                <w:color w:val="auto"/>
              </w:rPr>
            </w:pPr>
          </w:p>
        </w:tc>
        <w:tc>
          <w:tcPr>
            <w:tcW w:w="76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rPr>
              <w:t>Prior to the</w:t>
            </w:r>
          </w:p>
        </w:tc>
        <w:tc>
          <w:tcPr>
            <w:tcW w:w="82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w w:val="96"/>
              </w:rPr>
              <w:t>Being</w:t>
            </w:r>
          </w:p>
        </w:tc>
        <w:tc>
          <w:tcPr>
            <w:tcW w:w="70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1"/>
                <w:szCs w:val="11"/>
                <w:b w:val="1"/>
                <w:bCs w:val="1"/>
                <w:color w:val="auto"/>
                <w:w w:val="96"/>
              </w:rPr>
              <w:t>Being</w:t>
            </w:r>
          </w:p>
        </w:tc>
        <w:tc>
          <w:tcPr>
            <w:tcW w:w="8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After the</w:t>
            </w:r>
          </w:p>
        </w:tc>
        <w:tc>
          <w:tcPr>
            <w:tcW w:w="0" w:type="dxa"/>
            <w:vAlign w:val="bottom"/>
          </w:tcPr>
          <w:p>
            <w:pPr>
              <w:spacing w:after="0"/>
              <w:rPr>
                <w:sz w:val="1"/>
                <w:szCs w:val="1"/>
                <w:color w:val="auto"/>
              </w:rPr>
            </w:pPr>
          </w:p>
        </w:tc>
      </w:tr>
      <w:tr>
        <w:trPr>
          <w:trHeight w:val="137"/>
        </w:trPr>
        <w:tc>
          <w:tcPr>
            <w:tcW w:w="2680" w:type="dxa"/>
            <w:vAlign w:val="bottom"/>
          </w:tcPr>
          <w:p>
            <w:pPr>
              <w:ind w:left="980"/>
              <w:spacing w:after="0"/>
              <w:rPr>
                <w:sz w:val="20"/>
                <w:szCs w:val="20"/>
                <w:color w:val="auto"/>
              </w:rPr>
            </w:pPr>
            <w:r>
              <w:rPr>
                <w:rFonts w:ascii="Times New Roman" w:cs="Times New Roman" w:eastAsia="Times New Roman" w:hAnsi="Times New Roman"/>
                <w:sz w:val="11"/>
                <w:szCs w:val="11"/>
                <w:b w:val="1"/>
                <w:bCs w:val="1"/>
                <w:color w:val="auto"/>
              </w:rPr>
              <w:t>Securityholder</w:t>
            </w:r>
          </w:p>
        </w:tc>
        <w:tc>
          <w:tcPr>
            <w:tcW w:w="140" w:type="dxa"/>
            <w:vAlign w:val="bottom"/>
          </w:tcPr>
          <w:p>
            <w:pPr>
              <w:spacing w:after="0"/>
              <w:rPr>
                <w:sz w:val="11"/>
                <w:szCs w:val="11"/>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2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Offered</w:t>
            </w:r>
          </w:p>
        </w:tc>
        <w:tc>
          <w:tcPr>
            <w:tcW w:w="20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Offered</w:t>
            </w:r>
          </w:p>
        </w:tc>
        <w:tc>
          <w:tcPr>
            <w:tcW w:w="200" w:type="dxa"/>
            <w:vAlign w:val="bottom"/>
          </w:tcPr>
          <w:p>
            <w:pPr>
              <w:spacing w:after="0"/>
              <w:rPr>
                <w:sz w:val="11"/>
                <w:szCs w:val="11"/>
                <w:color w:val="auto"/>
              </w:rPr>
            </w:pPr>
          </w:p>
        </w:tc>
        <w:tc>
          <w:tcPr>
            <w:tcW w:w="140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of SharesPercent</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Offering</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6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2"/>
                <w:szCs w:val="12"/>
                <w:color w:val="auto"/>
              </w:rPr>
              <w:t>Armistice Capital LLC</w:t>
            </w:r>
            <w:r>
              <w:rPr>
                <w:rFonts w:ascii="Times New Roman" w:cs="Times New Roman" w:eastAsia="Times New Roman" w:hAnsi="Times New Roman"/>
                <w:sz w:val="18"/>
                <w:szCs w:val="18"/>
                <w:color w:val="auto"/>
                <w:vertAlign w:val="superscript"/>
              </w:rPr>
              <w:t>(2)</w:t>
            </w:r>
          </w:p>
        </w:tc>
        <w:tc>
          <w:tcPr>
            <w:tcW w:w="140" w:type="dxa"/>
            <w:vAlign w:val="bottom"/>
            <w:vMerge w:val="continue"/>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435,074</w:t>
            </w:r>
          </w:p>
        </w:tc>
        <w:tc>
          <w:tcPr>
            <w:tcW w:w="180" w:type="dxa"/>
            <w:vAlign w:val="bottom"/>
            <w:vMerge w:val="continue"/>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4.99%</w:t>
            </w:r>
          </w:p>
        </w:tc>
        <w:tc>
          <w:tcPr>
            <w:tcW w:w="560" w:type="dxa"/>
            <w:vAlign w:val="bottom"/>
            <w:shd w:val="clear" w:color="auto" w:fill="CCEEFF"/>
          </w:tcPr>
          <w:p>
            <w:pPr>
              <w:ind w:left="36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vMerge w:val="continue"/>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1,356,594</w:t>
            </w:r>
          </w:p>
        </w:tc>
        <w:tc>
          <w:tcPr>
            <w:tcW w:w="2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ind w:left="30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517,217</w:t>
            </w:r>
          </w:p>
        </w:tc>
        <w:tc>
          <w:tcPr>
            <w:tcW w:w="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w w:val="99"/>
              </w:rPr>
              <w:t>4.99%</w:t>
            </w:r>
          </w:p>
        </w:tc>
        <w:tc>
          <w:tcPr>
            <w:tcW w:w="6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Augustus Trading LLC</w:t>
            </w:r>
            <w:r>
              <w:rPr>
                <w:rFonts w:ascii="Times New Roman" w:cs="Times New Roman" w:eastAsia="Times New Roman" w:hAnsi="Times New Roman"/>
                <w:sz w:val="19"/>
                <w:szCs w:val="19"/>
                <w:color w:val="auto"/>
                <w:vertAlign w:val="superscript"/>
              </w:rPr>
              <w:t>(3)</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31,744</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31,744</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5"/>
              </w:rPr>
              <w:t>— </w:t>
            </w:r>
          </w:p>
        </w:tc>
        <w:tc>
          <w:tcPr>
            <w:tcW w:w="6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BPY Limited</w:t>
            </w:r>
            <w:r>
              <w:rPr>
                <w:rFonts w:ascii="Times New Roman" w:cs="Times New Roman" w:eastAsia="Times New Roman" w:hAnsi="Times New Roman"/>
                <w:sz w:val="19"/>
                <w:szCs w:val="19"/>
                <w:color w:val="auto"/>
                <w:vertAlign w:val="superscript"/>
              </w:rPr>
              <w:t>(4)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243,000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2.78%</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99,000</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1.65%</w:t>
            </w:r>
          </w:p>
        </w:tc>
        <w:tc>
          <w:tcPr>
            <w:tcW w:w="6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David Dinkin</w:t>
            </w:r>
            <w:r>
              <w:rPr>
                <w:rFonts w:ascii="Times New Roman" w:cs="Times New Roman" w:eastAsia="Times New Roman" w:hAnsi="Times New Roman"/>
                <w:sz w:val="19"/>
                <w:szCs w:val="19"/>
                <w:color w:val="auto"/>
                <w:vertAlign w:val="superscript"/>
              </w:rPr>
              <w:t>(5)</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60,820</w:t>
            </w: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28,399</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32,421</w:t>
            </w:r>
          </w:p>
        </w:tc>
        <w:tc>
          <w:tcPr>
            <w:tcW w:w="120" w:type="dxa"/>
            <w:vAlign w:val="bottom"/>
          </w:tcPr>
          <w:p>
            <w:pPr>
              <w:spacing w:after="0"/>
              <w:rPr>
                <w:sz w:val="14"/>
                <w:szCs w:val="14"/>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5"/>
              </w:rPr>
              <w:t>— </w:t>
            </w:r>
          </w:p>
        </w:tc>
        <w:tc>
          <w:tcPr>
            <w:tcW w:w="6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Henry Ji</w:t>
            </w:r>
            <w:r>
              <w:rPr>
                <w:rFonts w:ascii="Times New Roman" w:cs="Times New Roman" w:eastAsia="Times New Roman" w:hAnsi="Times New Roman"/>
                <w:sz w:val="19"/>
                <w:szCs w:val="19"/>
                <w:color w:val="auto"/>
                <w:vertAlign w:val="superscript"/>
              </w:rPr>
              <w:t>(6)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445,889</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2,600,000</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320,697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2.81%</w:t>
            </w:r>
          </w:p>
        </w:tc>
        <w:tc>
          <w:tcPr>
            <w:tcW w:w="6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Nomis Bay Ltd.</w:t>
            </w:r>
            <w:r>
              <w:rPr>
                <w:rFonts w:ascii="Times New Roman" w:cs="Times New Roman" w:eastAsia="Times New Roman" w:hAnsi="Times New Roman"/>
                <w:sz w:val="19"/>
                <w:szCs w:val="19"/>
                <w:color w:val="auto"/>
                <w:vertAlign w:val="superscript"/>
              </w:rPr>
              <w:t>(7)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432,000</w:t>
            </w:r>
          </w:p>
        </w:tc>
        <w:tc>
          <w:tcPr>
            <w:tcW w:w="1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4.84%</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176,000</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2.87%</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Oramed Pharmaceuticals Inc.</w:t>
            </w:r>
            <w:r>
              <w:rPr>
                <w:rFonts w:ascii="Times New Roman" w:cs="Times New Roman" w:eastAsia="Times New Roman" w:hAnsi="Times New Roman"/>
                <w:sz w:val="19"/>
                <w:szCs w:val="19"/>
                <w:color w:val="auto"/>
                <w:vertAlign w:val="superscript"/>
              </w:rPr>
              <w:t>(8)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445,968</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451,220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9"/>
              </w:rPr>
              <w:t>4.99%</w:t>
            </w:r>
          </w:p>
        </w:tc>
        <w:tc>
          <w:tcPr>
            <w:tcW w:w="6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Stephen Ma</w:t>
            </w:r>
            <w:r>
              <w:rPr>
                <w:rFonts w:ascii="Times New Roman" w:cs="Times New Roman" w:eastAsia="Times New Roman" w:hAnsi="Times New Roman"/>
                <w:sz w:val="19"/>
                <w:szCs w:val="19"/>
                <w:color w:val="auto"/>
                <w:vertAlign w:val="superscript"/>
              </w:rPr>
              <w:t>(9)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446,874</w:t>
            </w:r>
          </w:p>
        </w:tc>
        <w:tc>
          <w:tcPr>
            <w:tcW w:w="1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4.99%</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650,000</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25,362</w:t>
            </w:r>
          </w:p>
        </w:tc>
        <w:tc>
          <w:tcPr>
            <w:tcW w:w="12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Sorrento Therapeutics, Inc.</w:t>
            </w:r>
            <w:r>
              <w:rPr>
                <w:rFonts w:ascii="Times New Roman" w:cs="Times New Roman" w:eastAsia="Times New Roman" w:hAnsi="Times New Roman"/>
                <w:sz w:val="19"/>
                <w:szCs w:val="19"/>
                <w:color w:val="auto"/>
                <w:vertAlign w:val="superscript"/>
              </w:rPr>
              <w:t>(10)</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54,777</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54,777</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95"/>
              </w:rPr>
              <w:t>— </w:t>
            </w:r>
          </w:p>
        </w:tc>
        <w:tc>
          <w:tcPr>
            <w:tcW w:w="6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SCLX Stock Acquisition JV LLC</w:t>
            </w:r>
            <w:r>
              <w:rPr>
                <w:rFonts w:ascii="Times New Roman" w:cs="Times New Roman" w:eastAsia="Times New Roman" w:hAnsi="Times New Roman"/>
                <w:sz w:val="19"/>
                <w:szCs w:val="19"/>
                <w:color w:val="auto"/>
                <w:vertAlign w:val="superscript"/>
              </w:rPr>
              <w:t>(11)</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1,499,281</w:t>
            </w:r>
          </w:p>
        </w:tc>
        <w:tc>
          <w:tcPr>
            <w:tcW w:w="1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16.69%</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490,617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1,499,281</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490,617</w:t>
            </w: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w w:val="95"/>
              </w:rPr>
              <w:t>— </w:t>
            </w:r>
          </w:p>
        </w:tc>
        <w:tc>
          <w:tcPr>
            <w:tcW w:w="60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5"/>
              </w:rPr>
              <w:t>— </w:t>
            </w:r>
          </w:p>
        </w:tc>
        <w:tc>
          <w:tcPr>
            <w:tcW w:w="0" w:type="dxa"/>
            <w:vAlign w:val="bottom"/>
          </w:tcPr>
          <w:p>
            <w:pPr>
              <w:spacing w:after="0"/>
              <w:rPr>
                <w:sz w:val="1"/>
                <w:szCs w:val="1"/>
                <w:color w:val="auto"/>
              </w:rPr>
            </w:pPr>
          </w:p>
        </w:tc>
      </w:tr>
      <w:tr>
        <w:trPr>
          <w:trHeight w:val="169"/>
        </w:trPr>
        <w:tc>
          <w:tcPr>
            <w:tcW w:w="28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Wilson Drive Holdings LLC</w:t>
            </w:r>
            <w:r>
              <w:rPr>
                <w:rFonts w:ascii="Times New Roman" w:cs="Times New Roman" w:eastAsia="Times New Roman" w:hAnsi="Times New Roman"/>
                <w:sz w:val="19"/>
                <w:szCs w:val="19"/>
                <w:color w:val="auto"/>
                <w:vertAlign w:val="superscript"/>
              </w:rPr>
              <w:t>(12)</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12,209</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12,209</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w w:val="95"/>
              </w:rPr>
              <w:t>— </w:t>
            </w:r>
          </w:p>
        </w:tc>
        <w:tc>
          <w:tcPr>
            <w:tcW w:w="6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80" w:hanging="337"/>
        <w:spacing w:after="0"/>
        <w:tabs>
          <w:tab w:leader="none" w:pos="16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2" w:lineRule="exact"/>
        <w:rPr>
          <w:sz w:val="20"/>
          <w:szCs w:val="20"/>
          <w:color w:val="auto"/>
        </w:rPr>
      </w:pPr>
    </w:p>
    <w:p>
      <w:pPr>
        <w:ind w:left="1680" w:right="299" w:hanging="337"/>
        <w:spacing w:after="0" w:line="251"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Selling Securityholders dispose of all of the Resale Securities covered by this prospectus and do not acquire beneficial ownership of any additional shares, but does not account for the primary offering registered hereby. The registration of the Resale Securities does not necessarily mean that the Selling Securityholders will sell all or any portion of the Resale Securities covered by this prospectus.</w:t>
      </w:r>
    </w:p>
    <w:p>
      <w:pPr>
        <w:ind w:left="1680" w:hanging="337"/>
        <w:spacing w:after="0"/>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207,420 shares held directly and (a) 227,654 shares underlying certain warrants to purchase common stock prior to the Offering and</w:t>
      </w:r>
    </w:p>
    <w:p>
      <w:pPr>
        <w:spacing w:after="0" w:line="7" w:lineRule="exact"/>
        <w:rPr>
          <w:rFonts w:ascii="Times New Roman" w:cs="Times New Roman" w:eastAsia="Times New Roman" w:hAnsi="Times New Roman"/>
          <w:sz w:val="14"/>
          <w:szCs w:val="14"/>
          <w:color w:val="auto"/>
        </w:rPr>
      </w:pPr>
    </w:p>
    <w:p>
      <w:pPr>
        <w:ind w:left="1680" w:right="51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309,797 shares underlying certain warrants to purchase common stock after the Offering, with such warrants subject to a 4.99% beneficial ownership limitation. As a result of the beneficial ownership limitation the selling securityholder may be offering more securities than are beneficially owned. The address of Armistice Capital LLC is 510 Madison Avenue, 7th Floor New York, NY 10022.</w:t>
      </w:r>
    </w:p>
    <w:p>
      <w:pPr>
        <w:ind w:left="1680" w:right="379" w:hanging="337"/>
        <w:spacing w:after="0" w:line="251"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31,744 shares underlying certain warrants to purchase common stock, with such warrants subject to a 4.99% beneficial ownership limitation. The address of Augustus Trading LLC is 600 Lexington Ave, 32nd Floor, New York, NY 10022.</w:t>
      </w:r>
    </w:p>
    <w:p>
      <w:pPr>
        <w:ind w:left="1680" w:right="299" w:hanging="337"/>
        <w:spacing w:after="0" w:line="262"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243,000 shares underlying certain warrants to purchase common stock, with such warrants subject to a 4.99% beneficial ownership limitation. The address of BPY Limited is 5 Reid Street, Hamilton, Bermuda, HM 11.</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80" w:right="379" w:hanging="337"/>
        <w:spacing w:after="0" w:line="262" w:lineRule="auto"/>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60,820 shares underlying certain warrants to purchase common stock, with such warrants subject to a 4.99% beneficial ownership limitation. The address of David Dinkins is 600 Lexington Avenue, 32nd Floor. New York, NY 10022.</w:t>
      </w:r>
    </w:p>
    <w:p>
      <w:pPr>
        <w:ind w:left="1680" w:right="359" w:hanging="337"/>
        <w:spacing w:after="0" w:line="270" w:lineRule="auto"/>
        <w:tabs>
          <w:tab w:leader="none" w:pos="16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Ji is our Chief Executive Officer, President and Executive Chairperson. Comprised of (i) 125,192 shares out of the 2,600,000 shares underlying the Deposit Warrant held by Dr. Ji subject to a 4.99% beneficial ownership limitation (only with respect to the beneficial ownership prior to the Offering), (ii) 301,327 shares subject to options exercisable within 60 days of April 30, 2026, (iii) an aggregate of 9,146 shares held through an entity owned by Dr. Ji, (iv) 1,713 shares held through an entity owned by BioVintage, Inc., (v) 161 shares held by Dr. Ji’s spouse and</w:t>
      </w:r>
    </w:p>
    <w:p>
      <w:pPr>
        <w:spacing w:after="0" w:line="1" w:lineRule="exact"/>
        <w:rPr>
          <w:rFonts w:ascii="Times New Roman" w:cs="Times New Roman" w:eastAsia="Times New Roman" w:hAnsi="Times New Roman"/>
          <w:sz w:val="13"/>
          <w:szCs w:val="13"/>
          <w:color w:val="auto"/>
        </w:rPr>
      </w:pPr>
    </w:p>
    <w:p>
      <w:pPr>
        <w:jc w:val="both"/>
        <w:ind w:left="1680" w:right="299"/>
        <w:spacing w:after="0" w:line="251" w:lineRule="auto"/>
        <w:tabs>
          <w:tab w:leader="none" w:pos="191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aggregate of 8,350 shares held by family trusts for the benefit of Dr. Ji, his spouse and his children. As a result of the beneficial ownership limitation the selling securityholder may be offering more securities than are beneficially owned. The address of Dr. Ji is 960 San Antonio Road, Palo Alto, CA 94303.</w:t>
      </w:r>
    </w:p>
    <w:p>
      <w:pPr>
        <w:ind w:left="1680" w:right="299" w:hanging="337"/>
        <w:spacing w:after="0" w:line="251" w:lineRule="auto"/>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432,000 shares underlying certain warrants to purchase common stock, with such warrants subject to a 4.99% beneficial ownership limitation. The address of Nomis Bay Ltd. is 5 Reid Street, Hamilton, Bermuda, HM 11.</w:t>
      </w:r>
    </w:p>
    <w:p>
      <w:pPr>
        <w:ind w:left="1680" w:hanging="337"/>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(a) 445,968 shares underlying certain warrants to purchase common stock and convertible notes prior to the Offering and</w:t>
      </w:r>
    </w:p>
    <w:p>
      <w:pPr>
        <w:spacing w:after="0" w:line="7" w:lineRule="exact"/>
        <w:rPr>
          <w:rFonts w:ascii="Times New Roman" w:cs="Times New Roman" w:eastAsia="Times New Roman" w:hAnsi="Times New Roman"/>
          <w:sz w:val="14"/>
          <w:szCs w:val="14"/>
          <w:color w:val="auto"/>
        </w:rPr>
      </w:pPr>
    </w:p>
    <w:p>
      <w:pPr>
        <w:ind w:left="1680" w:right="31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451,220 shares underlying certain warrants to purchase common stock and convertible notes after the Offering, each subject to a 4.99% beneficial ownership limitation. The foregoing ownership information for Oramed is based on information supplied by Oramed in a statement on Schedule 13G/A filed with the SEC on February 13, 2026 that reports its sole voting power and sole dispositive power. The address of Oramed is 1185 Avenue of the Americas, Third Floor, New York, NY 10036.</w:t>
      </w:r>
    </w:p>
    <w:p>
      <w:pPr>
        <w:spacing w:after="0" w:line="1" w:lineRule="exact"/>
        <w:rPr>
          <w:rFonts w:ascii="Times New Roman" w:cs="Times New Roman" w:eastAsia="Times New Roman" w:hAnsi="Times New Roman"/>
          <w:sz w:val="14"/>
          <w:szCs w:val="14"/>
          <w:color w:val="auto"/>
        </w:rPr>
      </w:pPr>
    </w:p>
    <w:p>
      <w:pPr>
        <w:ind w:left="1680" w:hanging="337"/>
        <w:spacing w:after="0"/>
        <w:tabs>
          <w:tab w:leader="none" w:pos="16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 is our Chief Financial Officer, Chief Operating Officer, Senior Vice President and Secretary, and a member of our Board. Comprised of</w:t>
      </w:r>
    </w:p>
    <w:p>
      <w:pPr>
        <w:spacing w:after="0" w:line="7" w:lineRule="exact"/>
        <w:rPr>
          <w:rFonts w:ascii="Times New Roman" w:cs="Times New Roman" w:eastAsia="Times New Roman" w:hAnsi="Times New Roman"/>
          <w:sz w:val="14"/>
          <w:szCs w:val="14"/>
          <w:color w:val="auto"/>
        </w:rPr>
      </w:pPr>
    </w:p>
    <w:p>
      <w:pPr>
        <w:ind w:left="1680" w:right="299"/>
        <w:spacing w:after="0" w:line="251" w:lineRule="auto"/>
        <w:tabs>
          <w:tab w:leader="none" w:pos="184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421,512 shares out of 650,000 shares underlying the Deposit Warrant held by Mr. Ma subject to a 4.99% beneficial ownership limitation (only with respect to the beneficial ownership prior to the Offering), (ii) 24,710 shares subject to options exercisable within 60 days of April 30, 2026 and (iii) 652 shares held directly. As a result of the beneficial ownership limitation the selling securityholder may be offering more securities than are beneficially owned. The address of Mr. Ma is 960 San Antonio Road, Palo Alto, CA 94303.</w:t>
      </w:r>
    </w:p>
    <w:p>
      <w:pPr>
        <w:spacing w:after="0" w:line="1" w:lineRule="exact"/>
        <w:rPr>
          <w:rFonts w:ascii="Times New Roman" w:cs="Times New Roman" w:eastAsia="Times New Roman" w:hAnsi="Times New Roman"/>
          <w:sz w:val="14"/>
          <w:szCs w:val="14"/>
          <w:color w:val="auto"/>
        </w:rPr>
      </w:pPr>
    </w:p>
    <w:p>
      <w:pPr>
        <w:jc w:val="both"/>
        <w:ind w:left="1680" w:right="459" w:hanging="337"/>
        <w:spacing w:after="0" w:line="251"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54,777 shares being held in abeyance for the benefit of certain holders of warrants to purchase shares of common stock of Sorrento who may be entitled to receive shares of Common Stock pursuant to the terms of the applicable warrants as a result of the previously declared dividend of shares of Common Stock by Sorrento. The address of Sorrento Therapeutics, Inc. is 4955 Directors Place, San Diego, CA 92121.</w:t>
      </w:r>
    </w:p>
    <w:p>
      <w:pPr>
        <w:ind w:left="1680" w:right="539" w:hanging="337"/>
        <w:spacing w:after="0" w:line="251"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1,485,263 shares held directly and 14,018 shares underlying certain warrants to purchase common stock. The address of SCLX Stock Acquisition JV LLC is 960 San Antonio Road, Palo Alto, CA 94303.</w:t>
      </w:r>
    </w:p>
    <w:p>
      <w:pPr>
        <w:ind w:left="1680" w:right="379" w:hanging="337"/>
        <w:spacing w:after="0" w:line="262" w:lineRule="auto"/>
        <w:tabs>
          <w:tab w:leader="none" w:pos="16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12,209 shares underlying certain warrants to purchase common stock, with such warrants subject to a 4.99% beneficial ownership limitation. The address of Wilson Drive Holdings LLC is 600 Lexington Avenue, 32nd Floor, New York, New York 10022.</w:t>
      </w:r>
    </w:p>
    <w:p>
      <w:pPr>
        <w:spacing w:after="0" w:line="2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Certain Relationships Between the Company and Selling Securityholders</w:t>
      </w:r>
    </w:p>
    <w:p>
      <w:pPr>
        <w:spacing w:after="0" w:line="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Henry Ji and Stephen Ma, Deposit Warrant Holders</w:t>
      </w:r>
    </w:p>
    <w:p>
      <w:pPr>
        <w:spacing w:after="0" w:line="94" w:lineRule="exact"/>
        <w:rPr>
          <w:sz w:val="20"/>
          <w:szCs w:val="20"/>
          <w:color w:val="auto"/>
        </w:rPr>
      </w:pPr>
    </w:p>
    <w:p>
      <w:pPr>
        <w:ind w:left="1340" w:right="359" w:firstLine="344"/>
        <w:spacing w:after="0" w:line="258" w:lineRule="auto"/>
        <w:rPr>
          <w:sz w:val="20"/>
          <w:szCs w:val="20"/>
          <w:color w:val="auto"/>
        </w:rPr>
      </w:pPr>
      <w:r>
        <w:rPr>
          <w:rFonts w:ascii="Times New Roman" w:cs="Times New Roman" w:eastAsia="Times New Roman" w:hAnsi="Times New Roman"/>
          <w:sz w:val="14"/>
          <w:szCs w:val="14"/>
          <w:color w:val="auto"/>
        </w:rPr>
        <w:t>On June 11, 2024, we entered into that certain Commitment Letter with FSF, pursuant to which FSF committed to provide us a loan in the aggregate amount of $100 million (the “Commitment Amount”). The Commitment Amount was to be payable as follows: (i) $85 million no later than the date that is 70 days following the date on which we receive a non-refundable deposit (the “FSF Deposit”) in immediately available funds in the aggregate principal amount of $10 million (the “Outside Date” and the funding of the initial $85 million, the “Initial Closing”) and (ii) the remaining $15 million within 60 days following the Initial Closing. Pursuant to the Commitment Letter, FSF provided us the non-refundable FSF Deposit in immediately available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99"/>
        <w:spacing w:after="0" w:line="259" w:lineRule="auto"/>
        <w:rPr>
          <w:sz w:val="20"/>
          <w:szCs w:val="20"/>
          <w:color w:val="auto"/>
        </w:rPr>
      </w:pPr>
      <w:r>
        <w:rPr>
          <w:rFonts w:ascii="Times New Roman" w:cs="Times New Roman" w:eastAsia="Times New Roman" w:hAnsi="Times New Roman"/>
          <w:sz w:val="14"/>
          <w:szCs w:val="14"/>
          <w:color w:val="auto"/>
        </w:rPr>
        <w:t>funds in the aggregate principal amount of $10 million on June 18, 2024 (the “Deposit Date”), which amount was to be creditable towards the $85 million required to be funded by FSF at the Initial Closing. On the Deposit Date, we issued to FSF the Deposit Warrant to purchase up to an aggregate of 3,250,000 shares of Common Stock (subject to adjustment for any stock dividend, stock split, reverse stock split or similar transaction), with an exercise price of $1.20 per share. Subject to certain ownership limitations, the Deposit Warrant was immediately exercisable upon issuance and will expire five years from the date of issuance.</w:t>
      </w:r>
    </w:p>
    <w:p>
      <w:pPr>
        <w:spacing w:after="0" w:line="143" w:lineRule="exact"/>
        <w:rPr>
          <w:sz w:val="20"/>
          <w:szCs w:val="20"/>
          <w:color w:val="auto"/>
        </w:rPr>
      </w:pPr>
    </w:p>
    <w:p>
      <w:pPr>
        <w:ind w:left="1340" w:right="279" w:firstLine="344"/>
        <w:spacing w:after="0" w:line="258" w:lineRule="auto"/>
        <w:rPr>
          <w:sz w:val="20"/>
          <w:szCs w:val="20"/>
          <w:color w:val="auto"/>
        </w:rPr>
      </w:pPr>
      <w:r>
        <w:rPr>
          <w:rFonts w:ascii="Times New Roman" w:cs="Times New Roman" w:eastAsia="Times New Roman" w:hAnsi="Times New Roman"/>
          <w:sz w:val="14"/>
          <w:szCs w:val="14"/>
          <w:color w:val="auto"/>
        </w:rPr>
        <w:t>In connection with the transactions contemplated by the Commitment Letter, we also entered into a letter agreement with FSF and FSF’s strategic consultant, IVI 66766 LLC (“IVI”), dated July 16, 2024, pursuant to which we agreed to reimburse the actual, reasonable and documented consulting fees incurred by FSF in connection with the preparation, negotiation and execution of the Commitment Letter and the definitive documents with respect to the transactions contemplated thereby, which fees were satisfied in full by us issuing to IVI a warrant to purchase up to an aggregate of 250,000 shares of Common Stock (the “Fee Warrant”) on July 16, 2024, with an exercise price of $1.20 per share. Subject to certain ownership limitations, the Fee Warrant was immediately exercisable upon issuance.</w:t>
      </w:r>
    </w:p>
    <w:p>
      <w:pPr>
        <w:spacing w:after="0" w:line="142"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On September 17, 2024, we entered into the Satisfaction Agreement with FSF and Endeavor, pursuant to which the remaining obligations in respect of the FSF Deposit would be fully satisfied by our delivery of 28,000 cartons of ZTlido to Endeavor (the “Additional Product”), which delivery was to occur no later than December 31, 2024. Upon satisfaction of such remaining obligations, the Commitment Letter was to be terminated and of no further force or effect and neither FSF nor we shall have any further liability or obligations thereunder. In consideration of Endeavor assuming our payment obligation in respect of the FSF Deposit, Endeavor will not be responsible for making any payment to us for (i) the product already delivered as of the date of such agreement in an amount of approximately $13.2 million and (ii) the Additional Product. In November 2024, we delivered the Additional Product to Endeavor and fully satisfied the remaining obligations in respect of the FSF Deposit.</w:t>
      </w:r>
    </w:p>
    <w:p>
      <w:pPr>
        <w:spacing w:after="0" w:line="147" w:lineRule="exact"/>
        <w:rPr>
          <w:sz w:val="20"/>
          <w:szCs w:val="20"/>
          <w:color w:val="auto"/>
        </w:rPr>
      </w:pPr>
    </w:p>
    <w:p>
      <w:pPr>
        <w:ind w:left="1340" w:right="519" w:firstLine="344"/>
        <w:spacing w:after="0" w:line="284" w:lineRule="auto"/>
        <w:rPr>
          <w:sz w:val="20"/>
          <w:szCs w:val="20"/>
          <w:color w:val="auto"/>
        </w:rPr>
      </w:pPr>
      <w:r>
        <w:rPr>
          <w:rFonts w:ascii="Times New Roman" w:cs="Times New Roman" w:eastAsia="Times New Roman" w:hAnsi="Times New Roman"/>
          <w:sz w:val="14"/>
          <w:szCs w:val="14"/>
          <w:color w:val="auto"/>
        </w:rPr>
        <w:t>On April 16, 2026, FSF transferred the Deposit Warrant to Henry Ji, our Chief Executive Officer and President, in exchange for a payment of $500,000.</w:t>
      </w:r>
    </w:p>
    <w:p>
      <w:pPr>
        <w:spacing w:after="0" w:line="125" w:lineRule="exact"/>
        <w:rPr>
          <w:sz w:val="20"/>
          <w:szCs w:val="20"/>
          <w:color w:val="auto"/>
        </w:rPr>
      </w:pPr>
    </w:p>
    <w:p>
      <w:pPr>
        <w:ind w:left="1340" w:right="459" w:firstLine="344"/>
        <w:spacing w:after="0" w:line="284" w:lineRule="auto"/>
        <w:rPr>
          <w:sz w:val="20"/>
          <w:szCs w:val="20"/>
          <w:color w:val="auto"/>
        </w:rPr>
      </w:pPr>
      <w:r>
        <w:rPr>
          <w:rFonts w:ascii="Times New Roman" w:cs="Times New Roman" w:eastAsia="Times New Roman" w:hAnsi="Times New Roman"/>
          <w:sz w:val="14"/>
          <w:szCs w:val="14"/>
          <w:color w:val="auto"/>
        </w:rPr>
        <w:t>Subsequently on April 17, 2026, Henry Ji transferred a portion of the Deposit Warrant representing 20% of the shares underlying such Deposit Warrant, to Stephen Ma, our Chief Financial Officer and Chief Operating Officer, in exchange for a payment of $100,000.</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Oramed</w:t>
      </w:r>
    </w:p>
    <w:p>
      <w:pPr>
        <w:spacing w:after="0" w:line="92" w:lineRule="exact"/>
        <w:rPr>
          <w:sz w:val="20"/>
          <w:szCs w:val="20"/>
          <w:color w:val="auto"/>
        </w:rPr>
      </w:pPr>
    </w:p>
    <w:p>
      <w:pPr>
        <w:ind w:left="1340" w:right="239" w:firstLine="344"/>
        <w:spacing w:after="0" w:line="287" w:lineRule="auto"/>
        <w:rPr>
          <w:sz w:val="20"/>
          <w:szCs w:val="20"/>
          <w:color w:val="auto"/>
        </w:rPr>
      </w:pPr>
      <w:r>
        <w:rPr>
          <w:rFonts w:ascii="Times New Roman" w:cs="Times New Roman" w:eastAsia="Times New Roman" w:hAnsi="Times New Roman"/>
          <w:sz w:val="14"/>
          <w:szCs w:val="14"/>
          <w:color w:val="auto"/>
        </w:rPr>
        <w:t>For information regarding transactions between us and Oramed Pharmaceuticals Inc., see “</w:t>
      </w:r>
      <w:r>
        <w:rPr>
          <w:rFonts w:ascii="Times New Roman" w:cs="Times New Roman" w:eastAsia="Times New Roman" w:hAnsi="Times New Roman"/>
          <w:sz w:val="14"/>
          <w:szCs w:val="14"/>
          <w:i w:val="1"/>
          <w:iCs w:val="1"/>
          <w:color w:val="auto"/>
        </w:rPr>
        <w:t>Certain Relationships and Related Party Transactions</w:t>
      </w:r>
      <w:r>
        <w:rPr>
          <w:rFonts w:ascii="Times New Roman" w:cs="Times New Roman" w:eastAsia="Times New Roman" w:hAnsi="Times New Roman"/>
          <w:sz w:val="14"/>
          <w:szCs w:val="14"/>
          <w:color w:val="auto"/>
        </w:rPr>
        <w:t>” in our definitive proxy statement on Schedule 14A, as filed with the SEC on April 30, 2026.</w:t>
      </w:r>
    </w:p>
    <w:p>
      <w:pPr>
        <w:spacing w:after="0" w:line="2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Sorrento</w:t>
      </w:r>
    </w:p>
    <w:p>
      <w:pPr>
        <w:spacing w:after="0" w:line="92" w:lineRule="exact"/>
        <w:rPr>
          <w:sz w:val="20"/>
          <w:szCs w:val="20"/>
          <w:color w:val="auto"/>
        </w:rPr>
      </w:pPr>
    </w:p>
    <w:p>
      <w:pPr>
        <w:ind w:left="1340" w:right="239" w:firstLine="344"/>
        <w:spacing w:after="0" w:line="287" w:lineRule="auto"/>
        <w:rPr>
          <w:sz w:val="20"/>
          <w:szCs w:val="20"/>
          <w:color w:val="auto"/>
        </w:rPr>
      </w:pPr>
      <w:r>
        <w:rPr>
          <w:rFonts w:ascii="Times New Roman" w:cs="Times New Roman" w:eastAsia="Times New Roman" w:hAnsi="Times New Roman"/>
          <w:sz w:val="14"/>
          <w:szCs w:val="14"/>
          <w:color w:val="auto"/>
        </w:rPr>
        <w:t>For information regarding transactions between us and Sorrento Therapeutics, Inc., see “</w:t>
      </w:r>
      <w:r>
        <w:rPr>
          <w:rFonts w:ascii="Times New Roman" w:cs="Times New Roman" w:eastAsia="Times New Roman" w:hAnsi="Times New Roman"/>
          <w:sz w:val="14"/>
          <w:szCs w:val="14"/>
          <w:i w:val="1"/>
          <w:iCs w:val="1"/>
          <w:color w:val="auto"/>
        </w:rPr>
        <w:t>Certain Relationships and Related Party Transactions</w:t>
      </w:r>
      <w:r>
        <w:rPr>
          <w:rFonts w:ascii="Times New Roman" w:cs="Times New Roman" w:eastAsia="Times New Roman" w:hAnsi="Times New Roman"/>
          <w:sz w:val="14"/>
          <w:szCs w:val="14"/>
          <w:color w:val="auto"/>
        </w:rPr>
        <w:t>” in our definitive proxy statement on Schedule 14A, as filed with the SEC on April 30, 2026.</w:t>
      </w:r>
    </w:p>
    <w:p>
      <w:pPr>
        <w:spacing w:after="0" w:line="123" w:lineRule="exact"/>
        <w:rPr>
          <w:sz w:val="20"/>
          <w:szCs w:val="20"/>
          <w:color w:val="auto"/>
        </w:rPr>
      </w:pPr>
    </w:p>
    <w:p>
      <w:pPr>
        <w:ind w:left="1340" w:right="699" w:firstLine="344"/>
        <w:spacing w:after="0" w:line="284" w:lineRule="auto"/>
        <w:rPr>
          <w:sz w:val="20"/>
          <w:szCs w:val="20"/>
          <w:color w:val="auto"/>
        </w:rPr>
      </w:pPr>
      <w:r>
        <w:rPr>
          <w:rFonts w:ascii="Times New Roman" w:cs="Times New Roman" w:eastAsia="Times New Roman" w:hAnsi="Times New Roman"/>
          <w:sz w:val="14"/>
          <w:szCs w:val="14"/>
          <w:color w:val="auto"/>
        </w:rPr>
        <w:t>Except for the relationships disclosed above and in the footnotes to the Selling Securityholders table, we do not believe that we have had a material relationship with any of the Selling Securityholders within the last three years.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jc w:val="both"/>
        <w:ind w:left="1340" w:right="279" w:firstLine="344"/>
        <w:spacing w:after="0" w:line="268" w:lineRule="auto"/>
        <w:rPr>
          <w:sz w:val="20"/>
          <w:szCs w:val="20"/>
          <w:color w:val="auto"/>
        </w:rPr>
      </w:pPr>
      <w:r>
        <w:rPr>
          <w:rFonts w:ascii="Times New Roman" w:cs="Times New Roman" w:eastAsia="Times New Roman" w:hAnsi="Times New Roman"/>
          <w:sz w:val="14"/>
          <w:szCs w:val="14"/>
          <w:color w:val="auto"/>
        </w:rPr>
        <w:t>We are registering the issuance by us of up to 2,083,067 shares of our Common Stock that are issuable upon exercise of the 2024 Warrants, SPAC Warrants and Exchange Warrants. We will receive proceeds from the 2024 Warrants, SPAC Warrants and Exchange Warrants exercised in the event that such warrants are exercised for cash.</w:t>
      </w:r>
    </w:p>
    <w:p>
      <w:pPr>
        <w:spacing w:after="0" w:line="135" w:lineRule="exact"/>
        <w:rPr>
          <w:sz w:val="20"/>
          <w:szCs w:val="20"/>
          <w:color w:val="auto"/>
        </w:rPr>
      </w:pPr>
    </w:p>
    <w:p>
      <w:pPr>
        <w:ind w:left="1340" w:right="299" w:firstLine="344"/>
        <w:spacing w:after="0" w:line="258" w:lineRule="auto"/>
        <w:rPr>
          <w:sz w:val="20"/>
          <w:szCs w:val="20"/>
          <w:color w:val="auto"/>
        </w:rPr>
      </w:pPr>
      <w:r>
        <w:rPr>
          <w:rFonts w:ascii="Times New Roman" w:cs="Times New Roman" w:eastAsia="Times New Roman" w:hAnsi="Times New Roman"/>
          <w:sz w:val="14"/>
          <w:szCs w:val="14"/>
          <w:color w:val="auto"/>
        </w:rPr>
        <w:t>A holder of 2024 Warrants, SPAC Warrants, or Exchange Warrants may exercise such warrants in accordance with their respective terms on or before the expiration date set forth in such warrant by surrendering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terms of such warrant. The Tranche B Notes may be converted into shares of Common Stock from time to time in accordance with their terms at a current conversion price of $36.40 per share.</w:t>
      </w:r>
    </w:p>
    <w:p>
      <w:pPr>
        <w:spacing w:after="0" w:line="142" w:lineRule="exact"/>
        <w:rPr>
          <w:sz w:val="20"/>
          <w:szCs w:val="20"/>
          <w:color w:val="auto"/>
        </w:rPr>
      </w:pPr>
    </w:p>
    <w:p>
      <w:pPr>
        <w:ind w:left="1340" w:right="539" w:firstLine="344"/>
        <w:spacing w:after="0" w:line="297" w:lineRule="auto"/>
        <w:rPr>
          <w:sz w:val="20"/>
          <w:szCs w:val="20"/>
          <w:color w:val="auto"/>
        </w:rPr>
      </w:pPr>
      <w:r>
        <w:rPr>
          <w:rFonts w:ascii="Times New Roman" w:cs="Times New Roman" w:eastAsia="Times New Roman" w:hAnsi="Times New Roman"/>
          <w:sz w:val="13"/>
          <w:szCs w:val="13"/>
          <w:color w:val="auto"/>
        </w:rPr>
        <w:t>The offering by us of shares of our Common Stock issuable upon exercise or conversion, as applicable, of the above-referenced warrants and notes will terminate on the date that all shares of our Common Stock offered by this prospectus have been issued upon exercise or conversion, as applicable, of the 2024 Warrants, SPAC Warrants, Exchange Warrants and Tranche B Notes, or such securities are otherwise no longer outstanding.</w:t>
      </w:r>
    </w:p>
    <w:p>
      <w:pPr>
        <w:spacing w:after="0" w:line="120" w:lineRule="exact"/>
        <w:rPr>
          <w:sz w:val="20"/>
          <w:szCs w:val="20"/>
          <w:color w:val="auto"/>
        </w:rPr>
      </w:pPr>
    </w:p>
    <w:p>
      <w:pPr>
        <w:ind w:left="1340" w:right="399" w:firstLine="344"/>
        <w:spacing w:after="0" w:line="284" w:lineRule="auto"/>
        <w:rPr>
          <w:sz w:val="20"/>
          <w:szCs w:val="20"/>
          <w:color w:val="auto"/>
        </w:rPr>
      </w:pPr>
      <w:r>
        <w:rPr>
          <w:rFonts w:ascii="Times New Roman" w:cs="Times New Roman" w:eastAsia="Times New Roman" w:hAnsi="Times New Roman"/>
          <w:sz w:val="14"/>
          <w:szCs w:val="14"/>
          <w:color w:val="auto"/>
        </w:rPr>
        <w:t>We are also registering the offer and sale from time to time by the Selling Securityholders of up to an aggregate of 6,581,004 Resale Shares and 490,617 Private Warrants.</w:t>
      </w:r>
    </w:p>
    <w:p>
      <w:pPr>
        <w:spacing w:after="0" w:line="125" w:lineRule="exact"/>
        <w:rPr>
          <w:sz w:val="20"/>
          <w:szCs w:val="20"/>
          <w:color w:val="auto"/>
        </w:rPr>
      </w:pPr>
    </w:p>
    <w:p>
      <w:pPr>
        <w:jc w:val="both"/>
        <w:ind w:left="1340" w:right="219" w:firstLine="344"/>
        <w:spacing w:after="0" w:line="262" w:lineRule="auto"/>
        <w:rPr>
          <w:sz w:val="20"/>
          <w:szCs w:val="20"/>
          <w:color w:val="auto"/>
        </w:rPr>
      </w:pPr>
      <w:r>
        <w:rPr>
          <w:rFonts w:ascii="Times New Roman" w:cs="Times New Roman" w:eastAsia="Times New Roman" w:hAnsi="Times New Roman"/>
          <w:sz w:val="14"/>
          <w:szCs w:val="14"/>
          <w:color w:val="auto"/>
        </w:rPr>
        <w:t>We will not receive any proceeds from the sale by the Selling Securityholders of the securities offered by them described in this prospectus, except with respect to amounts received by us upon the exercise of the Deposit Warrant, Private Warrants, September 2025 Warrants, November 2025 Warrants and February 2026 Warrant for cash. The aggregate proceeds to the Selling Securityholders will be the purchase price of the securities less any discounts and commissions borne by the Selling Securityholders.</w:t>
      </w:r>
    </w:p>
    <w:p>
      <w:pPr>
        <w:spacing w:after="0" w:line="140" w:lineRule="exact"/>
        <w:rPr>
          <w:sz w:val="20"/>
          <w:szCs w:val="20"/>
          <w:color w:val="auto"/>
        </w:rPr>
      </w:pPr>
    </w:p>
    <w:p>
      <w:pPr>
        <w:ind w:left="1340" w:right="279" w:firstLine="344"/>
        <w:spacing w:after="0" w:line="268" w:lineRule="auto"/>
        <w:rPr>
          <w:sz w:val="20"/>
          <w:szCs w:val="20"/>
          <w:color w:val="auto"/>
        </w:rPr>
      </w:pPr>
      <w:r>
        <w:rPr>
          <w:rFonts w:ascii="Times New Roman" w:cs="Times New Roman" w:eastAsia="Times New Roman" w:hAnsi="Times New Roman"/>
          <w:sz w:val="14"/>
          <w:szCs w:val="14"/>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are required to pay all other fees and expenses incident to the registration of the securities to be offered and sold pursuant to this prospectus.</w:t>
      </w:r>
    </w:p>
    <w:p>
      <w:pPr>
        <w:spacing w:after="0" w:line="135" w:lineRule="exact"/>
        <w:rPr>
          <w:sz w:val="20"/>
          <w:szCs w:val="20"/>
          <w:color w:val="auto"/>
        </w:rPr>
      </w:pPr>
    </w:p>
    <w:p>
      <w:pPr>
        <w:ind w:left="1340" w:right="339" w:firstLine="344"/>
        <w:spacing w:after="0" w:line="262" w:lineRule="auto"/>
        <w:rPr>
          <w:sz w:val="20"/>
          <w:szCs w:val="20"/>
          <w:color w:val="auto"/>
        </w:rPr>
      </w:pPr>
      <w:r>
        <w:rPr>
          <w:rFonts w:ascii="Times New Roman" w:cs="Times New Roman" w:eastAsia="Times New Roman" w:hAnsi="Times New Roman"/>
          <w:sz w:val="14"/>
          <w:szCs w:val="14"/>
          <w:color w:val="auto"/>
        </w:rPr>
        <w:t>The shares of Common Stock and the Private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w:t>
      </w:r>
    </w:p>
    <w:p>
      <w:pPr>
        <w:spacing w:after="0" w:line="140" w:lineRule="exact"/>
        <w:rPr>
          <w:sz w:val="20"/>
          <w:szCs w:val="20"/>
          <w:color w:val="auto"/>
        </w:rPr>
      </w:pPr>
    </w:p>
    <w:p>
      <w:pPr>
        <w:ind w:left="1340" w:right="259" w:firstLine="344"/>
        <w:spacing w:after="0" w:line="255" w:lineRule="auto"/>
        <w:rPr>
          <w:sz w:val="20"/>
          <w:szCs w:val="20"/>
          <w:color w:val="auto"/>
        </w:rPr>
      </w:pPr>
      <w:r>
        <w:rPr>
          <w:rFonts w:ascii="Times New Roman" w:cs="Times New Roman" w:eastAsia="Times New Roman" w:hAnsi="Times New Roman"/>
          <w:sz w:val="14"/>
          <w:szCs w:val="14"/>
          <w:color w:val="auto"/>
        </w:rPr>
        <w:t>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Selling Securityholders may sell their shares and warrants by one or more of, or a combination of, the following methods:</w:t>
      </w:r>
    </w:p>
    <w:p>
      <w:pPr>
        <w:spacing w:after="0" w:line="103" w:lineRule="exact"/>
        <w:rPr>
          <w:sz w:val="20"/>
          <w:szCs w:val="20"/>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such broker-dealer for its own account pursuant to this prospectus;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solicits purchasers;</w:t>
      </w:r>
    </w:p>
    <w:p>
      <w:pPr>
        <w:spacing w:after="0" w:line="102" w:lineRule="exact"/>
        <w:rPr>
          <w:rFonts w:ascii="Times New Roman" w:cs="Times New Roman" w:eastAsia="Times New Roman" w:hAnsi="Times New Roman"/>
          <w:sz w:val="14"/>
          <w:szCs w:val="14"/>
          <w:color w:val="auto"/>
        </w:rPr>
      </w:pPr>
    </w:p>
    <w:p>
      <w:pPr>
        <w:ind w:left="2100" w:right="319" w:hanging="335"/>
        <w:spacing w:after="0" w:line="284"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so engaged will attempt to sell the offered securities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00" w:right="599" w:hanging="335"/>
        <w:spacing w:after="0" w:line="284"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over-the-counter distribution in accordance with the rules of the applicable exchange on which the shares are listed or admitted to trading;</w:t>
      </w:r>
    </w:p>
    <w:p>
      <w:pPr>
        <w:spacing w:after="0" w:line="51" w:lineRule="exact"/>
        <w:rPr>
          <w:rFonts w:ascii="Times New Roman" w:cs="Times New Roman" w:eastAsia="Times New Roman" w:hAnsi="Times New Roman"/>
          <w:sz w:val="14"/>
          <w:szCs w:val="14"/>
          <w:color w:val="auto"/>
        </w:rPr>
      </w:pPr>
    </w:p>
    <w:p>
      <w:pPr>
        <w:jc w:val="both"/>
        <w:ind w:left="2100" w:right="499" w:hanging="335"/>
        <w:spacing w:after="0" w:line="268"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 of the securities by any Selling Securityholder to its partners, members or stockholders;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underwritten offerings on a firm commitment or best efforts basis;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 entered into after the effective date of the registration statement of which this prospectus is a part;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with broker-dealers to sell a specified number of the securities at a stipulated price per share or warrant;</w:t>
      </w:r>
    </w:p>
    <w:p>
      <w:pPr>
        <w:spacing w:after="0" w:line="102" w:lineRule="exact"/>
        <w:rPr>
          <w:rFonts w:ascii="Times New Roman" w:cs="Times New Roman" w:eastAsia="Times New Roman" w:hAnsi="Times New Roman"/>
          <w:sz w:val="14"/>
          <w:szCs w:val="14"/>
          <w:color w:val="auto"/>
        </w:rPr>
      </w:pPr>
    </w:p>
    <w:p>
      <w:pPr>
        <w:ind w:left="2100" w:right="299" w:hanging="335"/>
        <w:spacing w:after="0" w:line="268" w:lineRule="auto"/>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6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options transactions;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 or</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laws.</w:t>
      </w:r>
    </w:p>
    <w:p>
      <w:pPr>
        <w:spacing w:after="0" w:line="176" w:lineRule="exact"/>
        <w:rPr>
          <w:sz w:val="20"/>
          <w:szCs w:val="20"/>
          <w:color w:val="auto"/>
        </w:rPr>
      </w:pPr>
    </w:p>
    <w:p>
      <w:pPr>
        <w:ind w:left="1340" w:right="319" w:firstLine="344"/>
        <w:spacing w:after="0" w:line="262" w:lineRule="auto"/>
        <w:rPr>
          <w:sz w:val="20"/>
          <w:szCs w:val="20"/>
          <w:color w:val="auto"/>
        </w:rPr>
      </w:pPr>
      <w:r>
        <w:rPr>
          <w:rFonts w:ascii="Times New Roman" w:cs="Times New Roman" w:eastAsia="Times New Roman" w:hAnsi="Times New Roman"/>
          <w:sz w:val="14"/>
          <w:szCs w:val="14"/>
          <w:color w:val="auto"/>
        </w:rPr>
        <w:t>There can be no assurance that the Selling Securityholders will sell all or any of the securities offered by this prospectus. In addition, any shares that qualify for sale pursuant to Rule 144 may be sold under Rule 144 rather than pursuant to this prospectus. The Selling Securityholders have the sole and absolute discretion not to accept any purchase offer or make any sale of securities if they deem the purchase price to be unsatisfactory at any particular time.</w:t>
      </w:r>
    </w:p>
    <w:p>
      <w:pPr>
        <w:spacing w:after="0" w:line="140" w:lineRule="exact"/>
        <w:rPr>
          <w:sz w:val="20"/>
          <w:szCs w:val="20"/>
          <w:color w:val="auto"/>
        </w:rPr>
      </w:pPr>
    </w:p>
    <w:p>
      <w:pPr>
        <w:ind w:left="1340" w:right="539" w:firstLine="344"/>
        <w:spacing w:after="0" w:line="259" w:lineRule="auto"/>
        <w:rPr>
          <w:sz w:val="20"/>
          <w:szCs w:val="20"/>
          <w:color w:val="auto"/>
        </w:rPr>
      </w:pPr>
      <w:r>
        <w:rPr>
          <w:rFonts w:ascii="Times New Roman" w:cs="Times New Roman" w:eastAsia="Times New Roman" w:hAnsi="Times New Roman"/>
          <w:sz w:val="14"/>
          <w:szCs w:val="14"/>
          <w:color w:val="auto"/>
        </w:rPr>
        <w:t>Subject to the terms of the agreement(s) governing the registration rights applicable to a Selling Securityholder’s shares of Common Stock or Private Warrants, such Selling Securityholder may transfer shares of Common Stock or Private Warrants to one or more “permitted transferees” in accordance with such agreements and, if so transferred, such permitted transferee(s) will be the selling beneficial owner(s) for purposes of this prospectus. Upon being notified by a Selling Securityholder that it intends to sell our securities, we will, to the extent required, promptly file a supplement to this prospectus to name specifically such person as a Selling Securityholder.</w:t>
      </w:r>
    </w:p>
    <w:p>
      <w:pPr>
        <w:spacing w:after="0" w:line="143" w:lineRule="exact"/>
        <w:rPr>
          <w:sz w:val="20"/>
          <w:szCs w:val="20"/>
          <w:color w:val="auto"/>
        </w:rPr>
      </w:pPr>
    </w:p>
    <w:p>
      <w:pPr>
        <w:ind w:left="1340" w:right="559" w:firstLine="344"/>
        <w:spacing w:after="0" w:line="284" w:lineRule="auto"/>
        <w:rPr>
          <w:sz w:val="20"/>
          <w:szCs w:val="20"/>
          <w:color w:val="auto"/>
        </w:rPr>
      </w:pPr>
      <w:r>
        <w:rPr>
          <w:rFonts w:ascii="Times New Roman" w:cs="Times New Roman" w:eastAsia="Times New Roman" w:hAnsi="Times New Roman"/>
          <w:sz w:val="14"/>
          <w:szCs w:val="14"/>
          <w:color w:val="auto"/>
        </w:rPr>
        <w:t>With respect to a particular offering of the securities held by the Selling Securityholders, to the extent required, an accompanying prospectus supplement or, if appropriate, a post-effective amendment to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registration statement of which this prospectus is part, will be prepared and will set forth, to the extent required, the following information:</w:t>
      </w:r>
    </w:p>
    <w:p>
      <w:pPr>
        <w:spacing w:after="0" w:line="103" w:lineRule="exact"/>
        <w:rPr>
          <w:sz w:val="20"/>
          <w:szCs w:val="20"/>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securities to be offered and sold;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the Selling Securityholders;</w:t>
      </w:r>
    </w:p>
    <w:p>
      <w:pPr>
        <w:spacing w:after="0" w:line="102" w:lineRule="exact"/>
        <w:rPr>
          <w:rFonts w:ascii="Times New Roman" w:cs="Times New Roman" w:eastAsia="Times New Roman" w:hAnsi="Times New Roman"/>
          <w:sz w:val="14"/>
          <w:szCs w:val="14"/>
          <w:color w:val="auto"/>
        </w:rPr>
      </w:pPr>
    </w:p>
    <w:p>
      <w:pPr>
        <w:ind w:left="2100" w:right="339" w:hanging="335"/>
        <w:spacing w:after="0" w:line="284" w:lineRule="auto"/>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purchase prices and public offering prices, the proceeds to be received from the sale, if any, and other material terms of the offering;</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 entered into after the date of this prospectus;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participating agents, broker-dealers or underwriters, if not already named herein; and</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commissions, discounts, concessions and other items constituting compensation from the Selling Securityholders.</w:t>
      </w:r>
    </w:p>
    <w:p>
      <w:pPr>
        <w:spacing w:after="0" w:line="176" w:lineRule="exact"/>
        <w:rPr>
          <w:sz w:val="20"/>
          <w:szCs w:val="20"/>
          <w:color w:val="auto"/>
        </w:rPr>
      </w:pPr>
    </w:p>
    <w:p>
      <w:pPr>
        <w:ind w:left="1340" w:right="279" w:firstLine="344"/>
        <w:spacing w:after="0" w:line="255" w:lineRule="auto"/>
        <w:rPr>
          <w:sz w:val="20"/>
          <w:szCs w:val="20"/>
          <w:color w:val="auto"/>
        </w:rPr>
      </w:pPr>
      <w:r>
        <w:rPr>
          <w:rFonts w:ascii="Times New Roman" w:cs="Times New Roman" w:eastAsia="Times New Roman" w:hAnsi="Times New Roman"/>
          <w:sz w:val="14"/>
          <w:szCs w:val="14"/>
          <w:color w:val="auto"/>
        </w:rPr>
        <w:t>In connection with distributions of the Resale Shares and Private Warrants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47" w:lineRule="exact"/>
        <w:rPr>
          <w:sz w:val="20"/>
          <w:szCs w:val="20"/>
          <w:color w:val="auto"/>
        </w:rPr>
      </w:pPr>
    </w:p>
    <w:p>
      <w:pPr>
        <w:ind w:left="1340" w:right="219" w:firstLine="344"/>
        <w:spacing w:after="0" w:line="255" w:lineRule="auto"/>
        <w:rPr>
          <w:sz w:val="20"/>
          <w:szCs w:val="20"/>
          <w:color w:val="auto"/>
        </w:rPr>
      </w:pPr>
      <w:r>
        <w:rPr>
          <w:rFonts w:ascii="Times New Roman" w:cs="Times New Roman" w:eastAsia="Times New Roman" w:hAnsi="Times New Roman"/>
          <w:sz w:val="14"/>
          <w:szCs w:val="14"/>
          <w:color w:val="auto"/>
        </w:rPr>
        <w:t>In order to facilitate the offering of the securities offered by this prospectus,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47" w:lineRule="exact"/>
        <w:rPr>
          <w:sz w:val="20"/>
          <w:szCs w:val="20"/>
          <w:color w:val="auto"/>
        </w:rPr>
      </w:pPr>
    </w:p>
    <w:p>
      <w:pPr>
        <w:ind w:left="1340" w:right="519" w:firstLine="344"/>
        <w:spacing w:after="0" w:line="268" w:lineRule="auto"/>
        <w:rPr>
          <w:sz w:val="20"/>
          <w:szCs w:val="20"/>
          <w:color w:val="auto"/>
        </w:rPr>
      </w:pPr>
      <w:r>
        <w:rPr>
          <w:rFonts w:ascii="Times New Roman" w:cs="Times New Roman" w:eastAsia="Times New Roman" w:hAnsi="Times New Roman"/>
          <w:sz w:val="14"/>
          <w:szCs w:val="14"/>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35" w:lineRule="exact"/>
        <w:rPr>
          <w:sz w:val="20"/>
          <w:szCs w:val="20"/>
          <w:color w:val="auto"/>
        </w:rPr>
      </w:pPr>
    </w:p>
    <w:p>
      <w:pPr>
        <w:jc w:val="both"/>
        <w:ind w:left="1340" w:right="499" w:firstLine="344"/>
        <w:spacing w:after="0" w:line="284" w:lineRule="auto"/>
        <w:rPr>
          <w:sz w:val="20"/>
          <w:szCs w:val="20"/>
          <w:color w:val="auto"/>
        </w:rPr>
      </w:pPr>
      <w:r>
        <w:rPr>
          <w:rFonts w:ascii="Times New Roman" w:cs="Times New Roman" w:eastAsia="Times New Roman" w:hAnsi="Times New Roman"/>
          <w:sz w:val="14"/>
          <w:szCs w:val="14"/>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5" w:lineRule="exact"/>
        <w:rPr>
          <w:sz w:val="20"/>
          <w:szCs w:val="20"/>
          <w:color w:val="auto"/>
        </w:rPr>
      </w:pPr>
    </w:p>
    <w:p>
      <w:pPr>
        <w:ind w:left="1340" w:right="279" w:firstLine="344"/>
        <w:spacing w:after="0" w:line="262" w:lineRule="auto"/>
        <w:rPr>
          <w:sz w:val="20"/>
          <w:szCs w:val="20"/>
          <w:color w:val="auto"/>
        </w:rPr>
      </w:pPr>
      <w:r>
        <w:rPr>
          <w:rFonts w:ascii="Times New Roman" w:cs="Times New Roman" w:eastAsia="Times New Roman" w:hAnsi="Times New Roman"/>
          <w:sz w:val="14"/>
          <w:szCs w:val="14"/>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79" w:firstLine="344"/>
        <w:spacing w:after="0" w:line="255" w:lineRule="auto"/>
        <w:rPr>
          <w:sz w:val="20"/>
          <w:szCs w:val="20"/>
          <w:color w:val="auto"/>
        </w:rPr>
      </w:pPr>
      <w:r>
        <w:rPr>
          <w:rFonts w:ascii="Times New Roman" w:cs="Times New Roman" w:eastAsia="Times New Roman" w:hAnsi="Times New Roman"/>
          <w:sz w:val="14"/>
          <w:szCs w:val="14"/>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47" w:lineRule="exact"/>
        <w:rPr>
          <w:sz w:val="20"/>
          <w:szCs w:val="20"/>
          <w:color w:val="auto"/>
        </w:rPr>
      </w:pPr>
    </w:p>
    <w:p>
      <w:pPr>
        <w:ind w:left="1340" w:right="279" w:firstLine="344"/>
        <w:spacing w:after="0" w:line="268" w:lineRule="auto"/>
        <w:rPr>
          <w:sz w:val="20"/>
          <w:szCs w:val="20"/>
          <w:color w:val="auto"/>
        </w:rPr>
      </w:pPr>
      <w:r>
        <w:rPr>
          <w:rFonts w:ascii="Times New Roman" w:cs="Times New Roman" w:eastAsia="Times New Roman" w:hAnsi="Times New Roman"/>
          <w:sz w:val="14"/>
          <w:szCs w:val="14"/>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35" w:lineRule="exact"/>
        <w:rPr>
          <w:sz w:val="20"/>
          <w:szCs w:val="20"/>
          <w:color w:val="auto"/>
        </w:rPr>
      </w:pPr>
    </w:p>
    <w:p>
      <w:pPr>
        <w:ind w:left="1340" w:right="259" w:firstLine="344"/>
        <w:spacing w:after="0" w:line="284" w:lineRule="auto"/>
        <w:rPr>
          <w:sz w:val="20"/>
          <w:szCs w:val="20"/>
          <w:color w:val="auto"/>
        </w:rPr>
      </w:pPr>
      <w:r>
        <w:rPr>
          <w:rFonts w:ascii="Times New Roman" w:cs="Times New Roman" w:eastAsia="Times New Roman" w:hAnsi="Times New Roman"/>
          <w:sz w:val="14"/>
          <w:szCs w:val="14"/>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25" w:lineRule="exact"/>
        <w:rPr>
          <w:sz w:val="20"/>
          <w:szCs w:val="20"/>
          <w:color w:val="auto"/>
        </w:rPr>
      </w:pPr>
    </w:p>
    <w:p>
      <w:pPr>
        <w:ind w:left="1340" w:right="239" w:firstLine="344"/>
        <w:spacing w:after="0" w:line="258" w:lineRule="auto"/>
        <w:rPr>
          <w:sz w:val="20"/>
          <w:szCs w:val="20"/>
          <w:color w:val="auto"/>
        </w:rPr>
      </w:pPr>
      <w:r>
        <w:rPr>
          <w:rFonts w:ascii="Times New Roman" w:cs="Times New Roman" w:eastAsia="Times New Roman" w:hAnsi="Times New Roman"/>
          <w:sz w:val="14"/>
          <w:szCs w:val="14"/>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42" w:lineRule="exact"/>
        <w:rPr>
          <w:sz w:val="20"/>
          <w:szCs w:val="20"/>
          <w:color w:val="auto"/>
        </w:rPr>
      </w:pPr>
    </w:p>
    <w:p>
      <w:pPr>
        <w:ind w:left="1340" w:right="319" w:firstLine="344"/>
        <w:spacing w:after="0" w:line="268" w:lineRule="auto"/>
        <w:rPr>
          <w:sz w:val="20"/>
          <w:szCs w:val="20"/>
          <w:color w:val="auto"/>
        </w:rPr>
      </w:pPr>
      <w:r>
        <w:rPr>
          <w:rFonts w:ascii="Times New Roman" w:cs="Times New Roman" w:eastAsia="Times New Roman" w:hAnsi="Times New Roman"/>
          <w:sz w:val="14"/>
          <w:szCs w:val="14"/>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35" w:lineRule="exact"/>
        <w:rPr>
          <w:sz w:val="20"/>
          <w:szCs w:val="20"/>
          <w:color w:val="auto"/>
        </w:rPr>
      </w:pPr>
    </w:p>
    <w:p>
      <w:pPr>
        <w:ind w:left="1340" w:right="259" w:firstLine="344"/>
        <w:spacing w:after="0" w:line="268" w:lineRule="auto"/>
        <w:rPr>
          <w:sz w:val="20"/>
          <w:szCs w:val="20"/>
          <w:color w:val="auto"/>
        </w:rPr>
      </w:pPr>
      <w:r>
        <w:rPr>
          <w:rFonts w:ascii="Times New Roman" w:cs="Times New Roman" w:eastAsia="Times New Roman" w:hAnsi="Times New Roman"/>
          <w:sz w:val="14"/>
          <w:szCs w:val="14"/>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35" w:lineRule="exact"/>
        <w:rPr>
          <w:sz w:val="20"/>
          <w:szCs w:val="20"/>
          <w:color w:val="auto"/>
        </w:rPr>
      </w:pPr>
    </w:p>
    <w:p>
      <w:pPr>
        <w:ind w:left="1340" w:right="339" w:firstLine="344"/>
        <w:spacing w:after="0" w:line="268"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35" w:lineRule="exact"/>
        <w:rPr>
          <w:sz w:val="20"/>
          <w:szCs w:val="20"/>
          <w:color w:val="auto"/>
        </w:rPr>
      </w:pPr>
    </w:p>
    <w:p>
      <w:pPr>
        <w:ind w:left="1340" w:right="319" w:firstLine="344"/>
        <w:spacing w:after="0" w:line="259" w:lineRule="auto"/>
        <w:rPr>
          <w:sz w:val="20"/>
          <w:szCs w:val="20"/>
          <w:color w:val="auto"/>
        </w:rPr>
      </w:pPr>
      <w:r>
        <w:rPr>
          <w:rFonts w:ascii="Times New Roman" w:cs="Times New Roman" w:eastAsia="Times New Roman" w:hAnsi="Times New Roman"/>
          <w:sz w:val="14"/>
          <w:szCs w:val="14"/>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3" w:lineRule="exact"/>
        <w:rPr>
          <w:sz w:val="20"/>
          <w:szCs w:val="20"/>
          <w:color w:val="auto"/>
        </w:rPr>
      </w:pPr>
    </w:p>
    <w:p>
      <w:pPr>
        <w:ind w:left="1340" w:right="939" w:firstLine="344"/>
        <w:spacing w:after="0" w:line="284" w:lineRule="auto"/>
        <w:rPr>
          <w:sz w:val="20"/>
          <w:szCs w:val="20"/>
          <w:color w:val="auto"/>
        </w:rPr>
      </w:pPr>
      <w:r>
        <w:rPr>
          <w:rFonts w:ascii="Times New Roman" w:cs="Times New Roman" w:eastAsia="Times New Roman" w:hAnsi="Times New Roman"/>
          <w:sz w:val="14"/>
          <w:szCs w:val="14"/>
          <w:color w:val="auto"/>
        </w:rPr>
        <w:t>Our Common Stock and SPAC Warrants are currently listed on the Nasdaq Capital Market under the symbol “SCLX” and “SCLXW,” respectively.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OUR SECURITIES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4" w:lineRule="exact"/>
        <w:rPr>
          <w:sz w:val="20"/>
          <w:szCs w:val="20"/>
          <w:color w:val="auto"/>
        </w:rPr>
      </w:pPr>
    </w:p>
    <w:p>
      <w:pPr>
        <w:ind w:left="1340" w:right="279" w:firstLine="344"/>
        <w:spacing w:after="0" w:line="259" w:lineRule="auto"/>
        <w:rPr>
          <w:sz w:val="20"/>
          <w:szCs w:val="20"/>
          <w:color w:val="auto"/>
        </w:rPr>
      </w:pPr>
      <w:r>
        <w:rPr>
          <w:rFonts w:ascii="Times New Roman" w:cs="Times New Roman" w:eastAsia="Times New Roman" w:hAnsi="Times New Roman"/>
          <w:sz w:val="14"/>
          <w:szCs w:val="14"/>
          <w:color w:val="auto"/>
        </w:rPr>
        <w:t>The following description summarizes the most important terms of our securities. The following summary does not purport to be complete and is subject to the Certificate of Incorporation, the Bylaws, the Series A Certificate of Designations, and the provisions of applicable law. Copies of the Certificate of Incorporation and the Bylaws are attached as exhibits to the registration statement of which this prospectus forms a part. The stockholders are encouraged to read the applicable provisions of the DGCL, the Certificate of Incorporation and the Bylaws in their entirety for a complete description of the rights and preferences of our securities.</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94" w:lineRule="exact"/>
        <w:rPr>
          <w:sz w:val="20"/>
          <w:szCs w:val="20"/>
          <w:color w:val="auto"/>
        </w:rPr>
      </w:pPr>
    </w:p>
    <w:p>
      <w:pPr>
        <w:ind w:left="1340" w:right="239" w:firstLine="344"/>
        <w:spacing w:after="0" w:line="268" w:lineRule="auto"/>
        <w:rPr>
          <w:sz w:val="20"/>
          <w:szCs w:val="20"/>
          <w:color w:val="auto"/>
        </w:rPr>
      </w:pPr>
      <w:r>
        <w:rPr>
          <w:rFonts w:ascii="Times New Roman" w:cs="Times New Roman" w:eastAsia="Times New Roman" w:hAnsi="Times New Roman"/>
          <w:sz w:val="14"/>
          <w:szCs w:val="14"/>
          <w:color w:val="auto"/>
        </w:rPr>
        <w:t>The Certificate of Incorporation authorizes the issuance of (i) 740,000,000 shares of Common Stock and (ii) 45,000,000 shares of Preferred Stock, of which 29,057,097 shares have been designated as Series A Preferred Stock. As of April 30, 2026, there are 8,491,267 shares of Common Stock and 29,057,097 shares of Series A Preferred Stock issued and outstanding.</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Certificate of Incorporation provides the following with respect to the rights, powers, preferences and privileges of the Common Stock.</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94" w:lineRule="exact"/>
        <w:rPr>
          <w:sz w:val="20"/>
          <w:szCs w:val="20"/>
          <w:color w:val="auto"/>
        </w:rPr>
      </w:pPr>
    </w:p>
    <w:p>
      <w:pPr>
        <w:ind w:left="1340" w:right="219" w:firstLine="344"/>
        <w:spacing w:after="0" w:line="262" w:lineRule="auto"/>
        <w:rPr>
          <w:sz w:val="20"/>
          <w:szCs w:val="20"/>
          <w:color w:val="auto"/>
        </w:rPr>
      </w:pPr>
      <w:r>
        <w:rPr>
          <w:rFonts w:ascii="Times New Roman" w:cs="Times New Roman" w:eastAsia="Times New Roman" w:hAnsi="Times New Roman"/>
          <w:sz w:val="14"/>
          <w:szCs w:val="14"/>
          <w:color w:val="auto"/>
        </w:rPr>
        <w:t>The holders of Common Stock are entitled to receive ratably those dividends, if any, that may be declared from time to time by the Board upon the shares of our capital stock, which dividends may be paid either in cash, in property or in shares of our capital stock, subject to preferences that may be applicable to preferred stock, if any, then outstanding. Subject to applicable law and the Certificate of Incorporation, our Board will have full power to determine whether any dividends shall be declared and paid to stockholders.</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4" w:lineRule="exact"/>
        <w:rPr>
          <w:sz w:val="20"/>
          <w:szCs w:val="20"/>
          <w:color w:val="auto"/>
        </w:rPr>
      </w:pPr>
    </w:p>
    <w:p>
      <w:pPr>
        <w:ind w:left="1340" w:right="239" w:firstLine="344"/>
        <w:spacing w:after="0" w:line="256" w:lineRule="auto"/>
        <w:rPr>
          <w:sz w:val="20"/>
          <w:szCs w:val="20"/>
          <w:color w:val="auto"/>
        </w:rPr>
      </w:pPr>
      <w:r>
        <w:rPr>
          <w:rFonts w:ascii="Times New Roman" w:cs="Times New Roman" w:eastAsia="Times New Roman" w:hAnsi="Times New Roman"/>
          <w:sz w:val="14"/>
          <w:szCs w:val="14"/>
          <w:color w:val="auto"/>
        </w:rPr>
        <w:t>Each holder of our Common Stock will be entitled to one vote for each share of our Common Stock held of record by such holder on all matters on which stockholders generally are entitled to vote, except for any amendment to the Certificate of Incorporation that relates solely to the terms of one or more outstanding classes or series of our Preferred Stock if the holders of such affected classes or series are entitled, either separately or together with the holders of one or more other such classes or series, to vote thereon pursuant to the Certificate of Incorporation or the DGCL. Any action or matter presented to the stockholders at a duly called or convened meeting, at which a quorum is present, is decided by the affirmative vote of the holders of a majority of the votes cast affirmatively or negatively (excluding abstentions) at the meeting by the holders entitled to vote thereon, except that our directors will be elected by a plurality of the votes cast.</w:t>
      </w:r>
    </w:p>
    <w:p>
      <w:pPr>
        <w:spacing w:after="0" w:line="2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p>
    <w:p>
      <w:pPr>
        <w:spacing w:after="0" w:line="94" w:lineRule="exact"/>
        <w:rPr>
          <w:sz w:val="20"/>
          <w:szCs w:val="20"/>
          <w:color w:val="auto"/>
        </w:rPr>
      </w:pPr>
    </w:p>
    <w:p>
      <w:pPr>
        <w:ind w:left="1340" w:right="399" w:firstLine="344"/>
        <w:spacing w:after="0" w:line="284" w:lineRule="auto"/>
        <w:rPr>
          <w:sz w:val="20"/>
          <w:szCs w:val="20"/>
          <w:color w:val="auto"/>
        </w:rPr>
      </w:pPr>
      <w:r>
        <w:rPr>
          <w:rFonts w:ascii="Times New Roman" w:cs="Times New Roman" w:eastAsia="Times New Roman" w:hAnsi="Times New Roman"/>
          <w:sz w:val="14"/>
          <w:szCs w:val="14"/>
          <w:color w:val="auto"/>
        </w:rPr>
        <w:t>In the event of a liquidation, dissolution or winding up of the Company, the holders of our Common Stock will be entitled to share ratably in all assets remaining after payment of liabilities, subject to prior distribution rights of our Preferred Stock, if any, then outstanding.</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No Preemptive or Similar Rights</w:t>
      </w:r>
    </w:p>
    <w:p>
      <w:pPr>
        <w:spacing w:after="0" w:line="94" w:lineRule="exact"/>
        <w:rPr>
          <w:sz w:val="20"/>
          <w:szCs w:val="20"/>
          <w:color w:val="auto"/>
        </w:rPr>
      </w:pPr>
    </w:p>
    <w:p>
      <w:pPr>
        <w:ind w:left="1340" w:right="599" w:firstLine="344"/>
        <w:spacing w:after="0" w:line="284" w:lineRule="auto"/>
        <w:rPr>
          <w:sz w:val="20"/>
          <w:szCs w:val="20"/>
          <w:color w:val="auto"/>
        </w:rPr>
      </w:pPr>
      <w:r>
        <w:rPr>
          <w:rFonts w:ascii="Times New Roman" w:cs="Times New Roman" w:eastAsia="Times New Roman" w:hAnsi="Times New Roman"/>
          <w:sz w:val="14"/>
          <w:szCs w:val="14"/>
          <w:color w:val="auto"/>
        </w:rPr>
        <w:t>Our Common Stock has no preemptive or conversion rights or other subscription rights. There are no redemption or sinking fund provisions applicable to our Common Stock.</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outstanding shares of our Common Stock are fully paid and non-assessable.</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Our Preferred Stock</w:t>
      </w:r>
    </w:p>
    <w:p>
      <w:pPr>
        <w:spacing w:after="0" w:line="94" w:lineRule="exact"/>
        <w:rPr>
          <w:sz w:val="20"/>
          <w:szCs w:val="20"/>
          <w:color w:val="auto"/>
        </w:rPr>
      </w:pPr>
    </w:p>
    <w:p>
      <w:pPr>
        <w:ind w:left="1340" w:right="359" w:firstLine="344"/>
        <w:spacing w:after="0" w:line="256" w:lineRule="auto"/>
        <w:rPr>
          <w:sz w:val="20"/>
          <w:szCs w:val="20"/>
          <w:color w:val="auto"/>
        </w:rPr>
      </w:pPr>
      <w:r>
        <w:rPr>
          <w:rFonts w:ascii="Times New Roman" w:cs="Times New Roman" w:eastAsia="Times New Roman" w:hAnsi="Times New Roman"/>
          <w:sz w:val="14"/>
          <w:szCs w:val="14"/>
          <w:color w:val="auto"/>
        </w:rPr>
        <w:t>The Certificate of Incorporation authorizes our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The number of authorized shares of our Common Stock and our Preferred Stock may be increased or decreased (but not below the number of the shares thereof then outstanding) by the affirmative vote of the holders of a majority in voting power of our outstanding stock entitled to vote thereon.</w:t>
      </w:r>
    </w:p>
    <w:p>
      <w:pPr>
        <w:spacing w:after="0" w:line="147" w:lineRule="exact"/>
        <w:rPr>
          <w:sz w:val="20"/>
          <w:szCs w:val="20"/>
          <w:color w:val="auto"/>
        </w:rPr>
      </w:pPr>
    </w:p>
    <w:p>
      <w:pPr>
        <w:ind w:left="1340" w:right="399" w:firstLine="344"/>
        <w:spacing w:after="0" w:line="262" w:lineRule="auto"/>
        <w:rPr>
          <w:sz w:val="20"/>
          <w:szCs w:val="20"/>
          <w:color w:val="auto"/>
        </w:rPr>
      </w:pPr>
      <w:r>
        <w:rPr>
          <w:rFonts w:ascii="Times New Roman" w:cs="Times New Roman" w:eastAsia="Times New Roman" w:hAnsi="Times New Roman"/>
          <w:sz w:val="14"/>
          <w:szCs w:val="14"/>
          <w:color w:val="auto"/>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w:t>
      </w:r>
    </w:p>
    <w:p>
      <w:pPr>
        <w:spacing w:after="0" w:line="140" w:lineRule="exact"/>
        <w:rPr>
          <w:sz w:val="20"/>
          <w:szCs w:val="20"/>
          <w:color w:val="auto"/>
        </w:rPr>
      </w:pPr>
    </w:p>
    <w:p>
      <w:pPr>
        <w:ind w:left="1340" w:right="299" w:firstLine="344"/>
        <w:spacing w:after="0" w:line="284" w:lineRule="auto"/>
        <w:rPr>
          <w:sz w:val="20"/>
          <w:szCs w:val="20"/>
          <w:color w:val="auto"/>
        </w:rPr>
      </w:pPr>
      <w:r>
        <w:rPr>
          <w:rFonts w:ascii="Times New Roman" w:cs="Times New Roman" w:eastAsia="Times New Roman" w:hAnsi="Times New Roman"/>
          <w:sz w:val="14"/>
          <w:szCs w:val="14"/>
          <w:color w:val="auto"/>
        </w:rPr>
        <w:t>We filed the Series A Certificate of Designations, which designated 29,057,097 shares of our preferred stock as “Series A Preferred Stock”, all of which are issued and outstanding as of April 30, 2026.</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Number and Designation</w:t>
      </w:r>
    </w:p>
    <w:p>
      <w:pPr>
        <w:spacing w:after="0" w:line="94" w:lineRule="exact"/>
        <w:rPr>
          <w:sz w:val="20"/>
          <w:szCs w:val="20"/>
          <w:color w:val="auto"/>
        </w:rPr>
      </w:pPr>
    </w:p>
    <w:p>
      <w:pPr>
        <w:ind w:left="1340" w:right="219" w:firstLine="344"/>
        <w:spacing w:after="0" w:line="262" w:lineRule="auto"/>
        <w:rPr>
          <w:sz w:val="20"/>
          <w:szCs w:val="20"/>
          <w:color w:val="auto"/>
        </w:rPr>
      </w:pPr>
      <w:r>
        <w:rPr>
          <w:rFonts w:ascii="Times New Roman" w:cs="Times New Roman" w:eastAsia="Times New Roman" w:hAnsi="Times New Roman"/>
          <w:sz w:val="14"/>
          <w:szCs w:val="14"/>
          <w:color w:val="auto"/>
        </w:rPr>
        <w:t>As of April 30, 2026, 29,057,097 shares of the Series A Preferred Stock are held by SCLX JV, which shares were repurchased from Sorrento pursuant to the terms of the Sorrento SPA and represent all of the shares of Series A Preferred Stock that were previously owned by Sorrento. The shares of Series A Preferred Stock have all of the rights, preferences and privileges set forth in the Series A Certificate of Designations for such series of preferred stock as more fully described below.</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Rank</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Series A Preferred Stock shall rank (i) senior to all Junior Securities; and (ii) on parity with all Parity Securities.</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94" w:lineRule="exact"/>
        <w:rPr>
          <w:sz w:val="20"/>
          <w:szCs w:val="20"/>
          <w:color w:val="auto"/>
        </w:rPr>
      </w:pPr>
    </w:p>
    <w:p>
      <w:pPr>
        <w:ind w:left="1340" w:right="399" w:firstLine="344"/>
        <w:spacing w:after="0" w:line="259" w:lineRule="auto"/>
        <w:rPr>
          <w:sz w:val="20"/>
          <w:szCs w:val="20"/>
          <w:color w:val="auto"/>
        </w:rPr>
      </w:pPr>
      <w:r>
        <w:rPr>
          <w:rFonts w:ascii="Times New Roman" w:cs="Times New Roman" w:eastAsia="Times New Roman" w:hAnsi="Times New Roman"/>
          <w:sz w:val="14"/>
          <w:szCs w:val="14"/>
          <w:color w:val="auto"/>
        </w:rPr>
        <w:t>Holders of the Series A Preferred Stock shall not be entitled to dividends unless we pay dividends to holders of the Common Stock and shall be entitled to receive, when, as and if declared by our Board, such dividends (whether in cash or other property) as are paid to holders of our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Liquidation Preference</w:t>
      </w:r>
    </w:p>
    <w:p>
      <w:pPr>
        <w:spacing w:after="0" w:line="94" w:lineRule="exact"/>
        <w:rPr>
          <w:sz w:val="20"/>
          <w:szCs w:val="20"/>
          <w:color w:val="auto"/>
        </w:rPr>
      </w:pPr>
    </w:p>
    <w:p>
      <w:pPr>
        <w:ind w:left="1340" w:right="299" w:firstLine="344"/>
        <w:spacing w:after="0" w:line="284" w:lineRule="auto"/>
        <w:rPr>
          <w:sz w:val="20"/>
          <w:szCs w:val="20"/>
          <w:color w:val="auto"/>
        </w:rPr>
      </w:pPr>
      <w:r>
        <w:rPr>
          <w:rFonts w:ascii="Times New Roman" w:cs="Times New Roman" w:eastAsia="Times New Roman" w:hAnsi="Times New Roman"/>
          <w:sz w:val="14"/>
          <w:szCs w:val="14"/>
          <w:color w:val="auto"/>
        </w:rPr>
        <w:t>In the event of a change of control, liquidation, dissolution or winding-up of the Company, whether voluntary or involuntary, before any payment or distribution of our property or assets (whether capital or surplus)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99"/>
        <w:spacing w:after="0" w:line="259" w:lineRule="auto"/>
        <w:rPr>
          <w:sz w:val="20"/>
          <w:szCs w:val="20"/>
          <w:color w:val="auto"/>
        </w:rPr>
      </w:pPr>
      <w:r>
        <w:rPr>
          <w:rFonts w:ascii="Times New Roman" w:cs="Times New Roman" w:eastAsia="Times New Roman" w:hAnsi="Times New Roman"/>
          <w:sz w:val="14"/>
          <w:szCs w:val="14"/>
          <w:color w:val="auto"/>
        </w:rPr>
        <w:t>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the Company assuming that such share had been converted into shares of Common Stock in a Deemed Conversion (as defined below).</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Conversion and Redemption Rights</w:t>
      </w:r>
    </w:p>
    <w:p>
      <w:pPr>
        <w:spacing w:after="0" w:line="94"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The shares of Series A Preferred Stock will not be convertible into Common Stock or any of our other securities and will not be redeemable by the Company; provided, however, a number of the rights, preferences and privileges of the Series A Preferred Stock set forth in the Series A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Series A Certificate of Designation (a “Deemed Conversion”), whether in connection with a change of control or otherwise, shall be equal to the result obtained by dividing (i) stated value by (ii) $10.00 (subject to anti-dilution adjustments).</w:t>
      </w:r>
    </w:p>
    <w:p>
      <w:pPr>
        <w:spacing w:after="0" w:line="2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Voting and Other Preferred Rights</w:t>
      </w:r>
    </w:p>
    <w:p>
      <w:pPr>
        <w:spacing w:after="0" w:line="94" w:lineRule="exact"/>
        <w:rPr>
          <w:sz w:val="20"/>
          <w:szCs w:val="20"/>
          <w:color w:val="auto"/>
        </w:rPr>
      </w:pPr>
    </w:p>
    <w:p>
      <w:pPr>
        <w:ind w:left="1340" w:right="279" w:firstLine="344"/>
        <w:spacing w:after="0" w:line="259" w:lineRule="auto"/>
        <w:rPr>
          <w:sz w:val="20"/>
          <w:szCs w:val="20"/>
          <w:color w:val="auto"/>
        </w:rPr>
      </w:pPr>
      <w:r>
        <w:rPr>
          <w:rFonts w:ascii="Times New Roman" w:cs="Times New Roman" w:eastAsia="Times New Roman" w:hAnsi="Times New Roman"/>
          <w:sz w:val="14"/>
          <w:szCs w:val="14"/>
          <w:color w:val="auto"/>
        </w:rPr>
        <w:t>Except as otherwise required by law or as set forth in the Series A Certificate of Designations, the holders of shares of Series A Preferred Stock will be entitled to vote, together with the holders of shares of Common Stock and not separately as a class, on all matters upon which holders of shares of Common Stock have the right to vote. The holders of shares of Series A Preferred Stock will be entitled to one vote for each share of Common Stock that such share of Series A Preferred Stock would otherwise be convertible into pursuant to a Deemed Conversion on the record date for the determination of the stockholders entitled to vote.</w:t>
      </w:r>
    </w:p>
    <w:p>
      <w:pPr>
        <w:spacing w:after="0" w:line="143" w:lineRule="exact"/>
        <w:rPr>
          <w:sz w:val="20"/>
          <w:szCs w:val="20"/>
          <w:color w:val="auto"/>
        </w:rPr>
      </w:pPr>
    </w:p>
    <w:p>
      <w:pPr>
        <w:ind w:left="1340" w:right="239" w:firstLine="344"/>
        <w:spacing w:after="0" w:line="255" w:lineRule="auto"/>
        <w:rPr>
          <w:sz w:val="20"/>
          <w:szCs w:val="20"/>
          <w:color w:val="auto"/>
        </w:rPr>
      </w:pPr>
      <w:r>
        <w:rPr>
          <w:rFonts w:ascii="Times New Roman" w:cs="Times New Roman" w:eastAsia="Times New Roman" w:hAnsi="Times New Roman"/>
          <w:sz w:val="14"/>
          <w:szCs w:val="14"/>
          <w:color w:val="auto"/>
        </w:rPr>
        <w:t>As long as any shares of Series A Preferred Stock are outstanding, we shall not, without the affirmative vote of the holders of at least a majority of the outstanding shares of Series A Preferred Stock (a) change the Series A Preferred Stock (whether by merger, consolidation, reclassification or otherwise) into cash, securities or other property except in accordance with the terms of the Series A Certificate of Designations; (b) create, authorize or issue any Parity Security or other equity security the terms of which provide that it ranks senior to the Series A Preferred Stock with respect to dividend rights or rights upon liquidation, dissolution or winding-up of the Company, or increase the authorized amount of any such other class or series; or</w:t>
      </w:r>
    </w:p>
    <w:p>
      <w:pPr>
        <w:spacing w:after="0" w:line="3" w:lineRule="exact"/>
        <w:rPr>
          <w:sz w:val="20"/>
          <w:szCs w:val="20"/>
          <w:color w:val="auto"/>
        </w:rPr>
      </w:pPr>
    </w:p>
    <w:p>
      <w:pPr>
        <w:ind w:left="1340" w:right="659" w:firstLine="3"/>
        <w:spacing w:after="0" w:line="262" w:lineRule="auto"/>
        <w:tabs>
          <w:tab w:leader="none" w:pos="153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Certificate of Incorporation or the Series A Certificate of Designations in any manner that adversely affects the holders of Series A Preferred Stock.</w:t>
      </w:r>
    </w:p>
    <w:p>
      <w:pPr>
        <w:spacing w:after="0" w:line="2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4" w:lineRule="exact"/>
        <w:rPr>
          <w:sz w:val="20"/>
          <w:szCs w:val="20"/>
          <w:color w:val="auto"/>
        </w:rPr>
      </w:pPr>
    </w:p>
    <w:p>
      <w:pPr>
        <w:ind w:left="1340" w:right="399" w:firstLine="344"/>
        <w:spacing w:after="0" w:line="256" w:lineRule="auto"/>
        <w:rPr>
          <w:sz w:val="20"/>
          <w:szCs w:val="20"/>
          <w:color w:val="auto"/>
        </w:rPr>
      </w:pPr>
      <w:r>
        <w:rPr>
          <w:rFonts w:ascii="Times New Roman" w:cs="Times New Roman" w:eastAsia="Times New Roman" w:hAnsi="Times New Roman"/>
          <w:sz w:val="14"/>
          <w:szCs w:val="14"/>
          <w:color w:val="auto"/>
        </w:rPr>
        <w:t>Pursuant to the November 2022 Registration Rights Agreement, certain of our stockholders are able to demand that we register their registrable securities under certain circumstances and each also have piggyback registration rights for these securities. In addition, we are required to file and maintain an effective registration statement under the Securities Act covering the resale of all such registrable securities. We have filed a registration statement on Form S-1 (File No. 333-268603) which was initially declared effective by the SEC on December 27, 2022, in order to satisfy these obligations. The registration of these securities will enable the public sale of such securities, subject to certain contractual restrictions imposed by the November 2022 Registration Rights Agreement and the Merger Agreement. The presence of these additional shares of Common Stock trading in the public market may have an adverse effect on the market price of our securities.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Anti-Takeover Matters in our Governing Documents and Under Delaware Law</w:t>
      </w:r>
    </w:p>
    <w:p>
      <w:pPr>
        <w:spacing w:after="0" w:line="94"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Certain provisions of Delaware law, along with the Certificate of Incorporation and the Bylaws, all of which are summarized below,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our Board. However, these provisions could have the effect of delaying, discouraging or preventing attempts to acquire the Company, which could deprive our stockholders of opportunities to sell their shares of our Common Stock at prices higher than prevailing market prices.</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94"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The authorized but unissued shares of our Common Stock and our Preferred Stock are available for future issuance without stockholder approval, subject to any limitations imposed by the Nasdaq Listing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 by means of a proxy contest, tender offer, merger or otherwise.</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Impact of the Equity Repurchase Transaction on Provisions Related to a Sorrento Trigger Event</w:t>
      </w:r>
    </w:p>
    <w:p>
      <w:pPr>
        <w:spacing w:after="0" w:line="94" w:lineRule="exact"/>
        <w:rPr>
          <w:sz w:val="20"/>
          <w:szCs w:val="20"/>
          <w:color w:val="auto"/>
        </w:rPr>
      </w:pPr>
    </w:p>
    <w:p>
      <w:pPr>
        <w:ind w:left="1340" w:right="339" w:firstLine="344"/>
        <w:spacing w:after="0" w:line="256" w:lineRule="auto"/>
        <w:rPr>
          <w:sz w:val="20"/>
          <w:szCs w:val="20"/>
          <w:color w:val="auto"/>
        </w:rPr>
      </w:pPr>
      <w:r>
        <w:rPr>
          <w:rFonts w:ascii="Times New Roman" w:cs="Times New Roman" w:eastAsia="Times New Roman" w:hAnsi="Times New Roman"/>
          <w:sz w:val="14"/>
          <w:szCs w:val="14"/>
          <w:color w:val="auto"/>
        </w:rPr>
        <w:t>Certain provisions of our Certificate of Incorporation related to the number of authorized directors, filling vacancies on the Board, removal of directors, stockholder actions by written consent, calling of special meetings of our stockholders, our election to not be governed by Section 203 of the DGCL and amendments to our Certificate of Incorporation and our Bylaws lapse upon or are triggered at the time of the Sorrento Trigger Event. Upon the closing of the equity repurchase transaction pursuant to the Sorrento SPA in which we purchased from Sorrento (i) 1,716,245 shares of Common Stock, (ii) 29,057,097 shares of Series A Preferred Stock, and (iii) warrants exercisable for 128,304 shares of Common Stock, each with an exercise price of $402.50 per whole share (the “Equity Repurchase Transaction”), a Sorrento Trigger Event occurred. The disclosures below related to the foregoing provisions are based on the occurrence of such event.</w:t>
      </w:r>
    </w:p>
    <w:p>
      <w:pPr>
        <w:spacing w:after="0" w:line="2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94"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provides that our Board is divided into three classes, with the classes as nearly equal in number as practical and each class serving three-year staggered terms. The directors in each class serve for a three-year term, with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1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Certificate of Incorporation also provides that the total number of directors shall be determined from time to time exclusively by our Board.</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Vacancies</w:t>
      </w:r>
    </w:p>
    <w:p>
      <w:pPr>
        <w:spacing w:after="0" w:line="94" w:lineRule="exact"/>
        <w:rPr>
          <w:sz w:val="20"/>
          <w:szCs w:val="20"/>
          <w:color w:val="auto"/>
        </w:rPr>
      </w:pPr>
    </w:p>
    <w:p>
      <w:pPr>
        <w:jc w:val="both"/>
        <w:ind w:left="1340" w:right="339" w:firstLine="344"/>
        <w:spacing w:after="0" w:line="268" w:lineRule="auto"/>
        <w:rPr>
          <w:sz w:val="20"/>
          <w:szCs w:val="20"/>
          <w:color w:val="auto"/>
        </w:rPr>
      </w:pPr>
      <w:r>
        <w:rPr>
          <w:rFonts w:ascii="Times New Roman" w:cs="Times New Roman" w:eastAsia="Times New Roman" w:hAnsi="Times New Roman"/>
          <w:sz w:val="14"/>
          <w:szCs w:val="14"/>
          <w:color w:val="auto"/>
        </w:rPr>
        <w:t>The Certificate of Incorporation provides that, except as otherwise required by law or the Certificate of Incorporation, directors may be removed only for cause and only by the affirmative vote of the holders of at least 66 2/3% in voting power of all the then-outstanding shares of our capital stock entitled to vote thereon, voting together as a single class, in each case subject to the rights of holders of any series of Preferred Stock.</w:t>
      </w:r>
    </w:p>
    <w:p>
      <w:pPr>
        <w:spacing w:after="0" w:line="135" w:lineRule="exact"/>
        <w:rPr>
          <w:sz w:val="20"/>
          <w:szCs w:val="20"/>
          <w:color w:val="auto"/>
        </w:rPr>
      </w:pPr>
    </w:p>
    <w:p>
      <w:pPr>
        <w:ind w:left="1340" w:right="399" w:firstLine="344"/>
        <w:spacing w:after="0" w:line="284"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except as otherwise provided therein or by law, any vacancy resulting from the death, resignation, removal or disqualification of a director or other cause, or any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99"/>
        <w:spacing w:after="0" w:line="284" w:lineRule="auto"/>
        <w:rPr>
          <w:sz w:val="20"/>
          <w:szCs w:val="20"/>
          <w:color w:val="auto"/>
        </w:rPr>
      </w:pPr>
      <w:r>
        <w:rPr>
          <w:rFonts w:ascii="Times New Roman" w:cs="Times New Roman" w:eastAsia="Times New Roman" w:hAnsi="Times New Roman"/>
          <w:sz w:val="14"/>
          <w:szCs w:val="14"/>
          <w:color w:val="auto"/>
        </w:rPr>
        <w:t>newly created directorship in our Board, shall be filled only by a majority of the directors then in office, although less than a quorum, and shall not be filled by our stockholders, in each case subject to the rights of the holders of any series of Preferred Stock.</w:t>
      </w:r>
    </w:p>
    <w:p>
      <w:pPr>
        <w:spacing w:after="0" w:line="125" w:lineRule="exact"/>
        <w:rPr>
          <w:sz w:val="20"/>
          <w:szCs w:val="20"/>
          <w:color w:val="auto"/>
        </w:rPr>
      </w:pPr>
    </w:p>
    <w:p>
      <w:pPr>
        <w:ind w:left="1340" w:right="359" w:firstLine="344"/>
        <w:spacing w:after="0" w:line="284" w:lineRule="auto"/>
        <w:rPr>
          <w:sz w:val="20"/>
          <w:szCs w:val="20"/>
          <w:color w:val="auto"/>
        </w:rPr>
      </w:pPr>
      <w:r>
        <w:rPr>
          <w:rFonts w:ascii="Times New Roman" w:cs="Times New Roman" w:eastAsia="Times New Roman" w:hAnsi="Times New Roman"/>
          <w:sz w:val="14"/>
          <w:szCs w:val="14"/>
          <w:color w:val="auto"/>
        </w:rPr>
        <w:t>These provisions may have the effect of deferring, delaying, or discouraging hostile takeovers, changes in control of the Company or changes in our management.</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Certificate of Incorporation provides that we are governed by Section 203 of the DGCL.</w:t>
      </w:r>
    </w:p>
    <w:p>
      <w:pPr>
        <w:spacing w:after="0" w:line="176" w:lineRule="exact"/>
        <w:rPr>
          <w:sz w:val="20"/>
          <w:szCs w:val="20"/>
          <w:color w:val="auto"/>
        </w:rPr>
      </w:pPr>
    </w:p>
    <w:p>
      <w:pPr>
        <w:jc w:val="both"/>
        <w:ind w:left="1340" w:right="439" w:firstLine="344"/>
        <w:spacing w:after="0" w:line="258" w:lineRule="auto"/>
        <w:rPr>
          <w:sz w:val="20"/>
          <w:szCs w:val="20"/>
          <w:color w:val="auto"/>
        </w:rPr>
      </w:pPr>
      <w:r>
        <w:rPr>
          <w:rFonts w:ascii="Times New Roman" w:cs="Times New Roman" w:eastAsia="Times New Roman" w:hAnsi="Times New Roman"/>
          <w:sz w:val="14"/>
          <w:szCs w:val="14"/>
          <w:color w:val="auto"/>
        </w:rPr>
        <w:t>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w:t>
      </w:r>
    </w:p>
    <w:p>
      <w:pPr>
        <w:spacing w:after="0" w:line="1" w:lineRule="exact"/>
        <w:rPr>
          <w:sz w:val="20"/>
          <w:szCs w:val="20"/>
          <w:color w:val="auto"/>
        </w:rPr>
      </w:pPr>
    </w:p>
    <w:p>
      <w:pPr>
        <w:ind w:left="1340" w:right="359"/>
        <w:spacing w:after="0" w:line="254" w:lineRule="auto"/>
        <w:rPr>
          <w:sz w:val="20"/>
          <w:szCs w:val="20"/>
          <w:color w:val="auto"/>
        </w:rPr>
      </w:pPr>
      <w:r>
        <w:rPr>
          <w:rFonts w:ascii="Times New Roman" w:cs="Times New Roman" w:eastAsia="Times New Roman" w:hAnsi="Times New Roman"/>
          <w:sz w:val="14"/>
          <w:szCs w:val="14"/>
          <w:color w:val="auto"/>
        </w:rPr>
        <w:t>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spacing w:after="0" w:line="146" w:lineRule="exact"/>
        <w:rPr>
          <w:sz w:val="20"/>
          <w:szCs w:val="20"/>
          <w:color w:val="auto"/>
        </w:rPr>
      </w:pPr>
    </w:p>
    <w:p>
      <w:pPr>
        <w:jc w:val="both"/>
        <w:ind w:left="1340" w:right="339" w:firstLine="344"/>
        <w:spacing w:after="0" w:line="268" w:lineRule="auto"/>
        <w:rPr>
          <w:sz w:val="20"/>
          <w:szCs w:val="20"/>
          <w:color w:val="auto"/>
        </w:rPr>
      </w:pPr>
      <w:r>
        <w:rPr>
          <w:rFonts w:ascii="Times New Roman" w:cs="Times New Roman" w:eastAsia="Times New Roman" w:hAnsi="Times New Roman"/>
          <w:sz w:val="14"/>
          <w:szCs w:val="14"/>
          <w:color w:val="auto"/>
        </w:rPr>
        <w:t>The Certificate of Incorporation provides that the restrictions on business combination of Section 203 of the DGCL will not apply to Sorrento or its current or future Affiliates regardless of the percentage of ownership of the total voting power of all the then-outstanding shares of our capital stock entitled to vote generally in the election of directors beneficially owned by them.</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No Cumulative Voting</w:t>
      </w:r>
    </w:p>
    <w:p>
      <w:pPr>
        <w:spacing w:after="0" w:line="94" w:lineRule="exact"/>
        <w:rPr>
          <w:sz w:val="20"/>
          <w:szCs w:val="20"/>
          <w:color w:val="auto"/>
        </w:rPr>
      </w:pPr>
    </w:p>
    <w:p>
      <w:pPr>
        <w:ind w:left="1340" w:right="259" w:firstLine="344"/>
        <w:spacing w:after="0" w:line="268" w:lineRule="auto"/>
        <w:rPr>
          <w:sz w:val="20"/>
          <w:szCs w:val="20"/>
          <w:color w:val="auto"/>
        </w:rPr>
      </w:pPr>
      <w:r>
        <w:rPr>
          <w:rFonts w:ascii="Times New Roman" w:cs="Times New Roman" w:eastAsia="Times New Roman" w:hAnsi="Times New Roman"/>
          <w:sz w:val="14"/>
          <w:szCs w:val="14"/>
          <w:color w:val="auto"/>
        </w:rPr>
        <w:t>Under Delaware law, the right to vote cumulatively does not exist unless the certificate of incorporation specifically authorizes cumulative voting. The Certificate of Incorporation does not authorize cumulative voting. Therefore, stockholders holding a majority of the shares of our capital stock entitled to vote generally in the election of directors will be able to elect all of our directors.</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94" w:lineRule="exact"/>
        <w:rPr>
          <w:sz w:val="20"/>
          <w:szCs w:val="20"/>
          <w:color w:val="auto"/>
        </w:rPr>
      </w:pPr>
    </w:p>
    <w:p>
      <w:pPr>
        <w:jc w:val="both"/>
        <w:ind w:left="1340" w:right="319" w:firstLine="344"/>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provides that special meetings of stockholders may only be called by order of the Chairperson of our Board, our Board or the Chief Executive Officer, subject to the rights of the holders of any series of Preferred Stock with respect to such series of preferred stock. The Bylaws prohibit the conduct of any business at a special meeting other than as specified in the notice for such meeting. These provisions may have the effect of deferring, delaying, or discouraging hostile takeovers or changes in control or management.</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Director Nominations and Stockholder Proposals</w:t>
      </w:r>
    </w:p>
    <w:p>
      <w:pPr>
        <w:spacing w:after="0" w:line="94" w:lineRule="exact"/>
        <w:rPr>
          <w:sz w:val="20"/>
          <w:szCs w:val="20"/>
          <w:color w:val="auto"/>
        </w:rPr>
      </w:pPr>
    </w:p>
    <w:p>
      <w:pPr>
        <w:jc w:val="both"/>
        <w:ind w:left="1340" w:right="319" w:firstLine="344"/>
        <w:spacing w:after="0" w:line="268" w:lineRule="auto"/>
        <w:rPr>
          <w:sz w:val="20"/>
          <w:szCs w:val="20"/>
          <w:color w:val="auto"/>
        </w:rPr>
      </w:pPr>
      <w:r>
        <w:rPr>
          <w:rFonts w:ascii="Times New Roman" w:cs="Times New Roman" w:eastAsia="Times New Roman" w:hAnsi="Times New Roman"/>
          <w:sz w:val="14"/>
          <w:szCs w:val="14"/>
          <w:color w:val="auto"/>
        </w:rPr>
        <w:t>The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advance notice requirements and provide us with certain information.</w:t>
      </w:r>
    </w:p>
    <w:p>
      <w:pPr>
        <w:spacing w:after="0" w:line="135" w:lineRule="exact"/>
        <w:rPr>
          <w:sz w:val="20"/>
          <w:szCs w:val="20"/>
          <w:color w:val="auto"/>
        </w:rPr>
      </w:pPr>
    </w:p>
    <w:p>
      <w:pPr>
        <w:ind w:left="1340" w:right="499" w:firstLine="344"/>
        <w:spacing w:after="0" w:line="284" w:lineRule="auto"/>
        <w:rPr>
          <w:sz w:val="20"/>
          <w:szCs w:val="20"/>
          <w:color w:val="auto"/>
        </w:rPr>
      </w:pPr>
      <w:r>
        <w:rPr>
          <w:rFonts w:ascii="Times New Roman" w:cs="Times New Roman" w:eastAsia="Times New Roman" w:hAnsi="Times New Roman"/>
          <w:sz w:val="14"/>
          <w:szCs w:val="14"/>
          <w:color w:val="auto"/>
        </w:rPr>
        <w:t>Generally, to be timely, a stockholder’s notice must be delivered to our secretary at our principal executive offices not earlier than the close of business on the 120th day nor later than the close of business on the 90th day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prior to the first anniversary of the preceding year’s annual meeting; provided, however, that, if the date of the annual meeting is advanced more</w:t>
      </w:r>
    </w:p>
    <w:p>
      <w:pPr>
        <w:spacing w:after="0" w:line="22" w:lineRule="exact"/>
        <w:rPr>
          <w:sz w:val="20"/>
          <w:szCs w:val="20"/>
          <w:color w:val="auto"/>
        </w:rPr>
      </w:pPr>
    </w:p>
    <w:p>
      <w:pPr>
        <w:ind w:left="1340" w:right="239"/>
        <w:spacing w:after="0" w:line="252" w:lineRule="auto"/>
        <w:rPr>
          <w:sz w:val="20"/>
          <w:szCs w:val="20"/>
          <w:color w:val="auto"/>
        </w:rPr>
      </w:pPr>
      <w:r>
        <w:rPr>
          <w:rFonts w:ascii="Times New Roman" w:cs="Times New Roman" w:eastAsia="Times New Roman" w:hAnsi="Times New Roman"/>
          <w:sz w:val="14"/>
          <w:szCs w:val="14"/>
          <w:color w:val="auto"/>
        </w:rPr>
        <w:t>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and the 10th day following the day on which public announcement of the date of such meeting is first made by us. The Bylaws also specify requirements as to the form and content of a stockholder’s notice. The Bylaws allow any previously scheduled meeting of our stockholders to be postponed, adjourned or canceled by resolution of our Board. In addition, the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spacing w:after="0" w:line="2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94" w:lineRule="exact"/>
        <w:rPr>
          <w:sz w:val="20"/>
          <w:szCs w:val="20"/>
          <w:color w:val="auto"/>
        </w:rPr>
      </w:pPr>
    </w:p>
    <w:p>
      <w:pPr>
        <w:jc w:val="both"/>
        <w:ind w:left="1340" w:right="679" w:firstLine="344"/>
        <w:spacing w:after="0" w:line="268" w:lineRule="auto"/>
        <w:rPr>
          <w:sz w:val="20"/>
          <w:szCs w:val="20"/>
          <w:color w:val="auto"/>
        </w:rPr>
      </w:pPr>
      <w:r>
        <w:rPr>
          <w:rFonts w:ascii="Times New Roman" w:cs="Times New Roman" w:eastAsia="Times New Roman" w:hAnsi="Times New Roman"/>
          <w:sz w:val="14"/>
          <w:szCs w:val="14"/>
          <w:color w:val="auto"/>
        </w:rPr>
        <w:t>Pursuant to Section 228 of the DGCL and the terms of the Certificate of Incorporation, any action required or permitted to be taken by our stockholders must be effected by a duly called annual or special meeting of such stockholders, subject to the rights of the holders of any series of Preferred Stock with respect to such series of preferred stock.</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or Bylaws</w:t>
      </w:r>
    </w:p>
    <w:p>
      <w:pPr>
        <w:spacing w:after="0" w:line="94" w:lineRule="exact"/>
        <w:rPr>
          <w:sz w:val="20"/>
          <w:szCs w:val="20"/>
          <w:color w:val="auto"/>
        </w:rPr>
      </w:pPr>
    </w:p>
    <w:p>
      <w:pPr>
        <w:ind w:left="1340" w:right="359" w:firstLine="344"/>
        <w:spacing w:after="0" w:line="268"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35" w:lineRule="exact"/>
        <w:rPr>
          <w:sz w:val="20"/>
          <w:szCs w:val="20"/>
          <w:color w:val="auto"/>
        </w:rPr>
      </w:pPr>
    </w:p>
    <w:p>
      <w:pPr>
        <w:ind w:left="1340" w:right="239" w:firstLine="344"/>
        <w:spacing w:after="0" w:line="258" w:lineRule="auto"/>
        <w:rPr>
          <w:sz w:val="20"/>
          <w:szCs w:val="20"/>
          <w:color w:val="auto"/>
        </w:rPr>
      </w:pPr>
      <w:r>
        <w:rPr>
          <w:rFonts w:ascii="Times New Roman" w:cs="Times New Roman" w:eastAsia="Times New Roman" w:hAnsi="Times New Roman"/>
          <w:sz w:val="14"/>
          <w:szCs w:val="14"/>
          <w:color w:val="auto"/>
        </w:rPr>
        <w:t>The Certificate of Incorporation provides that the affirmative vote of the holders of at least 66 2/3% of the voting power of the then-outstanding shares of our capital stock entitled to vote thereon, voting together as a single class, will be required to alter, amend or repeal the following provisions of the Certificate of Incorporation: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w:t>
      </w:r>
    </w:p>
    <w:p>
      <w:pPr>
        <w:spacing w:after="0" w:line="142" w:lineRule="exact"/>
        <w:rPr>
          <w:sz w:val="20"/>
          <w:szCs w:val="20"/>
          <w:color w:val="auto"/>
        </w:rPr>
      </w:pPr>
    </w:p>
    <w:p>
      <w:pPr>
        <w:jc w:val="both"/>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The Certificate of Incorporation and the Bylaws provide that our Board is authorized to make, alter and repeal the Bylaws, without the consent or vote of the stockholders, by an approval of a majority of the total authorized number of directors. The affirmative vote of the holders of at least 66 2/3% of the voting power of the then-outstanding shares of our capital stock entitled to vote thereon, voting together as a single class, will be required to alter, amend or repeal the Bylaws.</w:t>
      </w:r>
    </w:p>
    <w:p>
      <w:pPr>
        <w:spacing w:after="0" w:line="140" w:lineRule="exact"/>
        <w:rPr>
          <w:sz w:val="20"/>
          <w:szCs w:val="20"/>
          <w:color w:val="auto"/>
        </w:rPr>
      </w:pPr>
    </w:p>
    <w:p>
      <w:pPr>
        <w:ind w:left="1340" w:right="279" w:firstLine="344"/>
        <w:spacing w:after="0" w:line="259" w:lineRule="auto"/>
        <w:rPr>
          <w:sz w:val="20"/>
          <w:szCs w:val="20"/>
          <w:color w:val="auto"/>
        </w:rPr>
      </w:pPr>
      <w:r>
        <w:rPr>
          <w:rFonts w:ascii="Times New Roman" w:cs="Times New Roman" w:eastAsia="Times New Roman" w:hAnsi="Times New Roman"/>
          <w:sz w:val="14"/>
          <w:szCs w:val="14"/>
          <w:color w:val="auto"/>
        </w:rPr>
        <w:t>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our management. It is possible that these provisions could make it more difficult to accomplish transactions that stockholders may otherwise deem to be in their best interests.</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w:t>
      </w:r>
    </w:p>
    <w:p>
      <w:pPr>
        <w:spacing w:after="0" w:line="94" w:lineRule="exact"/>
        <w:rPr>
          <w:sz w:val="20"/>
          <w:szCs w:val="20"/>
          <w:color w:val="auto"/>
        </w:rPr>
      </w:pPr>
    </w:p>
    <w:p>
      <w:pPr>
        <w:ind w:left="1340" w:right="339" w:firstLine="344"/>
        <w:spacing w:after="0" w:line="284" w:lineRule="auto"/>
        <w:rPr>
          <w:sz w:val="20"/>
          <w:szCs w:val="20"/>
          <w:color w:val="auto"/>
        </w:rPr>
      </w:pPr>
      <w:r>
        <w:rPr>
          <w:rFonts w:ascii="Times New Roman" w:cs="Times New Roman" w:eastAsia="Times New Roman" w:hAnsi="Times New Roman"/>
          <w:sz w:val="14"/>
          <w:szCs w:val="14"/>
          <w:color w:val="auto"/>
        </w:rPr>
        <w:t>The Certificate of Incorporation provides that, unless we consent in writing to the selection of an alternative forum, the Court of Chancery of the State of Delaware (or, if and only if the Court of Chancery of the State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99"/>
        <w:spacing w:after="0" w:line="255" w:lineRule="auto"/>
        <w:rPr>
          <w:sz w:val="20"/>
          <w:szCs w:val="20"/>
          <w:color w:val="auto"/>
        </w:rPr>
      </w:pPr>
      <w:r>
        <w:rPr>
          <w:rFonts w:ascii="Times New Roman" w:cs="Times New Roman" w:eastAsia="Times New Roman" w:hAnsi="Times New Roman"/>
          <w:sz w:val="14"/>
          <w:szCs w:val="14"/>
          <w:color w:val="auto"/>
        </w:rPr>
        <w:t>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the Company,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w:t>
      </w:r>
    </w:p>
    <w:p>
      <w:pPr>
        <w:spacing w:after="0" w:line="145" w:lineRule="exact"/>
        <w:rPr>
          <w:sz w:val="20"/>
          <w:szCs w:val="20"/>
          <w:color w:val="auto"/>
        </w:rPr>
      </w:pPr>
    </w:p>
    <w:p>
      <w:pPr>
        <w:ind w:left="1340" w:right="239" w:firstLine="344"/>
        <w:spacing w:after="0" w:line="268" w:lineRule="auto"/>
        <w:rPr>
          <w:sz w:val="20"/>
          <w:szCs w:val="20"/>
          <w:color w:val="auto"/>
        </w:rPr>
      </w:pPr>
      <w:r>
        <w:rPr>
          <w:rFonts w:ascii="Times New Roman" w:cs="Times New Roman" w:eastAsia="Times New Roman" w:hAnsi="Times New Roman"/>
          <w:sz w:val="14"/>
          <w:szCs w:val="14"/>
          <w:color w:val="auto"/>
        </w:rPr>
        <w:t>In addition, the Certificate of Incorporation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w:t>
      </w:r>
    </w:p>
    <w:p>
      <w:pPr>
        <w:spacing w:after="0" w:line="135"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the Certificate of Incorporation to be inapplicable or unenforceable in such action. We may incur additional costs associated with resolving such action in other jurisdictions, which could harm our business, operating results and financial condition. Any person or entity purchasing or otherwise acquiring any interest in shares of our capital stock shall be deemed to have notice of and consented to the forum provisions in the Certificate of Incorporation.</w:t>
      </w: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Limitation of Liability and Indemnification of Directors and Officers</w:t>
      </w:r>
    </w:p>
    <w:p>
      <w:pPr>
        <w:spacing w:after="0" w:line="94" w:lineRule="exact"/>
        <w:rPr>
          <w:sz w:val="20"/>
          <w:szCs w:val="20"/>
          <w:color w:val="auto"/>
        </w:rPr>
      </w:pPr>
    </w:p>
    <w:p>
      <w:pPr>
        <w:ind w:left="1340" w:right="319" w:firstLine="344"/>
        <w:spacing w:after="0" w:line="268" w:lineRule="auto"/>
        <w:rPr>
          <w:sz w:val="20"/>
          <w:szCs w:val="20"/>
          <w:color w:val="auto"/>
        </w:rPr>
      </w:pPr>
      <w:r>
        <w:rPr>
          <w:rFonts w:ascii="Times New Roman" w:cs="Times New Roman" w:eastAsia="Times New Roman" w:hAnsi="Times New Roman"/>
          <w:sz w:val="14"/>
          <w:szCs w:val="14"/>
          <w:color w:val="auto"/>
        </w:rPr>
        <w:t>The Certificate of Incorporation and the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62" w:lineRule="exact"/>
        <w:rPr>
          <w:sz w:val="20"/>
          <w:szCs w:val="20"/>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us or our stockholders;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payments of dividends or unlawful stock repurchases or redemptions in violation of the DGCL;</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 or</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officer, any action by or in the right of the corporation.</w:t>
      </w:r>
    </w:p>
    <w:p>
      <w:pPr>
        <w:spacing w:after="0" w:line="176" w:lineRule="exact"/>
        <w:rPr>
          <w:sz w:val="20"/>
          <w:szCs w:val="20"/>
          <w:color w:val="auto"/>
        </w:rPr>
      </w:pPr>
    </w:p>
    <w:p>
      <w:pPr>
        <w:ind w:left="1340" w:right="359" w:firstLine="344"/>
        <w:spacing w:after="0" w:line="284" w:lineRule="auto"/>
        <w:rPr>
          <w:sz w:val="20"/>
          <w:szCs w:val="20"/>
          <w:color w:val="auto"/>
        </w:rPr>
      </w:pPr>
      <w:r>
        <w:rPr>
          <w:rFonts w:ascii="Times New Roman" w:cs="Times New Roman" w:eastAsia="Times New Roman" w:hAnsi="Times New Roman"/>
          <w:sz w:val="14"/>
          <w:szCs w:val="14"/>
          <w:color w:val="auto"/>
        </w:rPr>
        <w:t>The Certificate of Incorporation also provides that if the DGCL is amended to permit further elimination or limitation of the personal liability of directors, then the liability of our directors will be eliminated or limited to the fullest extent permitted by the DGCL, as so amended.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19" w:firstLine="344"/>
        <w:spacing w:after="0" w:line="254" w:lineRule="auto"/>
        <w:rPr>
          <w:sz w:val="20"/>
          <w:szCs w:val="20"/>
          <w:color w:val="auto"/>
        </w:rPr>
      </w:pPr>
      <w:r>
        <w:rPr>
          <w:rFonts w:ascii="Times New Roman" w:cs="Times New Roman" w:eastAsia="Times New Roman" w:hAnsi="Times New Roman"/>
          <w:sz w:val="14"/>
          <w:szCs w:val="14"/>
          <w:color w:val="auto"/>
        </w:rPr>
        <w:t>The Bylaws provide that we shall indemnify any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a director, officer, employee or agent of the Company or is or was a director, officer, employee or agent of the Company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w:t>
      </w:r>
    </w:p>
    <w:p>
      <w:pPr>
        <w:spacing w:after="0" w:line="315" w:lineRule="exact"/>
        <w:rPr>
          <w:sz w:val="20"/>
          <w:szCs w:val="20"/>
          <w:color w:val="auto"/>
        </w:rPr>
      </w:pPr>
    </w:p>
    <w:p>
      <w:pPr>
        <w:ind w:left="1340" w:right="279" w:firstLine="344"/>
        <w:spacing w:after="0" w:line="259"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executive officers and certain other employees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Our Board believes that these agreements are necessary to attract and retain qualified individuals to serve as directors and executive officers.</w:t>
      </w:r>
    </w:p>
    <w:p>
      <w:pPr>
        <w:spacing w:after="0" w:line="143" w:lineRule="exact"/>
        <w:rPr>
          <w:sz w:val="20"/>
          <w:szCs w:val="20"/>
          <w:color w:val="auto"/>
        </w:rPr>
      </w:pPr>
    </w:p>
    <w:p>
      <w:pPr>
        <w:ind w:left="1340" w:right="299" w:firstLine="344"/>
        <w:spacing w:after="0" w:line="268" w:lineRule="auto"/>
        <w:rPr>
          <w:sz w:val="20"/>
          <w:szCs w:val="20"/>
          <w:color w:val="auto"/>
        </w:rPr>
      </w:pPr>
      <w:r>
        <w:rPr>
          <w:rFonts w:ascii="Times New Roman" w:cs="Times New Roman" w:eastAsia="Times New Roman" w:hAnsi="Times New Roman"/>
          <w:sz w:val="14"/>
          <w:szCs w:val="14"/>
          <w:color w:val="auto"/>
        </w:rPr>
        <w:t>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forms a part.</w:t>
      </w:r>
    </w:p>
    <w:p>
      <w:pPr>
        <w:spacing w:after="0" w:line="135" w:lineRule="exact"/>
        <w:rPr>
          <w:sz w:val="20"/>
          <w:szCs w:val="20"/>
          <w:color w:val="auto"/>
        </w:rPr>
      </w:pPr>
    </w:p>
    <w:p>
      <w:pPr>
        <w:ind w:left="1340" w:right="379" w:firstLine="344"/>
        <w:spacing w:after="0" w:line="284" w:lineRule="auto"/>
        <w:rPr>
          <w:sz w:val="20"/>
          <w:szCs w:val="20"/>
          <w:color w:val="auto"/>
        </w:rPr>
      </w:pPr>
      <w:r>
        <w:rPr>
          <w:rFonts w:ascii="Times New Roman" w:cs="Times New Roman" w:eastAsia="Times New Roman" w:hAnsi="Times New Roman"/>
          <w:sz w:val="14"/>
          <w:szCs w:val="14"/>
          <w:color w:val="auto"/>
        </w:rPr>
        <w:t>Certain of our non-employee directors may, through their relationships with their employers, be insured or indemnified against certain liabilities incurred in their capacity as members of our Board.</w:t>
      </w:r>
    </w:p>
    <w:p>
      <w:pPr>
        <w:spacing w:after="0" w:line="125" w:lineRule="exact"/>
        <w:rPr>
          <w:sz w:val="20"/>
          <w:szCs w:val="20"/>
          <w:color w:val="auto"/>
        </w:rPr>
      </w:pPr>
    </w:p>
    <w:p>
      <w:pPr>
        <w:ind w:left="1340" w:right="279" w:firstLine="344"/>
        <w:spacing w:after="0" w:line="258"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4" w:lineRule="exact"/>
        <w:rPr>
          <w:sz w:val="20"/>
          <w:szCs w:val="20"/>
          <w:color w:val="auto"/>
        </w:rPr>
      </w:pPr>
    </w:p>
    <w:p>
      <w:pPr>
        <w:ind w:left="1340" w:right="239" w:firstLine="344"/>
        <w:spacing w:after="0" w:line="258" w:lineRule="auto"/>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 or stockholders. The Certificate of Incorporation provides that, to the fullest extent permitted by law, no Identified Person (as defined therein)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is engaged in the same or similar business activities as we or our affiliates are or competes with us or our affiliates. In addition, to the fullest extent permitted by law, no Identified Person will have any obligation to offer to us or our subsidiaries or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79"/>
        <w:spacing w:after="0" w:line="259" w:lineRule="auto"/>
        <w:rPr>
          <w:sz w:val="20"/>
          <w:szCs w:val="20"/>
          <w:color w:val="auto"/>
        </w:rPr>
      </w:pPr>
      <w:r>
        <w:rPr>
          <w:rFonts w:ascii="Times New Roman" w:cs="Times New Roman" w:eastAsia="Times New Roman" w:hAnsi="Times New Roman"/>
          <w:sz w:val="14"/>
          <w:szCs w:val="14"/>
          <w:color w:val="auto"/>
        </w:rPr>
        <w:t>affiliates the right to participate in any corporate opportunity in the same or similar business activities or lines of business in which we or our affiliates are engaged or that are deemed to be competing with us or any of our affiliates. Subject to the preceding sentences and to the fullest extent permitted by applicable law, neither we nor any of our subsidiaries shall have any rights in any business interests, activities or ventures of any Identified Person, and we waive and renounce any interest or expectancy therein, except with respect to opportunities offered solely and expressly to our officers in their capacity as such.</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Rights of Appraisal and Payment</w:t>
      </w:r>
    </w:p>
    <w:p>
      <w:pPr>
        <w:spacing w:after="0" w:line="94" w:lineRule="exact"/>
        <w:rPr>
          <w:sz w:val="20"/>
          <w:szCs w:val="20"/>
          <w:color w:val="auto"/>
        </w:rPr>
      </w:pPr>
    </w:p>
    <w:p>
      <w:pPr>
        <w:ind w:left="1340" w:right="519" w:firstLine="344"/>
        <w:spacing w:after="0" w:line="262" w:lineRule="auto"/>
        <w:rPr>
          <w:sz w:val="20"/>
          <w:szCs w:val="20"/>
          <w:color w:val="auto"/>
        </w:rPr>
      </w:pPr>
      <w:r>
        <w:rPr>
          <w:rFonts w:ascii="Times New Roman" w:cs="Times New Roman" w:eastAsia="Times New Roman" w:hAnsi="Times New Roman"/>
          <w:sz w:val="14"/>
          <w:szCs w:val="14"/>
          <w:color w:val="auto"/>
        </w:rPr>
        <w:t>Under the DGCL, with certain exceptions, our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Stockholders’ Derivative Actions</w:t>
      </w:r>
    </w:p>
    <w:p>
      <w:pPr>
        <w:spacing w:after="0" w:line="94" w:lineRule="exact"/>
        <w:rPr>
          <w:sz w:val="20"/>
          <w:szCs w:val="20"/>
          <w:color w:val="auto"/>
        </w:rPr>
      </w:pPr>
    </w:p>
    <w:p>
      <w:pPr>
        <w:ind w:left="1340" w:right="579" w:firstLine="344"/>
        <w:spacing w:after="0" w:line="268" w:lineRule="auto"/>
        <w:rPr>
          <w:sz w:val="20"/>
          <w:szCs w:val="20"/>
          <w:color w:val="auto"/>
        </w:rPr>
      </w:pPr>
      <w:r>
        <w:rPr>
          <w:rFonts w:ascii="Times New Roman" w:cs="Times New Roman" w:eastAsia="Times New Roman" w:hAnsi="Times New Roman"/>
          <w:sz w:val="14"/>
          <w:szCs w:val="14"/>
          <w:color w:val="auto"/>
        </w:rPr>
        <w:t>Under the DGCL, any of our stockholders may bring an action in the Company’s name to procure a judgment in its favor, also known as a derivative action, provided that the stockholder bringing the action is a holder of our capital stock at the time of the transaction to which the action relates.</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SPAC Warrants</w:t>
      </w:r>
    </w:p>
    <w:p>
      <w:pPr>
        <w:spacing w:after="0" w:line="94" w:lineRule="exact"/>
        <w:rPr>
          <w:sz w:val="20"/>
          <w:szCs w:val="20"/>
          <w:color w:val="auto"/>
        </w:rPr>
      </w:pPr>
    </w:p>
    <w:p>
      <w:pPr>
        <w:ind w:left="1340" w:right="259" w:firstLine="344"/>
        <w:spacing w:after="0" w:line="284" w:lineRule="auto"/>
        <w:rPr>
          <w:sz w:val="20"/>
          <w:szCs w:val="20"/>
          <w:color w:val="auto"/>
        </w:rPr>
      </w:pPr>
      <w:r>
        <w:rPr>
          <w:rFonts w:ascii="Times New Roman" w:cs="Times New Roman" w:eastAsia="Times New Roman" w:hAnsi="Times New Roman"/>
          <w:sz w:val="14"/>
          <w:szCs w:val="14"/>
          <w:color w:val="auto"/>
        </w:rPr>
        <w:t>As of April 30, 2026, there are 6,958,204 SPAC Warrants outstanding, which are currently exercisable for an aggregate of up to 198,807 shares of Common Stock. The “SPAC Warrants” include (i) 5,555,249 Public Warrants and (ii) 1,402,955 Private Warrants.</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94" w:lineRule="exact"/>
        <w:rPr>
          <w:sz w:val="20"/>
          <w:szCs w:val="20"/>
          <w:color w:val="auto"/>
        </w:rPr>
      </w:pPr>
    </w:p>
    <w:p>
      <w:pPr>
        <w:ind w:left="1340" w:right="239" w:firstLine="344"/>
        <w:spacing w:after="0" w:line="232" w:lineRule="auto"/>
        <w:rPr>
          <w:sz w:val="20"/>
          <w:szCs w:val="20"/>
          <w:color w:val="auto"/>
        </w:rPr>
      </w:pPr>
      <w:r>
        <w:rPr>
          <w:rFonts w:ascii="Times New Roman" w:cs="Times New Roman" w:eastAsia="Times New Roman" w:hAnsi="Times New Roman"/>
          <w:sz w:val="14"/>
          <w:szCs w:val="14"/>
          <w:color w:val="auto"/>
        </w:rPr>
        <w:t>Each Public Warrant entitles the registered holder thereof to purchase 1/35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of a share of our Common Stock at a price of $402.50 per whole share, subject to adjustment as described in the Warrant Agreement. Pursuant to the Warrant Agreement, a Public Warrant holder may exercise its Public Warrants only for a whole number of shares of Common Stock. We may, in our sole discretion, lower the warrant exercise price at any time prior to the expiration date for a period of not less than 20 business days and any such reduction will be applied consistently to all of the warrants, provided that we will provide at least 20 days’ prior written notice to registered holders of the warrants.</w:t>
      </w:r>
    </w:p>
    <w:p>
      <w:pPr>
        <w:spacing w:after="0" w:line="156" w:lineRule="exact"/>
        <w:rPr>
          <w:sz w:val="20"/>
          <w:szCs w:val="20"/>
          <w:color w:val="auto"/>
        </w:rPr>
      </w:pPr>
    </w:p>
    <w:p>
      <w:pPr>
        <w:ind w:left="1340" w:right="259" w:firstLine="344"/>
        <w:spacing w:after="0" w:line="256" w:lineRule="auto"/>
        <w:rPr>
          <w:sz w:val="20"/>
          <w:szCs w:val="20"/>
          <w:color w:val="auto"/>
        </w:rPr>
      </w:pPr>
      <w:r>
        <w:rPr>
          <w:rFonts w:ascii="Times New Roman" w:cs="Times New Roman" w:eastAsia="Times New Roman" w:hAnsi="Times New Roman"/>
          <w:sz w:val="14"/>
          <w:szCs w:val="14"/>
          <w:color w:val="auto"/>
        </w:rPr>
        <w:t>However, no Public Warrants will be exercisable for cash unless we have an effective and current registration statement covering the issuance of the Common Stock issuable upon exercise of the warrants and a current prospectus relating to such Common Stock. Notwithstanding the foregoing, if a registration statement covering the issuance of the Common Stock issuable upon exercise of the Public Warrants is not effective within 90 days from the consummation of the Scilex Business Combination, warrantholders may, from the 91st day after the consummation of the Scilex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w:t>
      </w:r>
    </w:p>
    <w:p>
      <w:pPr>
        <w:spacing w:after="0" w:line="147" w:lineRule="exact"/>
        <w:rPr>
          <w:sz w:val="20"/>
          <w:szCs w:val="20"/>
          <w:color w:val="auto"/>
        </w:rPr>
      </w:pPr>
    </w:p>
    <w:p>
      <w:pPr>
        <w:ind w:left="1340" w:right="239" w:firstLine="344"/>
        <w:spacing w:after="0" w:line="284" w:lineRule="auto"/>
        <w:rPr>
          <w:sz w:val="20"/>
          <w:szCs w:val="20"/>
          <w:color w:val="auto"/>
        </w:rPr>
      </w:pPr>
      <w:r>
        <w:rPr>
          <w:rFonts w:ascii="Times New Roman" w:cs="Times New Roman" w:eastAsia="Times New Roman" w:hAnsi="Times New Roman"/>
          <w:sz w:val="14"/>
          <w:szCs w:val="14"/>
          <w:color w:val="auto"/>
        </w:rPr>
        <w:t>The warrants will expire five years from the consummation of the Scilex Business Combination (i.e., November 10, 2027) at 5:00 p.m., New York City time or earlier upon redemption or liquidation.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We may call the warrants for redemption (excluding the Private Warrants), in whole and not in part, at a price of $0.01 per warrant:</w:t>
      </w:r>
    </w:p>
    <w:p>
      <w:pPr>
        <w:spacing w:after="0" w:line="103" w:lineRule="exact"/>
        <w:rPr>
          <w:sz w:val="20"/>
          <w:szCs w:val="20"/>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while the warrants are exercisable,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warrantholder,</w:t>
      </w:r>
    </w:p>
    <w:p>
      <w:pPr>
        <w:spacing w:after="0" w:line="102" w:lineRule="exact"/>
        <w:rPr>
          <w:rFonts w:ascii="Times New Roman" w:cs="Times New Roman" w:eastAsia="Times New Roman" w:hAnsi="Times New Roman"/>
          <w:sz w:val="14"/>
          <w:szCs w:val="14"/>
          <w:color w:val="auto"/>
        </w:rPr>
      </w:pPr>
    </w:p>
    <w:p>
      <w:pPr>
        <w:ind w:left="2100" w:right="459" w:hanging="335"/>
        <w:spacing w:after="0" w:line="268" w:lineRule="auto"/>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Common Stock equals or exceeds $630.00 per share (as adjusted for share sub-divisions, share dividends, reorganizations and recapitalizations), for any 20 trading days within a 30 trading day period commencing after the warrants become exercisable and ending on the third trading day prior to the date on which notice of redemption is given, and</w:t>
      </w:r>
    </w:p>
    <w:p>
      <w:pPr>
        <w:spacing w:after="0" w:line="61" w:lineRule="exact"/>
        <w:rPr>
          <w:rFonts w:ascii="Times New Roman" w:cs="Times New Roman" w:eastAsia="Times New Roman" w:hAnsi="Times New Roman"/>
          <w:sz w:val="14"/>
          <w:szCs w:val="14"/>
          <w:color w:val="auto"/>
        </w:rPr>
      </w:pPr>
    </w:p>
    <w:p>
      <w:pPr>
        <w:ind w:left="2100" w:right="259" w:hanging="335"/>
        <w:spacing w:after="0" w:line="284" w:lineRule="auto"/>
        <w:tabs>
          <w:tab w:leader="none" w:pos="21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an effective registration statement covering the Common Stock issuable upon exercise of the Public Warrants, and a current prospectus relating thereto, available throughout the 30-day redemption.</w:t>
      </w:r>
    </w:p>
    <w:p>
      <w:pPr>
        <w:spacing w:after="0" w:line="125" w:lineRule="exact"/>
        <w:rPr>
          <w:sz w:val="20"/>
          <w:szCs w:val="20"/>
          <w:color w:val="auto"/>
        </w:rPr>
      </w:pPr>
    </w:p>
    <w:p>
      <w:pPr>
        <w:ind w:left="1340" w:right="299" w:firstLine="344"/>
        <w:spacing w:after="0" w:line="262" w:lineRule="auto"/>
        <w:rPr>
          <w:sz w:val="20"/>
          <w:szCs w:val="20"/>
          <w:color w:val="auto"/>
        </w:rPr>
      </w:pPr>
      <w:r>
        <w:rPr>
          <w:rFonts w:ascii="Times New Roman" w:cs="Times New Roman" w:eastAsia="Times New Roman" w:hAnsi="Times New Roman"/>
          <w:sz w:val="14"/>
          <w:szCs w:val="14"/>
          <w:color w:val="auto"/>
        </w:rPr>
        <w:t>We may not exercise such redemption right if the issuance of the Common Stock upon exercise of the warrants is not exempt from registration or qualification under applicable state blue sky laws or we are unable to effect such registration or qualification. 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40"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The redemption criteria for our warrants have been established at a price which is intended to provide warrantholders a reasonable premium to the initial exercise price and provide a sufficient differential between the then-prevailing per share price of our Common Stock and the warrant exercise price so that if the per share price of our Common Stock declines as a result of our redemption call, the redemption will not cause the per share price of our Common Stock to drop below the exercise price of the warrants.</w:t>
      </w:r>
    </w:p>
    <w:p>
      <w:pPr>
        <w:spacing w:after="0" w:line="140" w:lineRule="exact"/>
        <w:rPr>
          <w:sz w:val="20"/>
          <w:szCs w:val="20"/>
          <w:color w:val="auto"/>
        </w:rPr>
      </w:pPr>
    </w:p>
    <w:p>
      <w:pPr>
        <w:ind w:left="1340" w:right="219" w:firstLine="344"/>
        <w:spacing w:after="0" w:line="254" w:lineRule="auto"/>
        <w:rPr>
          <w:sz w:val="20"/>
          <w:szCs w:val="20"/>
          <w:color w:val="auto"/>
        </w:rPr>
      </w:pPr>
      <w:r>
        <w:rPr>
          <w:rFonts w:ascii="Times New Roman" w:cs="Times New Roman" w:eastAsia="Times New Roman" w:hAnsi="Times New Roman"/>
          <w:sz w:val="14"/>
          <w:szCs w:val="14"/>
          <w:color w:val="auto"/>
        </w:rPr>
        <w:t>If we call the warrants for redemption as described above, our management will have the option to require all holders of warrants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for this purpose shall mean the average reported closing price of the shares of our Common Stock for the 10 trading days ending on the third trading day prior to the date on which the notice of redemption is sent to the holders of warrants. For example, if a holder held 150 warrants to purchase 150 shares of our Common Stock and the fair market value on the trading date prior to exercise was $15.00, that holder would receive 35 shares of our Common Stock without the payment of any additional cash consideration. Whether we will exercise our option to require all holders to exercise their warrants on a “cashless basis” will depend on a variety of factors, including the price of our Common Stock at the time the warrants are called for redemption, our cash needs at such time and concerns regarding dilutive share issuances. Requiring a cashless exercise in this manner will reduce the number of shares of our Common Stock to be issued and thereby lessen the dilutive effect of a warrant redemption. We believe this feature is an attractive option to use if we do not need the cash from the exercise of the Public Warrants.</w:t>
      </w:r>
    </w:p>
    <w:p>
      <w:pPr>
        <w:spacing w:after="0" w:line="148"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The warrants are issued in registered form under the Warrant Agreement.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Warrants) in order to make any change that adversely affects the interests of the registered holders.</w:t>
      </w:r>
    </w:p>
    <w:p>
      <w:pPr>
        <w:spacing w:after="0" w:line="140" w:lineRule="exact"/>
        <w:rPr>
          <w:sz w:val="20"/>
          <w:szCs w:val="20"/>
          <w:color w:val="auto"/>
        </w:rPr>
      </w:pPr>
    </w:p>
    <w:p>
      <w:pPr>
        <w:ind w:left="1340" w:right="719" w:firstLine="344"/>
        <w:spacing w:after="0" w:line="284" w:lineRule="auto"/>
        <w:rPr>
          <w:sz w:val="20"/>
          <w:szCs w:val="20"/>
          <w:color w:val="auto"/>
        </w:rPr>
      </w:pPr>
      <w:r>
        <w:rPr>
          <w:rFonts w:ascii="Times New Roman" w:cs="Times New Roman" w:eastAsia="Times New Roman" w:hAnsi="Times New Roman"/>
          <w:sz w:val="14"/>
          <w:szCs w:val="14"/>
          <w:color w:val="auto"/>
        </w:rPr>
        <w:t>The exercise price and number of shares of Common Stock issuable on exercise of the warrants may be adjusted in certain circumstances, including in the event of (i) a stock dividend or split up, (ii) a consolidation,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39"/>
        <w:spacing w:after="0" w:line="256" w:lineRule="auto"/>
        <w:rPr>
          <w:sz w:val="20"/>
          <w:szCs w:val="20"/>
          <w:color w:val="auto"/>
        </w:rPr>
      </w:pPr>
      <w:r>
        <w:rPr>
          <w:rFonts w:ascii="Times New Roman" w:cs="Times New Roman" w:eastAsia="Times New Roman" w:hAnsi="Times New Roman"/>
          <w:sz w:val="14"/>
          <w:szCs w:val="14"/>
          <w:color w:val="auto"/>
        </w:rPr>
        <w:t>combination, reverse stock split or reclassification of the Common Stock, (iii) extraordinary dividend or (iv) reclassification or reorganization of the outstanding Common Stock or a merger or consolidation of us with or into another corporation. However, the warrants will not be adjusted for issuances of shares of Common Stock at a price below the par value per share issuable upon exercise of the warrants. Whenever the number of shares of Common Stock purchasable upon the exercise of the warrants is adjusted, the warrant exercise price will be adjusted by multiplying such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47"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check or bank draft payable to the order of the warrant agent or wire transfer, for the number of warrants being exercised. The warrantholders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of Common Stock held of record on all matters to be voted on by stockholders.</w:t>
      </w:r>
    </w:p>
    <w:p>
      <w:pPr>
        <w:spacing w:after="0" w:line="142" w:lineRule="exact"/>
        <w:rPr>
          <w:sz w:val="20"/>
          <w:szCs w:val="20"/>
          <w:color w:val="auto"/>
        </w:rPr>
      </w:pPr>
    </w:p>
    <w:p>
      <w:pPr>
        <w:ind w:left="1340" w:right="259" w:firstLine="344"/>
        <w:spacing w:after="0" w:line="255" w:lineRule="auto"/>
        <w:rPr>
          <w:sz w:val="20"/>
          <w:szCs w:val="20"/>
          <w:color w:val="auto"/>
        </w:rPr>
      </w:pPr>
      <w:r>
        <w:rPr>
          <w:rFonts w:ascii="Times New Roman" w:cs="Times New Roman" w:eastAsia="Times New Roman" w:hAnsi="Times New Roman"/>
          <w:sz w:val="14"/>
          <w:szCs w:val="14"/>
          <w:color w:val="auto"/>
        </w:rPr>
        <w:t>Except as described above, no Public Warrants will be exercisable for cash and we will not be obligated to issue shares of Common Stock upon exercise of a warrant unless the shares of Common Stock issuable upon such warrant exercise have been registered, qualified or deemed to be exempt under the securities laws of the state of residence of the registered holder of the warrants. Under the terms of the Warrant Agreement, we have agreed to use our best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47" w:lineRule="exact"/>
        <w:rPr>
          <w:sz w:val="20"/>
          <w:szCs w:val="20"/>
          <w:color w:val="auto"/>
        </w:rPr>
      </w:pPr>
    </w:p>
    <w:p>
      <w:pPr>
        <w:ind w:left="1340" w:right="299" w:firstLine="344"/>
        <w:spacing w:after="0" w:line="268" w:lineRule="auto"/>
        <w:rPr>
          <w:sz w:val="20"/>
          <w:szCs w:val="20"/>
          <w:color w:val="auto"/>
        </w:rPr>
      </w:pPr>
      <w:r>
        <w:rPr>
          <w:rFonts w:ascii="Times New Roman" w:cs="Times New Roman" w:eastAsia="Times New Roman" w:hAnsi="Times New Roman"/>
          <w:sz w:val="14"/>
          <w:szCs w:val="14"/>
          <w:color w:val="auto"/>
        </w:rPr>
        <w:t>Warrantholders may elect to be subject to a restriction on the exercise of their warrants such that an electing warrantholder would not be able to exercise their warrants to the extent that, after giving effect to such exercise, such holder (together with such holder’s affiliates) would beneficially own in excess of 9.8% of the Common Stock outstanding immediately after giving effect to such exercise.</w:t>
      </w:r>
    </w:p>
    <w:p>
      <w:pPr>
        <w:spacing w:after="0" w:line="135" w:lineRule="exact"/>
        <w:rPr>
          <w:sz w:val="20"/>
          <w:szCs w:val="20"/>
          <w:color w:val="auto"/>
        </w:rPr>
      </w:pPr>
    </w:p>
    <w:p>
      <w:pPr>
        <w:ind w:left="1340" w:right="219" w:firstLine="344"/>
        <w:spacing w:after="0" w:line="284" w:lineRule="auto"/>
        <w:rPr>
          <w:sz w:val="20"/>
          <w:szCs w:val="20"/>
          <w:color w:val="auto"/>
        </w:rPr>
      </w:pPr>
      <w:r>
        <w:rPr>
          <w:rFonts w:ascii="Times New Roman" w:cs="Times New Roman" w:eastAsia="Times New Roman" w:hAnsi="Times New Roman"/>
          <w:sz w:val="14"/>
          <w:szCs w:val="14"/>
          <w:color w:val="auto"/>
        </w:rPr>
        <w:t>No fractional shares will be issued upon exercise of the warrants. If, upon exercise of the warrants, a holder would be entitled to receive a fractional interest in a share, we will, upon exercise, round up to the nearest whole number of shares of Common Stock to be issued to the warrantholder.</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Private Warrants</w:t>
      </w:r>
    </w:p>
    <w:p>
      <w:pPr>
        <w:spacing w:after="0" w:line="94" w:lineRule="exact"/>
        <w:rPr>
          <w:sz w:val="20"/>
          <w:szCs w:val="20"/>
          <w:color w:val="auto"/>
        </w:rPr>
      </w:pPr>
    </w:p>
    <w:p>
      <w:pPr>
        <w:ind w:left="1340" w:right="479" w:firstLine="344"/>
        <w:spacing w:after="0" w:line="268" w:lineRule="auto"/>
        <w:rPr>
          <w:sz w:val="20"/>
          <w:szCs w:val="20"/>
          <w:color w:val="auto"/>
        </w:rPr>
      </w:pPr>
      <w:r>
        <w:rPr>
          <w:rFonts w:ascii="Times New Roman" w:cs="Times New Roman" w:eastAsia="Times New Roman" w:hAnsi="Times New Roman"/>
          <w:sz w:val="14"/>
          <w:szCs w:val="14"/>
          <w:color w:val="auto"/>
        </w:rPr>
        <w:t>The Private Warrants are identical to the Public Warrants except that such Private Warrants are exercisable for cash (even if a registration statement covering the issuance of the Common Stock issuable upon exercise of such warrants is not effective) or on a cashless basis, at the holder’s option, and will not be redeemable by us, in each case so long as they are still held by the initial purchasers or their affiliates.</w:t>
      </w:r>
    </w:p>
    <w:p>
      <w:pPr>
        <w:spacing w:after="0" w:line="135" w:lineRule="exact"/>
        <w:rPr>
          <w:sz w:val="20"/>
          <w:szCs w:val="20"/>
          <w:color w:val="auto"/>
        </w:rPr>
      </w:pPr>
    </w:p>
    <w:p>
      <w:pPr>
        <w:ind w:left="1340" w:right="43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summary of the terms and conditions of the SPAC Warrants does not purport to be complete and is qualified in its entirety by reference to the copy of the specimen warrant certificate and the Warrant Agreement that are filed as an exhibit to the registration statement of which this prospectus forms a part.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Penny Warrants</w:t>
      </w:r>
    </w:p>
    <w:p>
      <w:pPr>
        <w:spacing w:after="0" w:line="94" w:lineRule="exact"/>
        <w:rPr>
          <w:sz w:val="20"/>
          <w:szCs w:val="20"/>
          <w:color w:val="auto"/>
        </w:rPr>
      </w:pPr>
    </w:p>
    <w:p>
      <w:pPr>
        <w:ind w:left="1340" w:right="439" w:firstLine="344"/>
        <w:spacing w:after="0" w:line="259" w:lineRule="auto"/>
        <w:rPr>
          <w:sz w:val="20"/>
          <w:szCs w:val="20"/>
          <w:color w:val="auto"/>
        </w:rPr>
      </w:pPr>
      <w:r>
        <w:rPr>
          <w:rFonts w:ascii="Times New Roman" w:cs="Times New Roman" w:eastAsia="Times New Roman" w:hAnsi="Times New Roman"/>
          <w:sz w:val="14"/>
          <w:szCs w:val="14"/>
          <w:color w:val="auto"/>
        </w:rPr>
        <w:t>In connection with the closing of the transactions contemplated by the Scilex-Oramed SPA, we issued the warrants, having an exercise price of $0.01 per share (the “Penny Warrants”), subject to adjustment as provided therein, to Oramed. Of the 13,000,000 Penny Warrants initially issued to Oramed, warrants to purchase 6,500,000 shares of Common Stock have been exercised and warrants to purchase 6,500,000 shares of Common Stock have been repurchased by the Company pursuant to that certain Option Agreement, dated as of July 22, 2025 between the Company and Oramed. Pursuant to such repurchase, the Penny Warrants were returned to treasury and are considered ‘control’ securities.</w:t>
      </w:r>
    </w:p>
    <w:p>
      <w:pPr>
        <w:spacing w:after="0" w:line="143"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The exercise price of the Penny Warrants is $0.01 per share, subject to adjustment as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we combine (by combination, reverse stock split or otherwise) our Common Stock into a smaller number of shares. Accordingly, there was no adjustment made in connection with the Reverse Stock Split. The Penny Warrants may be exercised by means of a “cashless exercise.”</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February 2024 BDO Warrants</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On February 29, 2024, we entered into the February 2024 BDO Underwriting Agreement, pursuant to which we sold, in an underwritten offering,</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(i) the February 2024 BDO Firm Warrants to purchase up to 108,686 shares of Common Stock, issued to certain investors, with an exercise price of</w:t>
      </w:r>
    </w:p>
    <w:p>
      <w:pPr>
        <w:spacing w:after="0" w:line="8" w:lineRule="exact"/>
        <w:rPr>
          <w:sz w:val="20"/>
          <w:szCs w:val="20"/>
          <w:color w:val="auto"/>
        </w:rPr>
      </w:pPr>
    </w:p>
    <w:p>
      <w:pPr>
        <w:ind w:left="1340" w:right="259"/>
        <w:spacing w:after="0" w:line="257" w:lineRule="auto"/>
        <w:rPr>
          <w:sz w:val="20"/>
          <w:szCs w:val="20"/>
          <w:color w:val="auto"/>
        </w:rPr>
      </w:pPr>
      <w:r>
        <w:rPr>
          <w:rFonts w:ascii="Times New Roman" w:cs="Times New Roman" w:eastAsia="Times New Roman" w:hAnsi="Times New Roman"/>
          <w:sz w:val="14"/>
          <w:szCs w:val="14"/>
          <w:color w:val="auto"/>
        </w:rPr>
        <w:t>$59.50 per share and (ii) the February 2024 BDO Representative Warrants to purchase up to 13,446 shares of Common Stock, issued to StockBlock and Rodman &amp; Renshaw LLC, as the representatives of the underwriters named therein, with an exercise price of $74.38 per share. As of April 30, 2026, there were 122,132 February 2024 BDO Warrants that remain outstanding.</w:t>
      </w:r>
    </w:p>
    <w:p>
      <w:pPr>
        <w:spacing w:after="0" w:line="143" w:lineRule="exact"/>
        <w:rPr>
          <w:sz w:val="20"/>
          <w:szCs w:val="20"/>
          <w:color w:val="auto"/>
        </w:rPr>
      </w:pPr>
    </w:p>
    <w:p>
      <w:pPr>
        <w:ind w:left="1340" w:right="279" w:firstLine="344"/>
        <w:spacing w:after="0" w:line="268" w:lineRule="auto"/>
        <w:rPr>
          <w:sz w:val="20"/>
          <w:szCs w:val="20"/>
          <w:color w:val="auto"/>
        </w:rPr>
      </w:pPr>
      <w:r>
        <w:rPr>
          <w:rFonts w:ascii="Times New Roman" w:cs="Times New Roman" w:eastAsia="Times New Roman" w:hAnsi="Times New Roman"/>
          <w:sz w:val="14"/>
          <w:szCs w:val="14"/>
          <w:color w:val="auto"/>
        </w:rPr>
        <w:t>Subject to certain ownership limitations, the February 2024 BDO Firm Warrants are exercisable immediately from the date of issuance and expire on the five-year anniversary of the date of issuance. The exercise price of the February 2024 BDO Firm Warrants is subject to certain adjustments, including (but not limited to) for stock dividends, stock splits, combinations and reclassifications of Common Stock.</w:t>
      </w:r>
    </w:p>
    <w:p>
      <w:pPr>
        <w:spacing w:after="0" w:line="135" w:lineRule="exact"/>
        <w:rPr>
          <w:sz w:val="20"/>
          <w:szCs w:val="20"/>
          <w:color w:val="auto"/>
        </w:rPr>
      </w:pPr>
    </w:p>
    <w:p>
      <w:pPr>
        <w:ind w:left="1340" w:right="379" w:firstLine="344"/>
        <w:spacing w:after="0" w:line="262" w:lineRule="auto"/>
        <w:rPr>
          <w:sz w:val="20"/>
          <w:szCs w:val="20"/>
          <w:color w:val="auto"/>
        </w:rPr>
      </w:pPr>
      <w:r>
        <w:rPr>
          <w:rFonts w:ascii="Times New Roman" w:cs="Times New Roman" w:eastAsia="Times New Roman" w:hAnsi="Times New Roman"/>
          <w:sz w:val="14"/>
          <w:szCs w:val="14"/>
          <w:color w:val="auto"/>
        </w:rPr>
        <w:t>A holder (together with its affiliates) may not exercise any portion of the February 2024 BDO Firm Warrants to the extent that the holder would own more than 4.99% of the Common Stock outstanding immediately after exercise (the “February 2024 BDO Beneficial Ownership Limitation”). However, upon at least 61 days’ prior notice from the holder to the Company, a holder may increase or decrease the February 2024 BDO Beneficial Ownership Limitation in accordance with the terms of the February 2024 BDO Firm Warrants, provided that it does not exceed 9.99%.</w:t>
      </w:r>
    </w:p>
    <w:p>
      <w:pPr>
        <w:spacing w:after="0" w:line="140" w:lineRule="exact"/>
        <w:rPr>
          <w:sz w:val="20"/>
          <w:szCs w:val="20"/>
          <w:color w:val="auto"/>
        </w:rPr>
      </w:pPr>
    </w:p>
    <w:p>
      <w:pPr>
        <w:ind w:left="1340" w:right="279" w:firstLine="344"/>
        <w:spacing w:after="0" w:line="284" w:lineRule="auto"/>
        <w:rPr>
          <w:sz w:val="20"/>
          <w:szCs w:val="20"/>
          <w:color w:val="auto"/>
        </w:rPr>
      </w:pPr>
      <w:r>
        <w:rPr>
          <w:rFonts w:ascii="Times New Roman" w:cs="Times New Roman" w:eastAsia="Times New Roman" w:hAnsi="Times New Roman"/>
          <w:sz w:val="14"/>
          <w:szCs w:val="14"/>
          <w:color w:val="auto"/>
        </w:rPr>
        <w:t>The February 2024 BDO Representative Warrants are exercisable immediately from the date of issuance and have the same terms as the February 2024 BDO Firm Warrants described above, except that the exercise price of the February 2024 BDO Representative Warrants is $74.38 per share.</w:t>
      </w:r>
    </w:p>
    <w:p>
      <w:pPr>
        <w:spacing w:after="0" w:line="125" w:lineRule="exact"/>
        <w:rPr>
          <w:sz w:val="20"/>
          <w:szCs w:val="20"/>
          <w:color w:val="auto"/>
        </w:rPr>
      </w:pPr>
    </w:p>
    <w:p>
      <w:pPr>
        <w:ind w:left="1340" w:right="25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February 2024 BDO Warrants do not purport to be complete and are qualified in their entirety by reference to the copies of the forms of February 2024 BDO Warrants that are filed as an exhibit to the registration statement of which this prospectus forms a part.</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April 2024 RDO Warrants</w:t>
      </w:r>
    </w:p>
    <w:p>
      <w:pPr>
        <w:spacing w:after="0" w:line="94" w:lineRule="exact"/>
        <w:rPr>
          <w:sz w:val="20"/>
          <w:szCs w:val="20"/>
          <w:color w:val="auto"/>
        </w:rPr>
      </w:pPr>
    </w:p>
    <w:p>
      <w:pPr>
        <w:jc w:val="both"/>
        <w:ind w:left="1340" w:right="459" w:firstLine="344"/>
        <w:spacing w:after="0" w:line="268" w:lineRule="auto"/>
        <w:rPr>
          <w:sz w:val="20"/>
          <w:szCs w:val="20"/>
          <w:color w:val="auto"/>
        </w:rPr>
      </w:pPr>
      <w:r>
        <w:rPr>
          <w:rFonts w:ascii="Times New Roman" w:cs="Times New Roman" w:eastAsia="Times New Roman" w:hAnsi="Times New Roman"/>
          <w:sz w:val="14"/>
          <w:szCs w:val="14"/>
          <w:color w:val="auto"/>
        </w:rPr>
        <w:t>On April 23, 2024, we entered into the April 2024 RDO Purchase Agreement, pursuant to which we sold, in a registered direct offering, (i) the April 2024 RDO Common Warrants to purchase up to 428,572 shares of Common Stock, issued to the investor, with an exercise price of $38.50 per share and (ii) the April 2024 RDO</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499"/>
        <w:spacing w:after="0" w:line="268" w:lineRule="auto"/>
        <w:rPr>
          <w:sz w:val="20"/>
          <w:szCs w:val="20"/>
          <w:color w:val="auto"/>
        </w:rPr>
      </w:pPr>
      <w:r>
        <w:rPr>
          <w:rFonts w:ascii="Times New Roman" w:cs="Times New Roman" w:eastAsia="Times New Roman" w:hAnsi="Times New Roman"/>
          <w:sz w:val="14"/>
          <w:szCs w:val="14"/>
          <w:color w:val="auto"/>
        </w:rPr>
        <w:t>Placement Agent Warrants to purchase up to 34,286 shares of Common Stock, issued to the Placement Agents, as the exclusive placement agents in connection with the offering, with an exercise price of $43.75 per share. As of April 30, 2026, 34,286 April 2024 RDO Placement Agent Warrants remain outstanding and no April 2024 RDO Common Warrants remain outstanding.</w:t>
      </w:r>
    </w:p>
    <w:p>
      <w:pPr>
        <w:spacing w:after="0" w:line="135" w:lineRule="exact"/>
        <w:rPr>
          <w:sz w:val="20"/>
          <w:szCs w:val="20"/>
          <w:color w:val="auto"/>
        </w:rPr>
      </w:pPr>
    </w:p>
    <w:p>
      <w:pPr>
        <w:ind w:left="1340" w:right="419" w:firstLine="344"/>
        <w:spacing w:after="0" w:line="268" w:lineRule="auto"/>
        <w:rPr>
          <w:sz w:val="20"/>
          <w:szCs w:val="20"/>
          <w:color w:val="auto"/>
        </w:rPr>
      </w:pPr>
      <w:r>
        <w:rPr>
          <w:rFonts w:ascii="Times New Roman" w:cs="Times New Roman" w:eastAsia="Times New Roman" w:hAnsi="Times New Roman"/>
          <w:sz w:val="14"/>
          <w:szCs w:val="14"/>
          <w:color w:val="auto"/>
        </w:rPr>
        <w:t>Subject to certain ownership limitations, the April 2024 RDO Common Warrants are exercisable on the six-month anniversary from the date of issuance and expire on the five-year anniversary of the date of issuance. The exercise price of the April 2024 RDO Common Warrants is subject to certain adjustments, including stock dividends, stock splits, combinations and reclassifications of the Common Stock.</w:t>
      </w:r>
    </w:p>
    <w:p>
      <w:pPr>
        <w:spacing w:after="0" w:line="135" w:lineRule="exact"/>
        <w:rPr>
          <w:sz w:val="20"/>
          <w:szCs w:val="20"/>
          <w:color w:val="auto"/>
        </w:rPr>
      </w:pPr>
    </w:p>
    <w:p>
      <w:pPr>
        <w:ind w:left="1340" w:right="299" w:firstLine="344"/>
        <w:spacing w:after="0" w:line="259" w:lineRule="auto"/>
        <w:rPr>
          <w:sz w:val="20"/>
          <w:szCs w:val="20"/>
          <w:color w:val="auto"/>
        </w:rPr>
      </w:pPr>
      <w:r>
        <w:rPr>
          <w:rFonts w:ascii="Times New Roman" w:cs="Times New Roman" w:eastAsia="Times New Roman" w:hAnsi="Times New Roman"/>
          <w:sz w:val="14"/>
          <w:szCs w:val="14"/>
          <w:color w:val="auto"/>
        </w:rPr>
        <w:t>A holder (together with its affiliates) may not exercise any portion of the April 2024 RDO Common Warrants to the extent that the holder would own more than 4.99% (or, at the purchaser’s option upon issuance, 9.99%) of the Common Stock outstanding immediately after exercise (the “April 2024 RDO Beneficial Ownership Limitation”). However, upon at least 61 days’ prior notice from the holder to the Company, a holder may increase or decrease the April 2024 RDO Beneficial Ownership Limitation in accordance with the terms of the April 2024 RDO Common Warrant, provided that it does not exceed 9.99%.</w:t>
      </w:r>
    </w:p>
    <w:p>
      <w:pPr>
        <w:spacing w:after="0" w:line="143" w:lineRule="exact"/>
        <w:rPr>
          <w:sz w:val="20"/>
          <w:szCs w:val="20"/>
          <w:color w:val="auto"/>
        </w:rPr>
      </w:pPr>
    </w:p>
    <w:p>
      <w:pPr>
        <w:ind w:left="1340" w:right="379" w:firstLine="344"/>
        <w:spacing w:after="0" w:line="268" w:lineRule="auto"/>
        <w:rPr>
          <w:sz w:val="20"/>
          <w:szCs w:val="20"/>
          <w:color w:val="auto"/>
        </w:rPr>
      </w:pPr>
      <w:r>
        <w:rPr>
          <w:rFonts w:ascii="Times New Roman" w:cs="Times New Roman" w:eastAsia="Times New Roman" w:hAnsi="Times New Roman"/>
          <w:sz w:val="14"/>
          <w:szCs w:val="14"/>
          <w:color w:val="auto"/>
        </w:rPr>
        <w:t>The April 2024 RDO Placement Agent Warrants are exercisable on the six-month anniversary of the date of issuance, expire five years from the commencement of sales in the offering and are substantially in the form of the April 2024 RDO Common Warrants described above, except that the exercise price of the April 2024 RDO Placement Agent Warrants is $43.75 per share.</w:t>
      </w:r>
    </w:p>
    <w:p>
      <w:pPr>
        <w:spacing w:after="0" w:line="135" w:lineRule="exact"/>
        <w:rPr>
          <w:sz w:val="20"/>
          <w:szCs w:val="20"/>
          <w:color w:val="auto"/>
        </w:rPr>
      </w:pPr>
    </w:p>
    <w:p>
      <w:pPr>
        <w:ind w:left="1340" w:right="47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April 2024 RDO Warrants do not purport to be complete and are qualified in their entirety by reference to the copies of the forms of April 2024 RDO Warrants that are filed as an exhibit to the registration statement of which this prospectus forms a part.</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Deposit Warrant</w:t>
      </w:r>
    </w:p>
    <w:p>
      <w:pPr>
        <w:spacing w:after="0" w:line="94" w:lineRule="exact"/>
        <w:rPr>
          <w:sz w:val="20"/>
          <w:szCs w:val="20"/>
          <w:color w:val="auto"/>
        </w:rPr>
      </w:pPr>
    </w:p>
    <w:p>
      <w:pPr>
        <w:ind w:left="1340" w:right="239" w:firstLine="344"/>
        <w:spacing w:after="0" w:line="259" w:lineRule="auto"/>
        <w:rPr>
          <w:sz w:val="20"/>
          <w:szCs w:val="20"/>
          <w:color w:val="auto"/>
        </w:rPr>
      </w:pPr>
      <w:r>
        <w:rPr>
          <w:rFonts w:ascii="Times New Roman" w:cs="Times New Roman" w:eastAsia="Times New Roman" w:hAnsi="Times New Roman"/>
          <w:sz w:val="14"/>
          <w:szCs w:val="14"/>
          <w:color w:val="auto"/>
        </w:rPr>
        <w:t>In connection with the transactions contemplated by the Commitment Letter, we originally issued to FSF the Deposit Warrant to purchase up to an aggregate of 3,250,000 shares of Common Stock. On April 16, 2026, FSF transferred the Deposit Warrant to Henry Ji, our Chief Executive Officer and President, in exchange for a payment of $500,000. Subsequently on April 17, 2026, Henry Ji transferred a portion of the Deposit Warrant representing 20% of the shares underlying such Deposit Warrant, to Stephen Ma, our Chief Financial Officer and Chief Operating Officer, in exchange for a payment of $100,000. As of April 30, 2026, the full amount of the Deposit Warrant remains outstanding.</w:t>
      </w:r>
    </w:p>
    <w:p>
      <w:pPr>
        <w:spacing w:after="0" w:line="143" w:lineRule="exact"/>
        <w:rPr>
          <w:sz w:val="20"/>
          <w:szCs w:val="20"/>
          <w:color w:val="auto"/>
        </w:rPr>
      </w:pPr>
    </w:p>
    <w:p>
      <w:pPr>
        <w:ind w:left="1340" w:right="219" w:firstLine="344"/>
        <w:spacing w:after="0" w:line="259" w:lineRule="auto"/>
        <w:rPr>
          <w:sz w:val="20"/>
          <w:szCs w:val="20"/>
          <w:color w:val="auto"/>
        </w:rPr>
      </w:pPr>
      <w:r>
        <w:rPr>
          <w:rFonts w:ascii="Times New Roman" w:cs="Times New Roman" w:eastAsia="Times New Roman" w:hAnsi="Times New Roman"/>
          <w:sz w:val="14"/>
          <w:szCs w:val="14"/>
          <w:color w:val="auto"/>
        </w:rPr>
        <w:t>The Deposit Warrant is exercisable immediately from the date of issuance and expires on the fifth anniversary of such date. The exercise price of the Deposit Warrant is $1.20 per share, subject to adjustment as provided therein. The exercise price and number of shares of Common Stock issuable upon the exercise of the Deposit Warrant are subject to adjustment in the event of any stock dividend, stock split, recapitalization or similar transaction, as described in the Deposit Warrant; provided that there shall not be any adjustment to the exercise price of the Deposit Warrant in the event we combine (by combination, reverse stock split or otherwise) the Common Stock into a smaller number of shares.</w:t>
      </w:r>
    </w:p>
    <w:p>
      <w:pPr>
        <w:spacing w:after="0" w:line="143" w:lineRule="exact"/>
        <w:rPr>
          <w:sz w:val="20"/>
          <w:szCs w:val="20"/>
          <w:color w:val="auto"/>
        </w:rPr>
      </w:pPr>
    </w:p>
    <w:p>
      <w:pPr>
        <w:ind w:left="1340" w:right="559" w:firstLine="344"/>
        <w:spacing w:after="0" w:line="284" w:lineRule="auto"/>
        <w:rPr>
          <w:sz w:val="20"/>
          <w:szCs w:val="20"/>
          <w:color w:val="auto"/>
        </w:rPr>
      </w:pPr>
      <w:r>
        <w:rPr>
          <w:rFonts w:ascii="Times New Roman" w:cs="Times New Roman" w:eastAsia="Times New Roman" w:hAnsi="Times New Roman"/>
          <w:sz w:val="14"/>
          <w:szCs w:val="14"/>
          <w:color w:val="auto"/>
        </w:rPr>
        <w:t>The foregoing summary of the terms and conditions of the Deposit Warrant does not purport to be complete and is qualified in its entirety by reference to the copy of the form of Deposit Warrant that is filed as an exhibit to the registration statement of which this prospectus forms a part.</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October 2024 Warrants</w:t>
      </w:r>
    </w:p>
    <w:p>
      <w:pPr>
        <w:spacing w:after="0" w:line="94" w:lineRule="exact"/>
        <w:rPr>
          <w:sz w:val="20"/>
          <w:szCs w:val="20"/>
          <w:color w:val="auto"/>
        </w:rPr>
      </w:pPr>
    </w:p>
    <w:p>
      <w:pPr>
        <w:ind w:left="1340" w:right="239" w:firstLine="344"/>
        <w:spacing w:after="0" w:line="284" w:lineRule="auto"/>
        <w:rPr>
          <w:sz w:val="20"/>
          <w:szCs w:val="20"/>
          <w:color w:val="auto"/>
        </w:rPr>
      </w:pPr>
      <w:r>
        <w:rPr>
          <w:rFonts w:ascii="Times New Roman" w:cs="Times New Roman" w:eastAsia="Times New Roman" w:hAnsi="Times New Roman"/>
          <w:sz w:val="14"/>
          <w:szCs w:val="14"/>
          <w:color w:val="auto"/>
        </w:rPr>
        <w:t>On October 7, 2024, we entered into the Tranche B Securities Purchase Agreement with the Tranche B Noteholders, pursuant to which we sold, in a registered offering, (i) the October 2024 Noteholder Warrants to</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99"/>
        <w:spacing w:after="0" w:line="262" w:lineRule="auto"/>
        <w:rPr>
          <w:sz w:val="20"/>
          <w:szCs w:val="20"/>
          <w:color w:val="auto"/>
        </w:rPr>
      </w:pPr>
      <w:r>
        <w:rPr>
          <w:rFonts w:ascii="Times New Roman" w:cs="Times New Roman" w:eastAsia="Times New Roman" w:hAnsi="Times New Roman"/>
          <w:sz w:val="14"/>
          <w:szCs w:val="14"/>
          <w:color w:val="auto"/>
        </w:rPr>
        <w:t>purchase up to 214,284 shares of Common Stock, issued to the Tranche B Noteholders, with a current exercise price of $36.40 per share and (ii) the October 2024 Placement Agent Warrants to purchase up to 104,848 shares of Common Stock, issued to the Placement Agents, with a current exercise price of $36.40 per share (together, the “October 2024 Warrants”). As of April 30, 2026, there were 211,990 October 2024 Warrants that remain outstanding.</w:t>
      </w:r>
    </w:p>
    <w:p>
      <w:pPr>
        <w:spacing w:after="0" w:line="140" w:lineRule="exact"/>
        <w:rPr>
          <w:sz w:val="20"/>
          <w:szCs w:val="20"/>
          <w:color w:val="auto"/>
        </w:rPr>
      </w:pPr>
    </w:p>
    <w:p>
      <w:pPr>
        <w:ind w:left="1340" w:right="239" w:firstLine="344"/>
        <w:spacing w:after="0" w:line="256" w:lineRule="auto"/>
        <w:rPr>
          <w:sz w:val="20"/>
          <w:szCs w:val="20"/>
          <w:color w:val="auto"/>
        </w:rPr>
      </w:pPr>
      <w:r>
        <w:rPr>
          <w:rFonts w:ascii="Times New Roman" w:cs="Times New Roman" w:eastAsia="Times New Roman" w:hAnsi="Times New Roman"/>
          <w:sz w:val="14"/>
          <w:szCs w:val="14"/>
          <w:color w:val="auto"/>
        </w:rPr>
        <w:t>The October 2024 Noteholder Warrants are exercisable immediately from the date of issuance and expire five years from the issuance date. The exercise price of the October 2024 Noteholder Warrants is subject to adjustment for any stock split, stock dividend, stock combination, recapitalization or similar event, and is also subject to full-ratchet adjustment (down to the Exercise Price Floor) in connection with a subsequent offering at a per share price less than the exercise price then in effect. The exercise price cannot be lower than $1.04 (as adjusted for stock splits, stock dividends, stock combinations, recapitalizations and similar events, with such price currently being $36.40 pursuant to the reverse stock split effected in April 2025, the “Exercise Price Floor”), unless shareholder approval is obtained to allow the October 2024 Noteholder Warrants to be exercised at a price lower than the Exercise Price Floor in accordance with Nasdaq listing rules. We are under no obligation to seek or obtain such shareholder approval.</w:t>
      </w:r>
    </w:p>
    <w:p>
      <w:pPr>
        <w:spacing w:after="0" w:line="147" w:lineRule="exact"/>
        <w:rPr>
          <w:sz w:val="20"/>
          <w:szCs w:val="20"/>
          <w:color w:val="auto"/>
        </w:rPr>
      </w:pPr>
    </w:p>
    <w:p>
      <w:pPr>
        <w:ind w:left="1340" w:right="459" w:firstLine="344"/>
        <w:spacing w:after="0" w:line="259" w:lineRule="auto"/>
        <w:rPr>
          <w:sz w:val="20"/>
          <w:szCs w:val="20"/>
          <w:color w:val="auto"/>
        </w:rPr>
      </w:pPr>
      <w:r>
        <w:rPr>
          <w:rFonts w:ascii="Times New Roman" w:cs="Times New Roman" w:eastAsia="Times New Roman" w:hAnsi="Times New Roman"/>
          <w:sz w:val="14"/>
          <w:szCs w:val="14"/>
          <w:color w:val="auto"/>
        </w:rPr>
        <w:t>A holder shall not have the right to exercise any portion of a October 2024 Noteholder Warrant to the extent that, after giving effect to such exercise, the holder (together with certain related parties) would beneficially own in excess of 4.99% (the “October 2024 Beneficial Ownership Limitation”) of shares of Common Stock outstanding immediately after giving effect to such exercise. The October 2024 Beneficial Ownership Limitation may be raised or lowered to any other percentage not in excess of 9.99%, at the option of the holder, except that any increase will only be effective upon 61 days’ prior notice to the Company.</w:t>
      </w:r>
    </w:p>
    <w:p>
      <w:pPr>
        <w:spacing w:after="0" w:line="143" w:lineRule="exact"/>
        <w:rPr>
          <w:sz w:val="20"/>
          <w:szCs w:val="20"/>
          <w:color w:val="auto"/>
        </w:rPr>
      </w:pPr>
    </w:p>
    <w:p>
      <w:pPr>
        <w:jc w:val="both"/>
        <w:ind w:left="1340" w:right="539" w:firstLine="344"/>
        <w:spacing w:after="0" w:line="284" w:lineRule="auto"/>
        <w:rPr>
          <w:sz w:val="20"/>
          <w:szCs w:val="20"/>
          <w:color w:val="auto"/>
        </w:rPr>
      </w:pPr>
      <w:r>
        <w:rPr>
          <w:rFonts w:ascii="Times New Roman" w:cs="Times New Roman" w:eastAsia="Times New Roman" w:hAnsi="Times New Roman"/>
          <w:sz w:val="14"/>
          <w:szCs w:val="14"/>
          <w:color w:val="auto"/>
        </w:rPr>
        <w:t>The October 2024 Placement Agent Warrants have the same terms as the October 2024 Noteholder Warrants described above, except that the Placement Agents have agreed not to exercise the October 2024 Placement Agent Warrants for a period of 180 days following the date of issuance.</w:t>
      </w:r>
    </w:p>
    <w:p>
      <w:pPr>
        <w:spacing w:after="0" w:line="125" w:lineRule="exact"/>
        <w:rPr>
          <w:sz w:val="20"/>
          <w:szCs w:val="20"/>
          <w:color w:val="auto"/>
        </w:rPr>
      </w:pPr>
    </w:p>
    <w:p>
      <w:pPr>
        <w:ind w:left="1340" w:right="63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October 2024 Warrants do not purport to be complete and are qualified in their entirety by reference to the copies of the forms of October 2024 Warrants that are filed as an exhibit to the registration statement of which this prospectus forms a part.</w:t>
      </w:r>
    </w:p>
    <w:p>
      <w:pPr>
        <w:spacing w:after="0" w:line="135" w:lineRule="exact"/>
        <w:rPr>
          <w:sz w:val="20"/>
          <w:szCs w:val="20"/>
          <w:color w:val="auto"/>
        </w:rPr>
      </w:pPr>
    </w:p>
    <w:p>
      <w:pPr>
        <w:ind w:left="1340" w:right="639" w:firstLine="344"/>
        <w:spacing w:after="0" w:line="284" w:lineRule="auto"/>
        <w:rPr>
          <w:sz w:val="20"/>
          <w:szCs w:val="20"/>
          <w:color w:val="auto"/>
        </w:rPr>
      </w:pPr>
      <w:r>
        <w:rPr>
          <w:rFonts w:ascii="Times New Roman" w:cs="Times New Roman" w:eastAsia="Times New Roman" w:hAnsi="Times New Roman"/>
          <w:sz w:val="14"/>
          <w:szCs w:val="14"/>
          <w:color w:val="auto"/>
        </w:rPr>
        <w:t>A portion of the October 2024 Warrants (also referred to elsewhere in this prospectus as the “Tranche B Warrants”) were exchanged for the Exchange Warrants. See the section titled “</w:t>
      </w:r>
      <w:r>
        <w:rPr>
          <w:rFonts w:ascii="Times New Roman" w:cs="Times New Roman" w:eastAsia="Times New Roman" w:hAnsi="Times New Roman"/>
          <w:sz w:val="14"/>
          <w:szCs w:val="14"/>
          <w:i w:val="1"/>
          <w:iCs w:val="1"/>
          <w:color w:val="auto"/>
        </w:rPr>
        <w:t>Description of Exchange Warrants</w:t>
      </w:r>
      <w:r>
        <w:rPr>
          <w:rFonts w:ascii="Times New Roman" w:cs="Times New Roman" w:eastAsia="Times New Roman" w:hAnsi="Times New Roman"/>
          <w:sz w:val="14"/>
          <w:szCs w:val="14"/>
          <w:color w:val="auto"/>
        </w:rPr>
        <w:t>” for more detailed information about the Exchange Warrants.</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Tranche B Notes</w:t>
      </w:r>
    </w:p>
    <w:p>
      <w:pPr>
        <w:spacing w:after="0" w:line="94"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Pursuant to the Tranche B Securities Purchase Agreement, we issued to the Tranche B Noteholders the Tranche B Notes in the aggregate principal amount of $50,000,000, which notes are convertible into shares of Common Stock. As of April 30, 2026, we had Tranche B Notes in the aggregate principal amount of $12,000,000 that remain outstanding, which notes are convertible as of such date into 347,082 shares of Common Stock at the Conversion Price.</w:t>
      </w:r>
    </w:p>
    <w:p>
      <w:pPr>
        <w:spacing w:after="0" w:line="140" w:lineRule="exact"/>
        <w:rPr>
          <w:sz w:val="20"/>
          <w:szCs w:val="20"/>
          <w:color w:val="auto"/>
        </w:rPr>
      </w:pPr>
    </w:p>
    <w:p>
      <w:pPr>
        <w:ind w:left="1340" w:right="399" w:firstLine="344"/>
        <w:spacing w:after="0" w:line="258" w:lineRule="auto"/>
        <w:rPr>
          <w:sz w:val="20"/>
          <w:szCs w:val="20"/>
          <w:color w:val="auto"/>
        </w:rPr>
      </w:pPr>
      <w:r>
        <w:rPr>
          <w:rFonts w:ascii="Times New Roman" w:cs="Times New Roman" w:eastAsia="Times New Roman" w:hAnsi="Times New Roman"/>
          <w:sz w:val="14"/>
          <w:szCs w:val="14"/>
          <w:color w:val="auto"/>
        </w:rPr>
        <w:t>The aggregate purchase price for the Tranche B Notes and the related warrants (described above) is $45,000,000. The Tranche B Notes have an original issue discount of 10.0%. We received in exchange for the issuance of the Tranche B Notes to the Tranche B Investors an aggregate amount in cash equal to $22,500,000, excluding fees and expenses. We received from Oramed in consideration for the Tranche B Notes issued to Oramed an exchange and reduction of the principal balance under the Oramed Note of an equivalent amount. The Tranche B Notes bear interest at a rate of 5.5% per annum, payable in arrears on the first trading day of each calendar quarter, beginning January 2, 2025, payable, at our option, either in cash or in shares of Common Stock, subject to certain conditions.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99" w:firstLine="344"/>
        <w:spacing w:after="0" w:line="258" w:lineRule="auto"/>
        <w:rPr>
          <w:sz w:val="20"/>
          <w:szCs w:val="20"/>
          <w:color w:val="auto"/>
        </w:rPr>
      </w:pPr>
      <w:r>
        <w:rPr>
          <w:rFonts w:ascii="Times New Roman" w:cs="Times New Roman" w:eastAsia="Times New Roman" w:hAnsi="Times New Roman"/>
          <w:sz w:val="14"/>
          <w:szCs w:val="14"/>
          <w:color w:val="auto"/>
        </w:rPr>
        <w:t>Unless earlier converted or redeemed, the Tranche B Notes will mature on the two-year anniversary of the issuance date, subject to extension at the option of the holder in certain circumstances as provided in the Tranche B Notes. All amounts due under the Tranche B Notes are convertible at any time, in whole or in part, and subject to certain beneficial ownership limitations, at the option of the holder into shares of our Common Stock at the Conversion Price, subject to adjustment as described in the Tranche B Notes. The Tranche B Notes are our senior secured obligation (alongside and in certain circumstances described herein subordinate to, the Oramed Note) and rank senior to the right to payment of the holders of our unsecured debt, except as described herein.</w:t>
      </w:r>
    </w:p>
    <w:p>
      <w:pPr>
        <w:spacing w:after="0" w:line="142" w:lineRule="exact"/>
        <w:rPr>
          <w:sz w:val="20"/>
          <w:szCs w:val="20"/>
          <w:color w:val="auto"/>
        </w:rPr>
      </w:pPr>
    </w:p>
    <w:p>
      <w:pPr>
        <w:ind w:left="1340" w:right="299" w:firstLine="344"/>
        <w:spacing w:after="0" w:line="258" w:lineRule="auto"/>
        <w:rPr>
          <w:sz w:val="20"/>
          <w:szCs w:val="20"/>
          <w:color w:val="auto"/>
        </w:rPr>
      </w:pPr>
      <w:r>
        <w:rPr>
          <w:rFonts w:ascii="Times New Roman" w:cs="Times New Roman" w:eastAsia="Times New Roman" w:hAnsi="Times New Roman"/>
          <w:sz w:val="14"/>
          <w:szCs w:val="14"/>
          <w:color w:val="auto"/>
        </w:rPr>
        <w:t>At any time after issuance, all amounts due under the Tranche B Notes are convertible, in whole or in part, at the holder’s option, into Common Stock at the Conversion Price, which is subject to (i) proportional adjustment upon the occurrence of any stock split, stock dividend, stock combination and/or similar transactions; and (ii) full-ratchet adjustment (down to the Conversion Price Floor) in connection with a subsequent offering at a per share price less than the fixed conversion price then in effect. The Conversion Price cannot be lower than the Conversion Price Floor unless shareholder approval is obtained to allow the Tranche B Notes to convert at a price lower than the Conversion Price Floor in accordance with Nasdaq listing rules. We are under no obligation to seek or obtain such shareholder approval.</w:t>
      </w:r>
    </w:p>
    <w:p>
      <w:pPr>
        <w:spacing w:after="0" w:line="142" w:lineRule="exact"/>
        <w:rPr>
          <w:sz w:val="20"/>
          <w:szCs w:val="20"/>
          <w:color w:val="auto"/>
        </w:rPr>
      </w:pPr>
    </w:p>
    <w:p>
      <w:pPr>
        <w:ind w:left="1340" w:right="299" w:firstLine="344"/>
        <w:spacing w:after="0" w:line="259" w:lineRule="auto"/>
        <w:rPr>
          <w:sz w:val="20"/>
          <w:szCs w:val="20"/>
          <w:color w:val="auto"/>
        </w:rPr>
      </w:pPr>
      <w:r>
        <w:rPr>
          <w:rFonts w:ascii="Times New Roman" w:cs="Times New Roman" w:eastAsia="Times New Roman" w:hAnsi="Times New Roman"/>
          <w:sz w:val="14"/>
          <w:szCs w:val="14"/>
          <w:color w:val="auto"/>
        </w:rPr>
        <w:t>The Tranche B Notes held by an individual holder may not be converted into shares of Common Stock to the extent such conversion would result in holder (together with certain related parties of holder) would beneficially own in excess of the Maximum Percentage of shares of the Common Stock outstanding immediately after giving effect to such conversion. The Maximum Percentage with respect to a holder and certain related parties may be raised or lowered to any other percentage not in excess of 9.99%, at the option of the holder, except that any increase will only be effective upon 61 days’ prior notice to the Company.</w:t>
      </w:r>
    </w:p>
    <w:p>
      <w:pPr>
        <w:spacing w:after="0" w:line="143" w:lineRule="exact"/>
        <w:rPr>
          <w:sz w:val="20"/>
          <w:szCs w:val="20"/>
          <w:color w:val="auto"/>
        </w:rPr>
      </w:pPr>
    </w:p>
    <w:p>
      <w:pPr>
        <w:jc w:val="both"/>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We have the right (assuming no failure of certain specific conditions relating to our equity) to redeem in cash all, but not less than all, the amount then outstanding under the Tranche B Notes at a 35% redemption premium to the greater of (i) the amount then outstanding under the Tranche B Notes to be redeemed, and (ii) the equity value of Common Stock underlying such Tranche B Notes. We have a mandatory obligation to redeem the Tranche B Notes upon an event of default bankruptcy.</w:t>
      </w:r>
    </w:p>
    <w:p>
      <w:pPr>
        <w:spacing w:after="0" w:line="140" w:lineRule="exact"/>
        <w:rPr>
          <w:sz w:val="20"/>
          <w:szCs w:val="20"/>
          <w:color w:val="auto"/>
        </w:rPr>
      </w:pPr>
    </w:p>
    <w:p>
      <w:pPr>
        <w:ind w:left="1340" w:right="299" w:firstLine="344"/>
        <w:spacing w:after="0" w:line="268" w:lineRule="auto"/>
        <w:rPr>
          <w:sz w:val="20"/>
          <w:szCs w:val="20"/>
          <w:color w:val="auto"/>
        </w:rPr>
      </w:pPr>
      <w:r>
        <w:rPr>
          <w:rFonts w:ascii="Times New Roman" w:cs="Times New Roman" w:eastAsia="Times New Roman" w:hAnsi="Times New Roman"/>
          <w:sz w:val="14"/>
          <w:szCs w:val="14"/>
          <w:color w:val="auto"/>
        </w:rPr>
        <w:t>The Tranche B Notes are subject to redemption by us at the election of a holder in certain circumstances as more fully described therein, including, among other events, a change of control of the Company, a subsequent placement of certain securities of the Company, and asset sales by the Company.</w:t>
      </w:r>
    </w:p>
    <w:p>
      <w:pPr>
        <w:spacing w:after="0" w:line="135" w:lineRule="exact"/>
        <w:rPr>
          <w:sz w:val="20"/>
          <w:szCs w:val="20"/>
          <w:color w:val="auto"/>
        </w:rPr>
      </w:pPr>
    </w:p>
    <w:p>
      <w:pPr>
        <w:ind w:left="1340" w:right="239" w:firstLine="344"/>
        <w:spacing w:after="0" w:line="256" w:lineRule="auto"/>
        <w:rPr>
          <w:sz w:val="20"/>
          <w:szCs w:val="20"/>
          <w:color w:val="auto"/>
        </w:rPr>
      </w:pPr>
      <w:r>
        <w:rPr>
          <w:rFonts w:ascii="Times New Roman" w:cs="Times New Roman" w:eastAsia="Times New Roman" w:hAnsi="Times New Roman"/>
          <w:sz w:val="14"/>
          <w:szCs w:val="14"/>
          <w:color w:val="auto"/>
        </w:rPr>
        <w:t>The Tranche B Notes contain affirmative and negative covenants binding on the Company and its subsidiaries which restrict, among other things, the Company and its subsidiaries from incurring indebtedness or liens, redeeming securities, repaying certain indebtedness or declaring or paying any cash dividend or distribution, selling or disposing of any assets or rights of the Company and its subsidiaries, entering into or being a party to any transactions with any affiliates, incurring or guaranteeing any indebtedness or permitting the acceleration of any indebtedness, in each case as more fully set forth in, and subject to certain qualifications, exceptions, and “baskets” set forth in the Oramed Note. In addition, at the request of the holder, not more frequently than once per fiscal year, we shall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w:t>
      </w:r>
    </w:p>
    <w:p>
      <w:pPr>
        <w:spacing w:after="0" w:line="144" w:lineRule="exact"/>
        <w:rPr>
          <w:sz w:val="20"/>
          <w:szCs w:val="20"/>
          <w:color w:val="auto"/>
        </w:rPr>
      </w:pPr>
    </w:p>
    <w:p>
      <w:pPr>
        <w:ind w:left="1340" w:right="279" w:firstLine="344"/>
        <w:spacing w:after="0" w:line="262" w:lineRule="auto"/>
        <w:rPr>
          <w:sz w:val="20"/>
          <w:szCs w:val="20"/>
          <w:color w:val="auto"/>
        </w:rPr>
      </w:pPr>
      <w:r>
        <w:rPr>
          <w:rFonts w:ascii="Times New Roman" w:cs="Times New Roman" w:eastAsia="Times New Roman" w:hAnsi="Times New Roman"/>
          <w:sz w:val="14"/>
          <w:szCs w:val="14"/>
          <w:color w:val="auto"/>
        </w:rPr>
        <w:t>The Tranche B Notes contain certain customary events of default, including, without limitation a cross-default to other specified indebtedness or any other indebtedness involving an obligation of $5,000,000 or more. The interest rate of the Tranche B Notes will automatically increase to the Default Rate upon the occurrence and continuance of an event of default. We are also required to pay a late charge of 15.0% on any amount of principal or other amounts that are not paid when due (solely to the extent such amounts are not then accruing interest at the Default Rate).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39" w:firstLine="344"/>
        <w:spacing w:after="0" w:line="259" w:lineRule="auto"/>
        <w:rPr>
          <w:sz w:val="20"/>
          <w:szCs w:val="20"/>
          <w:color w:val="auto"/>
        </w:rPr>
      </w:pPr>
      <w:r>
        <w:rPr>
          <w:rFonts w:ascii="Times New Roman" w:cs="Times New Roman" w:eastAsia="Times New Roman" w:hAnsi="Times New Roman"/>
          <w:sz w:val="14"/>
          <w:szCs w:val="14"/>
          <w:color w:val="auto"/>
        </w:rPr>
        <w:t>The Tranche B Notes prohibit us from entering into specified fundamental transactions unless the successor entity assumes all of our obligations under the Tranche B Notes under a written agreement approved by 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As noted above, the holders of the Tranche B Notes have certain redemption rights upon a fundamental transaction constituting a change of control.</w:t>
      </w:r>
    </w:p>
    <w:p>
      <w:pPr>
        <w:spacing w:after="0" w:line="143" w:lineRule="exact"/>
        <w:rPr>
          <w:sz w:val="20"/>
          <w:szCs w:val="20"/>
          <w:color w:val="auto"/>
        </w:rPr>
      </w:pPr>
    </w:p>
    <w:p>
      <w:pPr>
        <w:jc w:val="both"/>
        <w:ind w:left="1340" w:right="419" w:firstLine="344"/>
        <w:spacing w:after="0" w:line="262" w:lineRule="auto"/>
        <w:rPr>
          <w:sz w:val="20"/>
          <w:szCs w:val="20"/>
          <w:color w:val="auto"/>
        </w:rPr>
      </w:pPr>
      <w:r>
        <w:rPr>
          <w:rFonts w:ascii="Times New Roman" w:cs="Times New Roman" w:eastAsia="Times New Roman" w:hAnsi="Times New Roman"/>
          <w:sz w:val="14"/>
          <w:szCs w:val="14"/>
          <w:color w:val="auto"/>
        </w:rPr>
        <w:t>In connection with any amortization, certain redemptions or other repayment of the Tranche B Notes, we shall also pay an amount equal to the amount of additional interest that would accrue under such Tranche B Notes at the interest rate then in effect assuming that the amount so converted, redeemed, amortized or otherwise repaid on such date of determination instead remained outstanding through and including the maturity date of such Tranche B Notes.</w:t>
      </w:r>
    </w:p>
    <w:p>
      <w:pPr>
        <w:spacing w:after="0" w:line="140" w:lineRule="exact"/>
        <w:rPr>
          <w:sz w:val="20"/>
          <w:szCs w:val="20"/>
          <w:color w:val="auto"/>
        </w:rPr>
      </w:pPr>
    </w:p>
    <w:p>
      <w:pPr>
        <w:ind w:left="1340" w:right="359" w:firstLine="344"/>
        <w:spacing w:after="0" w:line="284"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Tranche B Notes do not purport to be complete and are qualified in their entirety by reference to the copies of the forms of Tranche B Notes that are filed as an exhibit to the registration statement of which this prospectus forms a part.</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December 2024 Warrants</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On December 11, 2024, we entered into the December 2024 RDO Purchase Agreement, pursuant to which we sold, in a registered direct offering,</w:t>
      </w:r>
    </w:p>
    <w:p>
      <w:pPr>
        <w:spacing w:after="0" w:line="22" w:lineRule="exact"/>
        <w:rPr>
          <w:sz w:val="20"/>
          <w:szCs w:val="20"/>
          <w:color w:val="auto"/>
        </w:rPr>
      </w:pPr>
    </w:p>
    <w:p>
      <w:pPr>
        <w:ind w:left="1340" w:right="219" w:firstLine="3"/>
        <w:spacing w:after="0" w:line="254" w:lineRule="auto"/>
        <w:tabs>
          <w:tab w:leader="none" w:pos="150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aggregate of 753,009 shares of Common Stock, (ii) the December 2024 RDO Pre-Funded Warrants to purchase up to 68,604 shares of Common Stock, with an exercise price of $22.72 per share, (iii) the December 2024 RDO Common Warrants to purchase up to 1,642,871 shares of Common Stock, issued to the investors, with an exercise price of $22.72 per share, and (iv) the StockBlock Warrants to purchase up to 131,472 shares of Common Stock, issued to StockBlock, with an exercise price of $25.81 per share (together with the December 2024 RDO Common Warrants, the “December 2024 Warrants”).</w:t>
      </w:r>
    </w:p>
    <w:p>
      <w:pPr>
        <w:spacing w:after="0" w:line="146" w:lineRule="exact"/>
        <w:rPr>
          <w:sz w:val="20"/>
          <w:szCs w:val="20"/>
          <w:color w:val="auto"/>
        </w:rPr>
      </w:pPr>
    </w:p>
    <w:p>
      <w:pPr>
        <w:ind w:left="1340" w:right="219" w:firstLine="344"/>
        <w:spacing w:after="0" w:line="284" w:lineRule="auto"/>
        <w:rPr>
          <w:sz w:val="20"/>
          <w:szCs w:val="20"/>
          <w:color w:val="auto"/>
        </w:rPr>
      </w:pPr>
      <w:r>
        <w:rPr>
          <w:rFonts w:ascii="Times New Roman" w:cs="Times New Roman" w:eastAsia="Times New Roman" w:hAnsi="Times New Roman"/>
          <w:sz w:val="14"/>
          <w:szCs w:val="14"/>
          <w:color w:val="auto"/>
        </w:rPr>
        <w:t>As of April 30, 2026, there were 668,770 December 2024 Warrants that remain outstanding. All of the December 2024 RDO Pre-Funded Warrants have been exercised.</w:t>
      </w:r>
    </w:p>
    <w:p>
      <w:pPr>
        <w:spacing w:after="0" w:line="125" w:lineRule="exact"/>
        <w:rPr>
          <w:sz w:val="20"/>
          <w:szCs w:val="20"/>
          <w:color w:val="auto"/>
        </w:rPr>
      </w:pPr>
    </w:p>
    <w:p>
      <w:pPr>
        <w:ind w:left="1340" w:right="419" w:firstLine="344"/>
        <w:spacing w:after="0" w:line="268" w:lineRule="auto"/>
        <w:rPr>
          <w:sz w:val="20"/>
          <w:szCs w:val="20"/>
          <w:color w:val="auto"/>
        </w:rPr>
      </w:pPr>
      <w:r>
        <w:rPr>
          <w:rFonts w:ascii="Times New Roman" w:cs="Times New Roman" w:eastAsia="Times New Roman" w:hAnsi="Times New Roman"/>
          <w:sz w:val="14"/>
          <w:szCs w:val="14"/>
          <w:color w:val="auto"/>
        </w:rPr>
        <w:t>The December 2024 RDO Common Warrants, subject to certain ownership limitations, become exercisable on the six month anniversary of the date of issuance and one half of the December 2024 RDO Common Warrants have a term that expires five years from the date of issuance and the remaining one-half of such December 2024 RDO Common Warrants have a term that expires two and one-half years from the date of issuance.</w:t>
      </w:r>
    </w:p>
    <w:p>
      <w:pPr>
        <w:spacing w:after="0" w:line="135" w:lineRule="exact"/>
        <w:rPr>
          <w:sz w:val="20"/>
          <w:szCs w:val="20"/>
          <w:color w:val="auto"/>
        </w:rPr>
      </w:pPr>
    </w:p>
    <w:p>
      <w:pPr>
        <w:ind w:left="1340" w:right="379" w:firstLine="344"/>
        <w:spacing w:after="0" w:line="268" w:lineRule="auto"/>
        <w:rPr>
          <w:sz w:val="20"/>
          <w:szCs w:val="20"/>
          <w:color w:val="auto"/>
        </w:rPr>
      </w:pPr>
      <w:r>
        <w:rPr>
          <w:rFonts w:ascii="Times New Roman" w:cs="Times New Roman" w:eastAsia="Times New Roman" w:hAnsi="Times New Roman"/>
          <w:sz w:val="14"/>
          <w:szCs w:val="14"/>
          <w:color w:val="auto"/>
        </w:rPr>
        <w:t>The StockBlock Warrants are exercisable on the six-month anniversary of the date of issuance and one half of the StockBlock Warrants have a term that expires five years from the commencement of sales in the offering and the remaining one-half of such StockBlock Warrants have a term that expires on the date that is two and one-half years from the date of issuance.</w:t>
      </w:r>
    </w:p>
    <w:p>
      <w:pPr>
        <w:spacing w:after="0" w:line="135" w:lineRule="exact"/>
        <w:rPr>
          <w:sz w:val="20"/>
          <w:szCs w:val="20"/>
          <w:color w:val="auto"/>
        </w:rPr>
      </w:pPr>
    </w:p>
    <w:p>
      <w:pPr>
        <w:ind w:left="1340" w:right="279" w:firstLine="344"/>
        <w:spacing w:after="0" w:line="258" w:lineRule="auto"/>
        <w:rPr>
          <w:sz w:val="20"/>
          <w:szCs w:val="20"/>
          <w:color w:val="auto"/>
        </w:rPr>
      </w:pPr>
      <w:r>
        <w:rPr>
          <w:rFonts w:ascii="Times New Roman" w:cs="Times New Roman" w:eastAsia="Times New Roman" w:hAnsi="Times New Roman"/>
          <w:sz w:val="14"/>
          <w:szCs w:val="14"/>
          <w:color w:val="auto"/>
        </w:rPr>
        <w:t>The exercise price of the December 2024 Warrants is subject to certain adjustments, including stock dividends, stock splits, combinations and reclassifications of the Common Stock. A holder (together with its affiliates) may not exercise any portion of the December 2024 Warrants to the extent that the holder would own more than 4.99% (or, at the holder’s option upon issuance, 9.99%) of the outstanding shares of Common Stock immediately after exercise (the “December 2024 RDO Beneficial Ownership Limitation”). However, upon at least 61 days’ prior notice from the holder to the Company, a holder may increase or decrease the December 2024 RDO Beneficial Ownership Limitation in accordance with the terms of the December 2024 RDO Warrant, provided that it does not exceed 9.99%.</w:t>
      </w:r>
    </w:p>
    <w:p>
      <w:pPr>
        <w:spacing w:after="0" w:line="142" w:lineRule="exact"/>
        <w:rPr>
          <w:sz w:val="20"/>
          <w:szCs w:val="20"/>
          <w:color w:val="auto"/>
        </w:rPr>
      </w:pPr>
    </w:p>
    <w:p>
      <w:pPr>
        <w:ind w:left="1340" w:right="51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December 2024 Warrants do not purport to be complete and are qualified in their entirety by reference to the copies of the forms of December 2024 Warrants that are filed as an exhibit to the registration statement of which this prospectus forms a part.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Exchange Warrants</w:t>
      </w:r>
    </w:p>
    <w:p>
      <w:pPr>
        <w:spacing w:after="0" w:line="94" w:lineRule="exact"/>
        <w:rPr>
          <w:sz w:val="20"/>
          <w:szCs w:val="20"/>
          <w:color w:val="auto"/>
        </w:rPr>
      </w:pPr>
    </w:p>
    <w:p>
      <w:pPr>
        <w:ind w:left="1340" w:right="279" w:firstLine="344"/>
        <w:spacing w:after="0" w:line="256" w:lineRule="auto"/>
        <w:rPr>
          <w:sz w:val="20"/>
          <w:szCs w:val="20"/>
          <w:color w:val="auto"/>
        </w:rPr>
      </w:pPr>
      <w:r>
        <w:rPr>
          <w:rFonts w:ascii="Times New Roman" w:cs="Times New Roman" w:eastAsia="Times New Roman" w:hAnsi="Times New Roman"/>
          <w:sz w:val="14"/>
          <w:szCs w:val="14"/>
          <w:color w:val="auto"/>
        </w:rPr>
        <w:t>On July 22, 2025, the Company entered into Warrant Exchange Agreements with each Tranche B Investor (copies of which are filed as an exhibit to the registration statement of which this prospectus forms a part) pursuant to which, at the closing of the transactions contemplated thereby and in reliance on the exemption from registration provided by Section 3(a)(9) of the Securities Act, the Tranche B Investors surrendered their October 2024 Warrants, then exercisable for an aggregate of 107,142 shares of Common Stock, in exchange for the Exchange Warrants exercisable for an aggregate amount of 500,000 shares of Common Stock. The Exchange Warrants were issued on July 28, 2025 and were exercisable immediately upon issuance, having an exercise price of $40.00 per share (subject to adjustment as described below). As of April 30, 2026, Exchange Warrants exercisable for an aggregate of 500,000 shares of Common Stock remain outstanding.</w:t>
      </w:r>
    </w:p>
    <w:p>
      <w:pPr>
        <w:spacing w:after="0" w:line="147" w:lineRule="exact"/>
        <w:rPr>
          <w:sz w:val="20"/>
          <w:szCs w:val="20"/>
          <w:color w:val="auto"/>
        </w:rPr>
      </w:pPr>
    </w:p>
    <w:p>
      <w:pPr>
        <w:ind w:left="1340" w:right="239" w:firstLine="344"/>
        <w:spacing w:after="0" w:line="255" w:lineRule="auto"/>
        <w:rPr>
          <w:sz w:val="20"/>
          <w:szCs w:val="20"/>
          <w:color w:val="auto"/>
        </w:rPr>
      </w:pPr>
      <w:r>
        <w:rPr>
          <w:rFonts w:ascii="Times New Roman" w:cs="Times New Roman" w:eastAsia="Times New Roman" w:hAnsi="Times New Roman"/>
          <w:sz w:val="14"/>
          <w:szCs w:val="14"/>
          <w:color w:val="auto"/>
        </w:rPr>
        <w:t>The terms of the Exchange Warrants are generally identical to the terms of the October 2024 Warrants, other than with respect to the number of shares issuable upon exercise thereof and the Exercise Price and certain other matters. The Exercise Price of the Exchange Warrants is subject to adjustment for any stock split, stock dividend, stock combination, recapitalization or similar event. The Exercise Price is also subject to full-ratchet adjustment (down to the Exercise Price Floor (as defined below)) in connection with a subsequent offering at a per share price less than the exercise price then in effect. The Exchange Warrants also permit a voluntary adjustment to the Exercise Price, subject to certain conditions set forth therein, including compliance with the listing rules of The Nasdaq Stock Market LLC (“Nasdaq”) and having obtained the prior written consent of the required holders as described therein. The Exercise Price cannot be lower than $36.40 per share (as adjusted for stock splits, stock dividends, stock combinations, recapitalizations and similar events, the “Exercise Price Floor”), unless shareholder approval is obtained to allow the Exchange Warrants to be exercised at a price lower than the Exercise Price Floor in accordance with the listing rules of Nasdaq. The Company is under no obligation to seek or obtain such shareholder approval.</w:t>
      </w:r>
    </w:p>
    <w:p>
      <w:pPr>
        <w:spacing w:after="0" w:line="145" w:lineRule="exact"/>
        <w:rPr>
          <w:sz w:val="20"/>
          <w:szCs w:val="20"/>
          <w:color w:val="auto"/>
        </w:rPr>
      </w:pPr>
    </w:p>
    <w:p>
      <w:pPr>
        <w:ind w:left="1340" w:right="259" w:firstLine="344"/>
        <w:spacing w:after="0" w:line="259" w:lineRule="auto"/>
        <w:rPr>
          <w:sz w:val="20"/>
          <w:szCs w:val="20"/>
          <w:color w:val="auto"/>
        </w:rPr>
      </w:pPr>
      <w:r>
        <w:rPr>
          <w:rFonts w:ascii="Times New Roman" w:cs="Times New Roman" w:eastAsia="Times New Roman" w:hAnsi="Times New Roman"/>
          <w:sz w:val="14"/>
          <w:szCs w:val="14"/>
          <w:color w:val="auto"/>
        </w:rPr>
        <w:t>A holder of an Exchange Warrant shall not have the right to exercise any portion of an Exchange Warrant to the extent that, after giving effect to such exercise, the holder (together with certain related parties) would beneficially own in excess of 4.99% (the “Exchange Warrants Maximum Percentage”) of shares of Common Stock outstanding immediately after giving effect to such exercise. The Exchange Warrants Maximum Percentage may be raised or lowered to any other percentage not in excess of 9.99%, at the option of the holder, except that any increase will only be effective upon 61 days’ prior notice to the Company.</w:t>
      </w:r>
    </w:p>
    <w:p>
      <w:pPr>
        <w:spacing w:after="0" w:line="143"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The Exchange Warrants prohibit the Company from entering into specified fundamental transactions unless the successor entity (subject to certain exceptions) assumes all of the Company’s obligations under the Exchange Warrants under a written agreement before the transaction is completed. Upon specified corporate events, an Exchange Warrant holder will thereafter have the right to receive upon an exercise such shares, securities, cash, assets or any other property whatsoever which the holder would have been entitled to receive upon the happening of the applicable corporate event had the Exchange Warrant been exercised immediately prior to the applicable corporate event. When there is a transaction involving specified changes of control, holders of Exchange Warrants will have the right to force the Company to repurchase such holder’s Exchange Warrant for a purchase price in cash equal to the Black Scholes value, as calculated under the Exchange Warrants, of the then unexercised portion of the Exchange Warrant.</w:t>
      </w:r>
    </w:p>
    <w:p>
      <w:pPr>
        <w:spacing w:after="0" w:line="147" w:lineRule="exact"/>
        <w:rPr>
          <w:sz w:val="20"/>
          <w:szCs w:val="20"/>
          <w:color w:val="auto"/>
        </w:rPr>
      </w:pPr>
    </w:p>
    <w:p>
      <w:pPr>
        <w:ind w:left="1340" w:right="399" w:firstLine="344"/>
        <w:spacing w:after="0" w:line="284" w:lineRule="auto"/>
        <w:rPr>
          <w:sz w:val="20"/>
          <w:szCs w:val="20"/>
          <w:color w:val="auto"/>
        </w:rPr>
      </w:pPr>
      <w:r>
        <w:rPr>
          <w:rFonts w:ascii="Times New Roman" w:cs="Times New Roman" w:eastAsia="Times New Roman" w:hAnsi="Times New Roman"/>
          <w:sz w:val="14"/>
          <w:szCs w:val="14"/>
          <w:color w:val="auto"/>
        </w:rPr>
        <w:t>The foregoing summary of the terms and conditions of the Exchange Warrants does not purport to be complete and is qualified in its entirety by reference to the copy of the form of Exchange Warrant that is filed as an exhibit to the registration statement of which this prospectus forms a part.</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September 2025 Warrants</w:t>
      </w:r>
    </w:p>
    <w:p>
      <w:pPr>
        <w:spacing w:after="0" w:line="94" w:lineRule="exact"/>
        <w:rPr>
          <w:sz w:val="20"/>
          <w:szCs w:val="20"/>
          <w:color w:val="auto"/>
        </w:rPr>
      </w:pPr>
    </w:p>
    <w:p>
      <w:pPr>
        <w:ind w:left="1340" w:right="359" w:firstLine="344"/>
        <w:spacing w:after="0" w:line="268" w:lineRule="auto"/>
        <w:rPr>
          <w:sz w:val="20"/>
          <w:szCs w:val="20"/>
          <w:color w:val="auto"/>
        </w:rPr>
      </w:pPr>
      <w:r>
        <w:rPr>
          <w:rFonts w:ascii="Times New Roman" w:cs="Times New Roman" w:eastAsia="Times New Roman" w:hAnsi="Times New Roman"/>
          <w:sz w:val="14"/>
          <w:szCs w:val="14"/>
          <w:color w:val="auto"/>
        </w:rPr>
        <w:t>On September 30, 2025, we entered into Warrant Exercise Agreements with the September 2025 Warrant Holders. Pursuant to the Warrant Exercise Agreement, the September 2025 Warrant Holders exercised in full their respective December 2024 RDO Common Warrants originally issued to the September 2025 Warrant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39"/>
        <w:spacing w:after="0" w:line="259" w:lineRule="auto"/>
        <w:rPr>
          <w:sz w:val="20"/>
          <w:szCs w:val="20"/>
          <w:color w:val="auto"/>
        </w:rPr>
      </w:pPr>
      <w:r>
        <w:rPr>
          <w:rFonts w:ascii="Times New Roman" w:cs="Times New Roman" w:eastAsia="Times New Roman" w:hAnsi="Times New Roman"/>
          <w:sz w:val="14"/>
          <w:szCs w:val="14"/>
          <w:color w:val="auto"/>
        </w:rPr>
        <w:t>Holders pursuant to the December 2024 RDO Purchase Agreement for an aggregate of 179,236 shares of Common Stock and deferred, for a deferral fee of $7.72 per share being exercised, their right to receive an amortization payment scheduled to be paid by the Company on October 1, 2025 as set forth in the amortization schedule included in Tranche B Note issued to, among others, each September 2025 Warrant Holder in exchange for the Company’s agreement to issue the September 2025 Warrants. As of April 30, 2026, there are September 2025 Warrants exercisable for an aggregate of 275,000 shares of Common Stock that remain outstanding.</w:t>
      </w:r>
    </w:p>
    <w:p>
      <w:pPr>
        <w:spacing w:after="0" w:line="143" w:lineRule="exact"/>
        <w:rPr>
          <w:sz w:val="20"/>
          <w:szCs w:val="20"/>
          <w:color w:val="auto"/>
        </w:rPr>
      </w:pPr>
    </w:p>
    <w:p>
      <w:pPr>
        <w:ind w:left="1340" w:right="299" w:firstLine="344"/>
        <w:spacing w:after="0" w:line="262" w:lineRule="auto"/>
        <w:rPr>
          <w:sz w:val="20"/>
          <w:szCs w:val="20"/>
          <w:color w:val="auto"/>
        </w:rPr>
      </w:pPr>
      <w:r>
        <w:rPr>
          <w:rFonts w:ascii="Times New Roman" w:cs="Times New Roman" w:eastAsia="Times New Roman" w:hAnsi="Times New Roman"/>
          <w:sz w:val="14"/>
          <w:szCs w:val="14"/>
          <w:color w:val="auto"/>
        </w:rPr>
        <w:t>The September 2025 Warrants are exercisable immediately from the date of issuance and expire on December 13, 2029. The exercise price of the September 2025 Warrants is $20.00 per share, subject to adjustment for any stock split, stock dividend, stock combination, recapitalization or similar event, and is also subject to full-ratchet adjustment in connection with a subsequent offering at a per share price less than the exercise price then in effect.</w:t>
      </w:r>
    </w:p>
    <w:p>
      <w:pPr>
        <w:spacing w:after="0" w:line="140" w:lineRule="exact"/>
        <w:rPr>
          <w:sz w:val="20"/>
          <w:szCs w:val="20"/>
          <w:color w:val="auto"/>
        </w:rPr>
      </w:pPr>
    </w:p>
    <w:p>
      <w:pPr>
        <w:ind w:left="1340" w:right="319" w:firstLine="344"/>
        <w:spacing w:after="0" w:line="262" w:lineRule="auto"/>
        <w:rPr>
          <w:sz w:val="20"/>
          <w:szCs w:val="20"/>
          <w:color w:val="auto"/>
        </w:rPr>
      </w:pPr>
      <w:r>
        <w:rPr>
          <w:rFonts w:ascii="Times New Roman" w:cs="Times New Roman" w:eastAsia="Times New Roman" w:hAnsi="Times New Roman"/>
          <w:sz w:val="14"/>
          <w:szCs w:val="14"/>
          <w:color w:val="auto"/>
        </w:rPr>
        <w:t>A holder shall not have the right to exercise any portion of a September 2025 Warrant to the extent that, after giving effect to such exercise, the holder (together with certain related parties) would beneficially own in excess of 4.99% of shares of Common Stock outstanding immediately after giving effect to such exercise. Such maximum percentage may be raised or lowered to any other percentage not in excess of 9.99%, at the option of the holder, except that any increase will only be effective upon 61 days’ prior notice to the Company.</w:t>
      </w:r>
    </w:p>
    <w:p>
      <w:pPr>
        <w:spacing w:after="0" w:line="140" w:lineRule="exact"/>
        <w:rPr>
          <w:sz w:val="20"/>
          <w:szCs w:val="20"/>
          <w:color w:val="auto"/>
        </w:rPr>
      </w:pPr>
    </w:p>
    <w:p>
      <w:pPr>
        <w:ind w:left="1340" w:right="23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September 2025 Warrants do not purport to be complete and are qualified in their entirety by reference to the copies of the form of September 2025 Warrant that is filed as an exhibit to the registration statement of which this prospectus forms a part.</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November 2025 Warrants</w:t>
      </w:r>
    </w:p>
    <w:p>
      <w:pPr>
        <w:spacing w:after="0" w:line="94" w:lineRule="exact"/>
        <w:rPr>
          <w:sz w:val="20"/>
          <w:szCs w:val="20"/>
          <w:color w:val="auto"/>
        </w:rPr>
      </w:pPr>
    </w:p>
    <w:p>
      <w:pPr>
        <w:ind w:left="1340" w:right="459" w:firstLine="344"/>
        <w:spacing w:after="0" w:line="281" w:lineRule="auto"/>
        <w:rPr>
          <w:sz w:val="20"/>
          <w:szCs w:val="20"/>
          <w:color w:val="auto"/>
        </w:rPr>
      </w:pPr>
      <w:r>
        <w:rPr>
          <w:rFonts w:ascii="Times New Roman" w:cs="Times New Roman" w:eastAsia="Times New Roman" w:hAnsi="Times New Roman"/>
          <w:sz w:val="13"/>
          <w:szCs w:val="13"/>
          <w:color w:val="auto"/>
        </w:rPr>
        <w:t>On November 23, 2025, we entered into the Warrant Inducement Agreement with the Exercising Investor. Pursuant to the Warrant Inducement Agreement, the Exercising Investor exercised (i) an April 2024 RDO Common Warrant issued to the Exercising Investor pursuant to the April 2024 RDO Purchase Agreement, which was exercisable for 428,572 shares and had an exercise price of $38.50 per share and (ii) a December 2024 RDO Common Warrant issued to the Exercising Investor pursuant to the December 2024 RDO Purchase Agreement, which was exercisable for 475,824 shares and had an exercise price of $22.72 per share. As consideration for the Exercise, we agreed to (A) reduce the exercise price of the foregoing warrants exercised by the Exercising Investor to $22.51 per share and (B) issue to the Exercising Investor the November 2025 Investor Warrant.</w:t>
      </w:r>
    </w:p>
    <w:p>
      <w:pPr>
        <w:spacing w:after="0" w:line="130" w:lineRule="exact"/>
        <w:rPr>
          <w:sz w:val="20"/>
          <w:szCs w:val="20"/>
          <w:color w:val="auto"/>
        </w:rPr>
      </w:pPr>
    </w:p>
    <w:p>
      <w:pPr>
        <w:ind w:left="1340" w:right="319" w:firstLine="344"/>
        <w:spacing w:after="0" w:line="262" w:lineRule="auto"/>
        <w:rPr>
          <w:sz w:val="20"/>
          <w:szCs w:val="20"/>
          <w:color w:val="auto"/>
        </w:rPr>
      </w:pPr>
      <w:r>
        <w:rPr>
          <w:rFonts w:ascii="Times New Roman" w:cs="Times New Roman" w:eastAsia="Times New Roman" w:hAnsi="Times New Roman"/>
          <w:sz w:val="14"/>
          <w:szCs w:val="14"/>
          <w:color w:val="auto"/>
        </w:rPr>
        <w:t>The November 2025 Investor Warrant is exercisable immediately from the date of issuance and expires five years from the issuance date. The exercise price of the November 2025 Investor Warrant is $29.00 per share, subject to adjustment for any stock split, stock dividend, stock combination, recapitalization or similar event, and is also subject to full-ratchet adjustment in connection with a subsequent offering at a per share price less than the exercise price then in effect.</w:t>
      </w:r>
    </w:p>
    <w:p>
      <w:pPr>
        <w:spacing w:after="0" w:line="140"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A holder shall not have the right to exercise any portion of the November 2025 Investor Warrant to the extent that, after giving effect to such exercise, the holder (together with certain related parties) would beneficially own in excess of 4.99% of shares of Common Stock outstanding immediately after giving effect to such exercise. Such maximum percentage may be raised or lowered to any other percentage not in excess of 9.99%, at the option of the holder, except that any increase will only be effective upon 61 days’ prior notice to the Company.</w:t>
      </w:r>
    </w:p>
    <w:p>
      <w:pPr>
        <w:spacing w:after="0" w:line="140" w:lineRule="exact"/>
        <w:rPr>
          <w:sz w:val="20"/>
          <w:szCs w:val="20"/>
          <w:color w:val="auto"/>
        </w:rPr>
      </w:pPr>
    </w:p>
    <w:p>
      <w:pPr>
        <w:ind w:left="1340" w:right="219" w:firstLine="344"/>
        <w:spacing w:after="0" w:line="262" w:lineRule="auto"/>
        <w:rPr>
          <w:sz w:val="20"/>
          <w:szCs w:val="20"/>
          <w:color w:val="auto"/>
        </w:rPr>
      </w:pPr>
      <w:r>
        <w:rPr>
          <w:rFonts w:ascii="Times New Roman" w:cs="Times New Roman" w:eastAsia="Times New Roman" w:hAnsi="Times New Roman"/>
          <w:sz w:val="14"/>
          <w:szCs w:val="14"/>
          <w:color w:val="auto"/>
        </w:rPr>
        <w:t>In connection with the Exercise, we issued to StockBlock and its affiliate, Rodman &amp; Renshaw LLC or their respective designees, the November 2025 Placement Agent Warrants. The November 2025 Placement Agent Warrants have the same terms as the November 2025 Warrants described above. As of April 30, 2026, the November 2025 Investor Warrant exercisable for an aggregate of 1,356,594 shares of Common Stock and November 2025 Placement Agent Warrants exercisable for an aggregate of 72,352 shares of Common Stock are outstanding.</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37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summaries of the terms and conditions of the November 2025 Warrants do not purport to be complete and are qualified in their entirety by reference to the copies of the forms of November 2025 Investor Warrant and November 2025 Placement Agent Warrant that are filed as an exhibit to the registration statement of which this prospectus forms a part.</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February 2026 Warrant</w:t>
      </w:r>
    </w:p>
    <w:p>
      <w:pPr>
        <w:spacing w:after="0" w:line="94"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On February 19, 2026, we entered into the Oramed Warrant Agreement with Oramed. Pursuant to the Oramed Warrant Agreement, Oramed deferred its right to receive an amortization payment scheduled to be paid by the Company on October 1, 2025 as set forth in the amortization schedule included in Tranche B Note issued to Oramed in exchange for the Company’s agreement to issue the February 2026 Warrant. As of April 30, 2026, there is a February 2026 Warrant exercisable for an aggregate of 100,000 shares of Common Stock that remains outstanding.</w:t>
      </w:r>
    </w:p>
    <w:p>
      <w:pPr>
        <w:spacing w:after="0" w:line="140" w:lineRule="exact"/>
        <w:rPr>
          <w:sz w:val="20"/>
          <w:szCs w:val="20"/>
          <w:color w:val="auto"/>
        </w:rPr>
      </w:pPr>
    </w:p>
    <w:p>
      <w:pPr>
        <w:ind w:left="1340" w:right="219" w:firstLine="344"/>
        <w:spacing w:after="0" w:line="259" w:lineRule="auto"/>
        <w:rPr>
          <w:sz w:val="20"/>
          <w:szCs w:val="20"/>
          <w:color w:val="auto"/>
        </w:rPr>
      </w:pPr>
      <w:r>
        <w:rPr>
          <w:rFonts w:ascii="Times New Roman" w:cs="Times New Roman" w:eastAsia="Times New Roman" w:hAnsi="Times New Roman"/>
          <w:sz w:val="14"/>
          <w:szCs w:val="14"/>
          <w:color w:val="auto"/>
        </w:rPr>
        <w:t>The February 2026 Warrant was exercisable immediately from the date of issuance and expires on December 13, 2029. The exercise price of the February 2026 Warrant is $20.00 per share, subject to adjustment for any stock split, stock dividend, stock combination, recapitalization or similar event, and is also subject to full-ratchet adjustment in connection with a subsequent offering at a per share price less than the exercise price then in effect, provided that such exercise price cannot be lower than $8.22 per share (as adjusted for stock splits, stock dividends, stock combinations, recapitalizations and similar events).</w:t>
      </w:r>
    </w:p>
    <w:p>
      <w:pPr>
        <w:spacing w:after="0" w:line="143" w:lineRule="exact"/>
        <w:rPr>
          <w:sz w:val="20"/>
          <w:szCs w:val="20"/>
          <w:color w:val="auto"/>
        </w:rPr>
      </w:pPr>
    </w:p>
    <w:p>
      <w:pPr>
        <w:ind w:left="1340" w:right="319" w:firstLine="344"/>
        <w:spacing w:after="0" w:line="262" w:lineRule="auto"/>
        <w:rPr>
          <w:sz w:val="20"/>
          <w:szCs w:val="20"/>
          <w:color w:val="auto"/>
        </w:rPr>
      </w:pPr>
      <w:r>
        <w:rPr>
          <w:rFonts w:ascii="Times New Roman" w:cs="Times New Roman" w:eastAsia="Times New Roman" w:hAnsi="Times New Roman"/>
          <w:sz w:val="14"/>
          <w:szCs w:val="14"/>
          <w:color w:val="auto"/>
        </w:rPr>
        <w:t>A holder shall not have the right to exercise any portion of the February 2026 Warrant to the extent that, after giving effect to such exercise, the holder (together with certain related parties) would beneficially own in excess of 4.99% of shares of Common Stock outstanding immediately after giving effect to such exercise. Such maximum percentage may be raised or lowered to any other percentage not in excess of 9.99%, at the option of the holder, except that any increase will only be effective upon 61 days’ prior notice to the Company.</w:t>
      </w:r>
    </w:p>
    <w:p>
      <w:pPr>
        <w:spacing w:after="0" w:line="140" w:lineRule="exact"/>
        <w:rPr>
          <w:sz w:val="20"/>
          <w:szCs w:val="20"/>
          <w:color w:val="auto"/>
        </w:rPr>
      </w:pPr>
    </w:p>
    <w:p>
      <w:pPr>
        <w:jc w:val="both"/>
        <w:ind w:left="1340" w:right="359" w:firstLine="344"/>
        <w:spacing w:after="0" w:line="268" w:lineRule="auto"/>
        <w:rPr>
          <w:sz w:val="20"/>
          <w:szCs w:val="20"/>
          <w:color w:val="auto"/>
        </w:rPr>
      </w:pPr>
      <w:r>
        <w:rPr>
          <w:rFonts w:ascii="Times New Roman" w:cs="Times New Roman" w:eastAsia="Times New Roman" w:hAnsi="Times New Roman"/>
          <w:sz w:val="14"/>
          <w:szCs w:val="14"/>
          <w:color w:val="auto"/>
        </w:rPr>
        <w:t>The foregoing summary of the terms and conditions of the February 2026 Warrant does not purport to be complete and is qualified in its entirety by reference to the copy of the form of February 2026 Warrant that is filed as an exhibit to the registration statement of which this prospectus forms a part.</w:t>
      </w:r>
    </w:p>
    <w:p>
      <w:pPr>
        <w:spacing w:after="0" w:line="21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340" w:right="459" w:firstLine="344"/>
        <w:spacing w:after="0" w:line="284"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Continental Stock Transfer &amp; Trust Company. The transfer agent’s address is 1 State Street, 30th Floor, New York, New York 10004.</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4" w:lineRule="exact"/>
        <w:rPr>
          <w:sz w:val="20"/>
          <w:szCs w:val="20"/>
          <w:color w:val="auto"/>
        </w:rPr>
      </w:pPr>
    </w:p>
    <w:p>
      <w:pPr>
        <w:ind w:left="1340" w:right="879" w:firstLine="344"/>
        <w:spacing w:after="0" w:line="284" w:lineRule="auto"/>
        <w:rPr>
          <w:sz w:val="20"/>
          <w:szCs w:val="20"/>
          <w:color w:val="auto"/>
        </w:rPr>
      </w:pPr>
      <w:r>
        <w:rPr>
          <w:rFonts w:ascii="Times New Roman" w:cs="Times New Roman" w:eastAsia="Times New Roman" w:hAnsi="Times New Roman"/>
          <w:sz w:val="14"/>
          <w:szCs w:val="14"/>
          <w:color w:val="auto"/>
        </w:rPr>
        <w:t>Shares of our Common Stock and SPAC Warrants are listed on the Nasdaq Capital Market under the symbols “SCLX” and “SCLXW”, respectively.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validity of the securities being offered by this prospectus has been passed upon for us by Paul Hastings LLP, Palo Alto, California.</w:t>
      </w:r>
    </w:p>
    <w:p>
      <w:pPr>
        <w:spacing w:after="0" w:line="3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40" w:right="219" w:firstLine="344"/>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Scilex Holding Company as of December 31, 2025 and December 31, 2024, and for each of the two years in the period ended December 31, 2025, incorporated by reference in this prospectus, have been audited by BPM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incorporated by reference herein, and are so incorporated in reliance upon such report given on the authority of such firm as experts in accounting and auditing.</w:t>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40" w:right="419" w:firstLine="344"/>
        <w:spacing w:after="0" w:line="256" w:lineRule="auto"/>
        <w:rPr>
          <w:sz w:val="20"/>
          <w:szCs w:val="20"/>
          <w:color w:val="auto"/>
        </w:rPr>
      </w:pPr>
      <w:r>
        <w:rPr>
          <w:rFonts w:ascii="Times New Roman" w:cs="Times New Roman" w:eastAsia="Times New Roman" w:hAnsi="Times New Roman"/>
          <w:sz w:val="14"/>
          <w:szCs w:val="14"/>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being offered under this prospectus. This prospectus does not contain all of the information set forth in the registration statement and the exhibits to the registration statement. For further information with respect to us and the securities being offered under this prospectus, we refer you to the registration statement and the exhibits and schedules filed as a part of the registration statement. The SEC maintains an Internet site that contains reports, proxy and information statements, and other information regarding issuers that file electronically with the SEC, including Scilex Holding Company. The SEC’s Internet site can be found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340" w:right="359" w:firstLine="344"/>
        <w:spacing w:after="0" w:line="260"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www.scilexholding.com</w:t>
      </w:r>
      <w:r>
        <w:rPr>
          <w:rFonts w:ascii="Times New Roman" w:cs="Times New Roman" w:eastAsia="Times New Roman" w:hAnsi="Times New Roman"/>
          <w:sz w:val="14"/>
          <w:szCs w:val="14"/>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should not be relied upon in connection with making any decision with respect to an investment in our securities, and the inclusion of our website address in this prospectus is an inactive textual reference only.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8" w:lineRule="exact"/>
        <w:rPr>
          <w:sz w:val="20"/>
          <w:szCs w:val="20"/>
          <w:color w:val="auto"/>
        </w:rPr>
      </w:pPr>
    </w:p>
    <w:p>
      <w:pPr>
        <w:ind w:left="1340" w:right="419"/>
        <w:spacing w:after="0" w:line="268"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documents are incorporated by reference into this prospectus:</w:t>
      </w:r>
    </w:p>
    <w:p>
      <w:pPr>
        <w:spacing w:after="0" w:line="103" w:lineRule="exact"/>
        <w:rPr>
          <w:sz w:val="20"/>
          <w:szCs w:val="20"/>
          <w:color w:val="auto"/>
        </w:rPr>
      </w:pPr>
    </w:p>
    <w:p>
      <w:pPr>
        <w:ind w:left="1680" w:hanging="337"/>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8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April 10, 2026;</w:t>
      </w:r>
    </w:p>
    <w:p>
      <w:pPr>
        <w:spacing w:after="0" w:line="102" w:lineRule="exact"/>
        <w:rPr>
          <w:rFonts w:ascii="Times New Roman" w:cs="Times New Roman" w:eastAsia="Times New Roman" w:hAnsi="Times New Roman"/>
          <w:sz w:val="14"/>
          <w:szCs w:val="14"/>
          <w:color w:val="auto"/>
        </w:rPr>
      </w:pPr>
    </w:p>
    <w:p>
      <w:pPr>
        <w:ind w:left="1680" w:hanging="337"/>
        <w:spacing w:after="0"/>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88">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SEC on May 20, 2026;</w:t>
      </w:r>
    </w:p>
    <w:p>
      <w:pPr>
        <w:spacing w:after="0" w:line="102" w:lineRule="exact"/>
        <w:rPr>
          <w:rFonts w:ascii="Times New Roman" w:cs="Times New Roman" w:eastAsia="Times New Roman" w:hAnsi="Times New Roman"/>
          <w:sz w:val="14"/>
          <w:szCs w:val="14"/>
          <w:color w:val="auto"/>
        </w:rPr>
      </w:pPr>
    </w:p>
    <w:p>
      <w:pPr>
        <w:ind w:left="1680" w:right="419" w:hanging="337"/>
        <w:spacing w:after="0" w:line="284" w:lineRule="auto"/>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89">
        <w:r>
          <w:rPr>
            <w:rFonts w:ascii="Times New Roman" w:cs="Times New Roman" w:eastAsia="Times New Roman" w:hAnsi="Times New Roman"/>
            <w:sz w:val="14"/>
            <w:szCs w:val="14"/>
            <w:u w:val="single" w:color="auto"/>
            <w:color w:val="0000EE"/>
          </w:rPr>
          <w:t>February 2, 2026</w:t>
        </w:r>
      </w:hyperlink>
      <w:r>
        <w:rPr>
          <w:rFonts w:ascii="Times New Roman" w:cs="Times New Roman" w:eastAsia="Times New Roman" w:hAnsi="Times New Roman"/>
          <w:sz w:val="14"/>
          <w:szCs w:val="14"/>
          <w:color w:val="auto"/>
        </w:rPr>
        <w:t xml:space="preserve">, </w:t>
      </w:r>
      <w:hyperlink r:id="rId90">
        <w:r>
          <w:rPr>
            <w:rFonts w:ascii="Times New Roman" w:cs="Times New Roman" w:eastAsia="Times New Roman" w:hAnsi="Times New Roman"/>
            <w:sz w:val="14"/>
            <w:szCs w:val="14"/>
            <w:u w:val="single" w:color="auto"/>
            <w:color w:val="0000EE"/>
          </w:rPr>
          <w:t>February 3, 2026</w:t>
        </w:r>
      </w:hyperlink>
      <w:r>
        <w:rPr>
          <w:rFonts w:ascii="Times New Roman" w:cs="Times New Roman" w:eastAsia="Times New Roman" w:hAnsi="Times New Roman"/>
          <w:sz w:val="14"/>
          <w:szCs w:val="14"/>
          <w:color w:val="auto"/>
        </w:rPr>
        <w:t xml:space="preserve">, </w:t>
      </w:r>
      <w:hyperlink r:id="rId91">
        <w:r>
          <w:rPr>
            <w:rFonts w:ascii="Times New Roman" w:cs="Times New Roman" w:eastAsia="Times New Roman" w:hAnsi="Times New Roman"/>
            <w:sz w:val="14"/>
            <w:szCs w:val="14"/>
            <w:u w:val="single" w:color="auto"/>
            <w:color w:val="0000EE"/>
          </w:rPr>
          <w:t>February 20, 2026</w:t>
        </w:r>
      </w:hyperlink>
      <w:r>
        <w:rPr>
          <w:rFonts w:ascii="Times New Roman" w:cs="Times New Roman" w:eastAsia="Times New Roman" w:hAnsi="Times New Roman"/>
          <w:sz w:val="14"/>
          <w:szCs w:val="14"/>
          <w:color w:val="auto"/>
        </w:rPr>
        <w:t xml:space="preserve">, </w:t>
      </w:r>
      <w:hyperlink r:id="rId92">
        <w:r>
          <w:rPr>
            <w:rFonts w:ascii="Times New Roman" w:cs="Times New Roman" w:eastAsia="Times New Roman" w:hAnsi="Times New Roman"/>
            <w:sz w:val="14"/>
            <w:szCs w:val="14"/>
            <w:u w:val="single" w:color="auto"/>
            <w:color w:val="0000EE"/>
          </w:rPr>
          <w:t>April 28, 2026</w:t>
        </w:r>
      </w:hyperlink>
      <w:r>
        <w:rPr>
          <w:rFonts w:ascii="Times New Roman" w:cs="Times New Roman" w:eastAsia="Times New Roman" w:hAnsi="Times New Roman"/>
          <w:sz w:val="14"/>
          <w:szCs w:val="14"/>
          <w:color w:val="auto"/>
        </w:rPr>
        <w:t xml:space="preserve">, </w:t>
      </w:r>
      <w:hyperlink r:id="rId93">
        <w:r>
          <w:rPr>
            <w:rFonts w:ascii="Times New Roman" w:cs="Times New Roman" w:eastAsia="Times New Roman" w:hAnsi="Times New Roman"/>
            <w:sz w:val="14"/>
            <w:szCs w:val="14"/>
            <w:u w:val="single" w:color="auto"/>
            <w:color w:val="0000EE"/>
          </w:rPr>
          <w:t>May 5, 2026</w:t>
        </w:r>
      </w:hyperlink>
      <w:r>
        <w:rPr>
          <w:rFonts w:ascii="Times New Roman" w:cs="Times New Roman" w:eastAsia="Times New Roman" w:hAnsi="Times New Roman"/>
          <w:sz w:val="14"/>
          <w:szCs w:val="14"/>
          <w:color w:val="auto"/>
        </w:rPr>
        <w:t xml:space="preserve"> (excluding information under Item 7.01) and </w:t>
      </w:r>
      <w:hyperlink r:id="rId94">
        <w:r>
          <w:rPr>
            <w:rFonts w:ascii="Times New Roman" w:cs="Times New Roman" w:eastAsia="Times New Roman" w:hAnsi="Times New Roman"/>
            <w:sz w:val="14"/>
            <w:szCs w:val="14"/>
            <w:u w:val="single" w:color="auto"/>
            <w:color w:val="0000EE"/>
          </w:rPr>
          <w:t>May 11, 2026</w:t>
        </w:r>
      </w:hyperlink>
      <w:r>
        <w:rPr>
          <w:rFonts w:ascii="Times New Roman" w:cs="Times New Roman" w:eastAsia="Times New Roman" w:hAnsi="Times New Roman"/>
          <w:sz w:val="14"/>
          <w:szCs w:val="14"/>
          <w:color w:val="auto"/>
        </w:rPr>
        <w:t>; and</w:t>
      </w:r>
    </w:p>
    <w:p>
      <w:pPr>
        <w:spacing w:after="0" w:line="51" w:lineRule="exact"/>
        <w:rPr>
          <w:rFonts w:ascii="Times New Roman" w:cs="Times New Roman" w:eastAsia="Times New Roman" w:hAnsi="Times New Roman"/>
          <w:sz w:val="14"/>
          <w:szCs w:val="14"/>
          <w:color w:val="auto"/>
        </w:rPr>
      </w:pPr>
    </w:p>
    <w:p>
      <w:pPr>
        <w:ind w:left="1680" w:right="499" w:hanging="337"/>
        <w:spacing w:after="0" w:line="284" w:lineRule="auto"/>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Definitive Proxy Statement on Schedule 14A, filed with the SEC on </w:t>
      </w:r>
      <w:hyperlink r:id="rId95">
        <w:r>
          <w:rPr>
            <w:rFonts w:ascii="Times New Roman" w:cs="Times New Roman" w:eastAsia="Times New Roman" w:hAnsi="Times New Roman"/>
            <w:sz w:val="14"/>
            <w:szCs w:val="14"/>
            <w:u w:val="single" w:color="auto"/>
            <w:color w:val="0000EE"/>
          </w:rPr>
          <w:t>April 30, 2026</w:t>
        </w:r>
      </w:hyperlink>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jc w:val="both"/>
        <w:ind w:left="1680" w:right="219" w:hanging="337"/>
        <w:spacing w:after="0" w:line="262" w:lineRule="auto"/>
        <w:tabs>
          <w:tab w:leader="none" w:pos="16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96">
        <w:r>
          <w:rPr>
            <w:rFonts w:ascii="Times New Roman" w:cs="Times New Roman" w:eastAsia="Times New Roman" w:hAnsi="Times New Roman"/>
            <w:sz w:val="14"/>
            <w:szCs w:val="14"/>
            <w:u w:val="single" w:color="auto"/>
            <w:color w:val="0000EE"/>
          </w:rPr>
          <w:t>Exhibit 4.16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Annual Report on </w:t>
      </w:r>
      <w:hyperlink r:id="rId9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2024, filed with the SEC on March 31, 2025, which updates the description of our Common Stock contained in the Registration Statement on </w:t>
      </w:r>
      <w:hyperlink r:id="rId98">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(File No. 001-39852) filed with the SEC on January 6, 2021, pursuant to Section 12(b) of the Exchange Act , including any amendments or reports filed for the purpose of updating, amending, or otherwise modifying such description.</w:t>
      </w:r>
    </w:p>
    <w:p>
      <w:pPr>
        <w:spacing w:after="0" w:line="140" w:lineRule="exact"/>
        <w:rPr>
          <w:rFonts w:ascii="Times New Roman" w:cs="Times New Roman" w:eastAsia="Times New Roman" w:hAnsi="Times New Roman"/>
          <w:sz w:val="14"/>
          <w:szCs w:val="14"/>
          <w:color w:val="auto"/>
        </w:rPr>
      </w:pPr>
    </w:p>
    <w:p>
      <w:pPr>
        <w:ind w:left="1340" w:right="299"/>
        <w:spacing w:after="0" w:line="255" w:lineRule="auto"/>
        <w:rPr>
          <w:sz w:val="20"/>
          <w:szCs w:val="20"/>
          <w:color w:val="auto"/>
        </w:rPr>
      </w:pPr>
      <w:r>
        <w:rPr>
          <w:rFonts w:ascii="Times New Roman" w:cs="Times New Roman" w:eastAsia="Times New Roman" w:hAnsi="Times New Roman"/>
          <w:sz w:val="14"/>
          <w:szCs w:val="14"/>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forms a part, until we file a post-effective amendment that indicates the termination of the offering of the securities made by this prospectus and such future filings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47" w:lineRule="exact"/>
        <w:rPr>
          <w:rFonts w:ascii="Times New Roman" w:cs="Times New Roman" w:eastAsia="Times New Roman" w:hAnsi="Times New Roman"/>
          <w:sz w:val="14"/>
          <w:szCs w:val="14"/>
          <w:color w:val="auto"/>
        </w:rPr>
      </w:pPr>
    </w:p>
    <w:p>
      <w:pPr>
        <w:ind w:left="1340" w:right="399" w:firstLine="344"/>
        <w:spacing w:after="0" w:line="268" w:lineRule="auto"/>
        <w:rPr>
          <w:sz w:val="20"/>
          <w:szCs w:val="20"/>
          <w:color w:val="auto"/>
        </w:rPr>
      </w:pPr>
      <w:r>
        <w:rPr>
          <w:rFonts w:ascii="Times New Roman" w:cs="Times New Roman" w:eastAsia="Times New Roman" w:hAnsi="Times New Roman"/>
          <w:sz w:val="14"/>
          <w:szCs w:val="14"/>
          <w:color w:val="auto"/>
        </w:rPr>
        <w:t>You may obtain any of the documents incorporated by reference in this prospectus from the SEC through the SEC’s website at the address provided above. Documents incorporated by reference are available from us, without charge. You may obtain documents incorporated by reference in this prospectus by requesting them in writing or by telephone at the following address:</w:t>
      </w:r>
    </w:p>
    <w:p>
      <w:pPr>
        <w:spacing w:after="0" w:line="13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Scilex Holding Company</w:t>
      </w:r>
    </w:p>
    <w:p>
      <w:pPr>
        <w:spacing w:after="0" w:line="2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960 San Antonio Road</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Palo Alto, CA 94303</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investorrelations@scilexholdings.com</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Phone: (650) 516-4310</w:t>
      </w:r>
    </w:p>
    <w:p>
      <w:pPr>
        <w:spacing w:after="0" w:line="10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189230</wp:posOffset>
            </wp:positionV>
            <wp:extent cx="546227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5462270" cy="1333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229870</wp:posOffset>
            </wp:positionV>
            <wp:extent cx="546227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34"/>
          <w:szCs w:val="34"/>
          <w:b w:val="1"/>
          <w:bCs w:val="1"/>
          <w:color w:val="auto"/>
        </w:rPr>
        <w:t>SCILEX HOLDING COMPANY</w:t>
      </w:r>
    </w:p>
    <w:p>
      <w:pPr>
        <w:spacing w:after="0" w:line="3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Up to 2,083,067 Shares of Common Stock</w:t>
      </w:r>
    </w:p>
    <w:p>
      <w:pPr>
        <w:spacing w:after="0" w:line="3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b w:val="1"/>
          <w:bCs w:val="1"/>
          <w:color w:val="auto"/>
        </w:rPr>
        <w:t>Up to 6,581,004 Shares of Common Stock Offered by the Selling Securityholders</w:t>
      </w:r>
    </w:p>
    <w:p>
      <w:pPr>
        <w:spacing w:after="0" w:line="3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Up to 490,617 Warrants Offered by the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316230</wp:posOffset>
            </wp:positionV>
            <wp:extent cx="115125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196215</wp:posOffset>
            </wp:positionV>
            <wp:extent cx="115125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347" w:lineRule="exact"/>
        <w:rPr>
          <w:sz w:val="20"/>
          <w:szCs w:val="20"/>
          <w:color w:val="auto"/>
        </w:rPr>
      </w:pPr>
    </w:p>
    <w:p>
      <w:pPr>
        <w:ind w:left="1340" w:right="319"/>
        <w:spacing w:after="0" w:line="262" w:lineRule="auto"/>
        <w:rPr>
          <w:sz w:val="20"/>
          <w:szCs w:val="20"/>
          <w:color w:val="auto"/>
        </w:rPr>
      </w:pPr>
      <w:r>
        <w:rPr>
          <w:rFonts w:ascii="Times New Roman" w:cs="Times New Roman" w:eastAsia="Times New Roman" w:hAnsi="Times New Roman"/>
          <w:sz w:val="14"/>
          <w:szCs w:val="14"/>
          <w:color w:val="auto"/>
        </w:rPr>
        <w:t>Neither we nor the Selling Securityholders have authorized any dealer, salesperson or other person to give any information or to make any representations not contained in this prospectus or any prospectus supplement. You must not rely on any unauthorized information. This prospectus is not an offer to sell these securities in any jurisdiction where an offer or sale is not permitted. The information in this prospectus is current as of the date of this prospectus. You should not assume that this prospectus is accurate as of any other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312420</wp:posOffset>
            </wp:positionV>
            <wp:extent cx="546227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366395</wp:posOffset>
            </wp:positionV>
            <wp:extent cx="546227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546227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INFORMATION NOT REQUIRED IN THE PROSPECTUS</w:t>
      </w:r>
    </w:p>
    <w:p>
      <w:pPr>
        <w:spacing w:after="0" w:line="197"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4" w:lineRule="exact"/>
        <w:rPr>
          <w:sz w:val="20"/>
          <w:szCs w:val="20"/>
          <w:color w:val="auto"/>
        </w:rPr>
      </w:pPr>
    </w:p>
    <w:p>
      <w:pPr>
        <w:ind w:left="1340" w:right="279" w:firstLine="344"/>
        <w:spacing w:after="0" w:line="284" w:lineRule="auto"/>
        <w:rPr>
          <w:sz w:val="20"/>
          <w:szCs w:val="20"/>
          <w:color w:val="auto"/>
        </w:rPr>
      </w:pPr>
      <w:r>
        <w:rPr>
          <w:rFonts w:ascii="Times New Roman" w:cs="Times New Roman" w:eastAsia="Times New Roman" w:hAnsi="Times New Roman"/>
          <w:sz w:val="14"/>
          <w:szCs w:val="14"/>
          <w:color w:val="auto"/>
        </w:rPr>
        <w:t>The following table sets forth all expenses to be paid by Scilex Holding Company (the “Registrant”) in connection with the sale of the Common Stock being registered. The security holders will not bear any portion of such expenses. All amounts shown are estimates except for the registration fee.</w:t>
      </w:r>
    </w:p>
    <w:p>
      <w:pPr>
        <w:spacing w:after="0" w:line="161" w:lineRule="exact"/>
        <w:rPr>
          <w:sz w:val="20"/>
          <w:szCs w:val="20"/>
          <w:color w:val="auto"/>
        </w:rPr>
      </w:pPr>
    </w:p>
    <w:tbl>
      <w:tblPr>
        <w:tblLayout w:type="fixed"/>
        <w:tblInd w:w="27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Printing, transfer agent fees and miscellaneous expenses</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137,776.20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Indemnification of Directors and Officers.</w:t>
      </w:r>
    </w:p>
    <w:p>
      <w:pPr>
        <w:spacing w:after="0" w:line="94" w:lineRule="exact"/>
        <w:rPr>
          <w:sz w:val="20"/>
          <w:szCs w:val="20"/>
          <w:color w:val="auto"/>
        </w:rPr>
      </w:pPr>
    </w:p>
    <w:p>
      <w:pPr>
        <w:ind w:left="1340" w:right="299" w:firstLine="344"/>
        <w:spacing w:after="0" w:line="256" w:lineRule="auto"/>
        <w:rPr>
          <w:sz w:val="20"/>
          <w:szCs w:val="20"/>
          <w:color w:val="auto"/>
        </w:rPr>
      </w:pPr>
      <w:r>
        <w:rPr>
          <w:rFonts w:ascii="Times New Roman" w:cs="Times New Roman" w:eastAsia="Times New Roman" w:hAnsi="Times New Roman"/>
          <w:sz w:val="14"/>
          <w:szCs w:val="14"/>
          <w:color w:val="auto"/>
        </w:rPr>
        <w:t>Section 102 of the General Corporation Law of the State of Delaware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restated certificate of incorporation (the “Certificate of Incorporation”) contains provisions that limit the liability of our directors and officers for monetary damages to the fullest extent permitted by the DGCL. Consequently, the Registrant’s directors and officers will not be personally liable to the Registrant or its stockholders for monetary damages for any breach of fiduciary duty as a director or officer, except liability for the following:</w:t>
      </w:r>
    </w:p>
    <w:p>
      <w:pPr>
        <w:spacing w:after="0" w:line="70" w:lineRule="exact"/>
        <w:rPr>
          <w:sz w:val="20"/>
          <w:szCs w:val="20"/>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the Registrant or its stockholders;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or omissions not in good faith or that involve intentional misconduct or a knowing violation of law;</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director, unlawful payments of dividends or unlawful stock repurchases or redemptions in violation of the DGCL;</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 or</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officer, any action by or in the right of the corporation.</w:t>
      </w:r>
    </w:p>
    <w:p>
      <w:pPr>
        <w:spacing w:after="0" w:line="176" w:lineRule="exact"/>
        <w:rPr>
          <w:sz w:val="20"/>
          <w:szCs w:val="20"/>
          <w:color w:val="auto"/>
        </w:rPr>
      </w:pPr>
    </w:p>
    <w:p>
      <w:pPr>
        <w:ind w:left="1340" w:right="259" w:firstLine="344"/>
        <w:spacing w:after="0" w:line="268" w:lineRule="auto"/>
        <w:rPr>
          <w:sz w:val="20"/>
          <w:szCs w:val="20"/>
          <w:color w:val="auto"/>
        </w:rPr>
      </w:pPr>
      <w:r>
        <w:rPr>
          <w:rFonts w:ascii="Times New Roman" w:cs="Times New Roman" w:eastAsia="Times New Roman" w:hAnsi="Times New Roman"/>
          <w:sz w:val="14"/>
          <w:szCs w:val="14"/>
          <w:color w:val="auto"/>
        </w:rPr>
        <w:t>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w:t>
      </w:r>
    </w:p>
    <w:p>
      <w:pPr>
        <w:spacing w:after="0" w:line="135" w:lineRule="exact"/>
        <w:rPr>
          <w:sz w:val="20"/>
          <w:szCs w:val="20"/>
          <w:color w:val="auto"/>
        </w:rPr>
      </w:pPr>
    </w:p>
    <w:p>
      <w:pPr>
        <w:ind w:left="1340" w:right="279" w:firstLine="344"/>
        <w:spacing w:after="0" w:line="256"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259"/>
        <w:spacing w:after="0" w:line="256" w:lineRule="auto"/>
        <w:rPr>
          <w:sz w:val="20"/>
          <w:szCs w:val="20"/>
          <w:color w:val="auto"/>
        </w:rPr>
      </w:pPr>
      <w:r>
        <w:rPr>
          <w:rFonts w:ascii="Times New Roman" w:cs="Times New Roman" w:eastAsia="Times New Roman" w:hAnsi="Times New Roman"/>
          <w:sz w:val="14"/>
          <w:szCs w:val="14"/>
          <w:color w:val="auto"/>
        </w:rPr>
        <w:t>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(the “Bylaws”) provide that the Registrant will indemnify its directors and officers and permit the Registrant to indemnify its employees and other agents, in each case to the extent not prohibited by the DGCL or any other applicable law.</w:t>
      </w:r>
    </w:p>
    <w:p>
      <w:pPr>
        <w:spacing w:after="0" w:line="147" w:lineRule="exact"/>
        <w:rPr>
          <w:sz w:val="20"/>
          <w:szCs w:val="20"/>
          <w:color w:val="auto"/>
        </w:rPr>
      </w:pPr>
    </w:p>
    <w:p>
      <w:pPr>
        <w:ind w:left="1340" w:right="299" w:firstLine="344"/>
        <w:spacing w:after="0" w:line="259" w:lineRule="auto"/>
        <w:rPr>
          <w:sz w:val="20"/>
          <w:szCs w:val="20"/>
          <w:color w:val="auto"/>
        </w:rPr>
      </w:pPr>
      <w:r>
        <w:rPr>
          <w:rFonts w:ascii="Times New Roman" w:cs="Times New Roman" w:eastAsia="Times New Roman" w:hAnsi="Times New Roman"/>
          <w:sz w:val="14"/>
          <w:szCs w:val="14"/>
          <w:color w:val="auto"/>
        </w:rPr>
        <w:t>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w:t>
      </w:r>
    </w:p>
    <w:p>
      <w:pPr>
        <w:spacing w:after="0" w:line="22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Exhibits and Financial Statements Schedules.</w:t>
      </w:r>
    </w:p>
    <w:p>
      <w:pPr>
        <w:spacing w:after="0" w:line="9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following exhibits are filed as part of this registration statement:</w:t>
      </w:r>
    </w:p>
    <w:p>
      <w:pPr>
        <w:spacing w:after="0" w:line="182"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40" w:type="dxa"/>
            <w:vAlign w:val="bottom"/>
            <w:gridSpan w:val="1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4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2.1#</w:t>
            </w:r>
          </w:p>
        </w:tc>
        <w:tc>
          <w:tcPr>
            <w:tcW w:w="440" w:type="dxa"/>
            <w:vAlign w:val="bottom"/>
          </w:tcPr>
          <w:p>
            <w:pPr>
              <w:spacing w:after="0"/>
              <w:rPr>
                <w:sz w:val="18"/>
                <w:szCs w:val="18"/>
                <w:color w:val="auto"/>
              </w:rPr>
            </w:pPr>
          </w:p>
        </w:tc>
        <w:tc>
          <w:tcPr>
            <w:tcW w:w="7720" w:type="dxa"/>
            <w:vAlign w:val="bottom"/>
            <w:gridSpan w:val="16"/>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Agreement and Plan of Merger, dated as of March 17, 2022, by and among Vickers Vantage Corp. I, Vickers Merger Sub, Inc.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6"/>
          </w:tcPr>
          <w:p>
            <w:pPr>
              <w:spacing w:after="0" w:line="149"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Scilex Holding Company (incorporated by reference to Exhibit 2.1 of Vickers’s Current Report on Form 8-K (File No. 001-39852), filed</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80" w:type="dxa"/>
            <w:vAlign w:val="bottom"/>
            <w:tcBorders>
              <w:top w:val="single" w:sz="8" w:color="0000EE"/>
            </w:tcBorders>
            <w:gridSpan w:val="15"/>
          </w:tcPr>
          <w:p>
            <w:pPr>
              <w:spacing w:after="0" w:line="149"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with the SEC on March 21, 2022).</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2.2#</w:t>
            </w:r>
          </w:p>
        </w:tc>
        <w:tc>
          <w:tcPr>
            <w:tcW w:w="440" w:type="dxa"/>
            <w:vAlign w:val="bottom"/>
          </w:tcPr>
          <w:p>
            <w:pPr>
              <w:spacing w:after="0"/>
              <w:rPr>
                <w:sz w:val="20"/>
                <w:szCs w:val="20"/>
                <w:color w:val="auto"/>
              </w:rPr>
            </w:pPr>
          </w:p>
        </w:tc>
        <w:tc>
          <w:tcPr>
            <w:tcW w:w="760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Amendment No. 1 to Agreement and Plan of Merger, dated as of September 12, 2022, by and among Vickers Vantage Corp. I, Vickers</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6"/>
          </w:tcPr>
          <w:p>
            <w:pPr>
              <w:spacing w:after="0" w:line="149"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Merger Sub, Inc. and Scilex Holding Company (incorporated by reference to Exhibit 2.1 of Vickers’s Current Report on Form 8-K (File</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40" w:type="dxa"/>
            <w:vAlign w:val="bottom"/>
            <w:tcBorders>
              <w:top w:val="single" w:sz="8" w:color="0000EE"/>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No. 001-39852), filed with the SEC on September 14, 2022).</w:t>
              </w:r>
            </w:hyperlink>
          </w:p>
        </w:tc>
        <w:tc>
          <w:tcPr>
            <w:tcW w:w="4200" w:type="dxa"/>
            <w:vAlign w:val="bottom"/>
            <w:tcBorders>
              <w:top w:val="single" w:sz="8" w:color="0000EE"/>
            </w:tcBorders>
            <w:gridSpan w:val="10"/>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w:t>
            </w:r>
          </w:p>
        </w:tc>
        <w:tc>
          <w:tcPr>
            <w:tcW w:w="440" w:type="dxa"/>
            <w:vAlign w:val="bottom"/>
          </w:tcPr>
          <w:p>
            <w:pPr>
              <w:spacing w:after="0"/>
              <w:rPr>
                <w:sz w:val="20"/>
                <w:szCs w:val="20"/>
                <w:color w:val="auto"/>
              </w:rPr>
            </w:pPr>
          </w:p>
        </w:tc>
        <w:tc>
          <w:tcPr>
            <w:tcW w:w="76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Bill of Sale and Assignment and Assumption Agreement, dated May 12, 2022, by and between Scilex Holding Company and Sorrento</w:t>
              </w:r>
            </w:hyperlink>
          </w:p>
        </w:tc>
        <w:tc>
          <w:tcPr>
            <w:tcW w:w="1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6"/>
          </w:tcPr>
          <w:p>
            <w:pPr>
              <w:spacing w:after="0" w:line="149"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Therapeutics, Inc. (incorporated by reference to Exhibit 2.3 of Amendment No. 1 of Vickers’s Form S-4 (File No. 333-264941), filed</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9"/>
              </w:rPr>
            </w:pPr>
            <w:hyperlink r:id="rId110">
              <w:r>
                <w:rPr>
                  <w:rFonts w:ascii="Times New Roman" w:cs="Times New Roman" w:eastAsia="Times New Roman" w:hAnsi="Times New Roman"/>
                  <w:sz w:val="14"/>
                  <w:szCs w:val="14"/>
                  <w:color w:val="0000EE"/>
                  <w:w w:val="99"/>
                </w:rPr>
                <w:t>with the SEC on June 27, 2022).</w:t>
              </w:r>
            </w:hyperlink>
          </w:p>
        </w:tc>
        <w:tc>
          <w:tcPr>
            <w:tcW w:w="5640" w:type="dxa"/>
            <w:vAlign w:val="bottom"/>
            <w:tcBorders>
              <w:top w:val="single" w:sz="8" w:color="0000EE"/>
            </w:tcBorders>
            <w:gridSpan w:val="8"/>
          </w:tcPr>
          <w:p>
            <w:pPr>
              <w:spacing w:after="0"/>
              <w:rPr>
                <w:sz w:val="12"/>
                <w:szCs w:val="12"/>
                <w:color w:val="auto"/>
              </w:rPr>
            </w:pPr>
          </w:p>
        </w:tc>
        <w:tc>
          <w:tcPr>
            <w:tcW w:w="2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2.4#</w:t>
            </w:r>
          </w:p>
        </w:tc>
        <w:tc>
          <w:tcPr>
            <w:tcW w:w="440" w:type="dxa"/>
            <w:vAlign w:val="bottom"/>
          </w:tcPr>
          <w:p>
            <w:pPr>
              <w:spacing w:after="0"/>
              <w:rPr>
                <w:sz w:val="20"/>
                <w:szCs w:val="20"/>
                <w:color w:val="auto"/>
              </w:rPr>
            </w:pPr>
          </w:p>
        </w:tc>
        <w:tc>
          <w:tcPr>
            <w:tcW w:w="7720" w:type="dxa"/>
            <w:vAlign w:val="bottom"/>
            <w:gridSpan w:val="16"/>
          </w:tcPr>
          <w:p>
            <w:pPr>
              <w:spacing w:after="0"/>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Asset Purchase Agreement, dated April 23, 2021, between Sorrento Therapeutics, Inc. and Aardvark Therapeutics, Inc., as assumed by</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80" w:type="dxa"/>
            <w:vAlign w:val="bottom"/>
            <w:tcBorders>
              <w:top w:val="single" w:sz="8" w:color="0000EE"/>
              <w:bottom w:val="single" w:sz="8" w:color="0000EE"/>
            </w:tcBorders>
            <w:gridSpan w:val="10"/>
          </w:tcPr>
          <w:p>
            <w:pPr>
              <w:spacing w:after="0" w:line="149"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Scilex Holding Company on May 12, 2022, pursuant to the Bill of Sale and Assignment and Assumption Agreement, dated as of such</w:t>
              </w:r>
            </w:hyperlink>
          </w:p>
        </w:tc>
        <w:tc>
          <w:tcPr>
            <w:tcW w:w="40" w:type="dxa"/>
            <w:vAlign w:val="bottom"/>
            <w:tcBorders>
              <w:top w:val="single" w:sz="8" w:color="0000EE"/>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6"/>
          </w:tcPr>
          <w:p>
            <w:pPr>
              <w:spacing w:after="0" w:line="149"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date, by and between Scilex Holding Company and Sorrento Therapeutics, Inc. (incorporated by reference to Exhibit 2.4 of Amendment</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60" w:type="dxa"/>
            <w:vAlign w:val="bottom"/>
            <w:tcBorders>
              <w:top w:val="single" w:sz="8" w:color="0000EE"/>
            </w:tcBorders>
            <w:gridSpan w:val="14"/>
          </w:tcPr>
          <w:p>
            <w:pPr>
              <w:spacing w:after="0" w:line="149"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No. 1 of Vickers’s Form S-4 (File No. 333-264941), filed with the SEC on June 27, 2022).</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2.5#</w:t>
            </w:r>
          </w:p>
        </w:tc>
        <w:tc>
          <w:tcPr>
            <w:tcW w:w="440" w:type="dxa"/>
            <w:vAlign w:val="bottom"/>
          </w:tcPr>
          <w:p>
            <w:pPr>
              <w:spacing w:after="0"/>
              <w:rPr>
                <w:sz w:val="20"/>
                <w:szCs w:val="20"/>
                <w:color w:val="auto"/>
              </w:rPr>
            </w:pPr>
          </w:p>
        </w:tc>
        <w:tc>
          <w:tcPr>
            <w:tcW w:w="7720" w:type="dxa"/>
            <w:vAlign w:val="bottom"/>
            <w:gridSpan w:val="16"/>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Agreement and Plan of Merger, dated as of March 17, 2022, by and among Vickers Vantage Corp. I, Vickers Merger Sub, Inc.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tcBorders>
              <w:bottom w:val="single" w:sz="8" w:color="0000EE"/>
            </w:tcBorders>
            <w:gridSpan w:val="16"/>
          </w:tcPr>
          <w:p>
            <w:pPr>
              <w:spacing w:after="0" w:line="149"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Scilex Holding Company (incorporated by reference to Exhibit 2.1 of Vickers’s Current Report on Form 8-K (File No. 001-39852), filed</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6"/>
          </w:tcPr>
          <w:p>
            <w:pPr>
              <w:spacing w:after="0" w:line="149"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with the SEC on March 21, 2022).</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2.6#</w:t>
            </w:r>
          </w:p>
        </w:tc>
        <w:tc>
          <w:tcPr>
            <w:tcW w:w="440" w:type="dxa"/>
            <w:vAlign w:val="bottom"/>
          </w:tcPr>
          <w:p>
            <w:pPr>
              <w:spacing w:after="0"/>
              <w:rPr>
                <w:sz w:val="20"/>
                <w:szCs w:val="20"/>
                <w:color w:val="auto"/>
              </w:rPr>
            </w:pPr>
          </w:p>
        </w:tc>
        <w:tc>
          <w:tcPr>
            <w:tcW w:w="760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Amendment No. 1 to Agreement and Plan of Merger, dated as of September 12, 2022, by and among Vickers Vantage Corp. I, Vickers</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16"/>
          </w:tcPr>
          <w:p>
            <w:pPr>
              <w:spacing w:after="0" w:line="149"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Merger Sub, Inc. and Scilex Holding Company (incorporated by reference to Exhibit 2.1 of Vickers’s Current Report on Form 8-K (File</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80" w:type="dxa"/>
            <w:vAlign w:val="bottom"/>
            <w:tcBorders>
              <w:top w:val="single" w:sz="8" w:color="0000EE"/>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No. 001-39852), filed with the SEC on September 14, 2022).</w:t>
              </w:r>
            </w:hyperlink>
          </w:p>
        </w:tc>
        <w:tc>
          <w:tcPr>
            <w:tcW w:w="4160" w:type="dxa"/>
            <w:vAlign w:val="bottom"/>
            <w:tcBorders>
              <w:top w:val="single" w:sz="8" w:color="0000EE"/>
            </w:tcBorders>
            <w:gridSpan w:val="9"/>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80" w:type="dxa"/>
            <w:vAlign w:val="bottom"/>
            <w:gridSpan w:val="21"/>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580" w:type="dxa"/>
            <w:vAlign w:val="bottom"/>
            <w:gridSpan w:val="2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2.7#</w:t>
            </w:r>
          </w:p>
        </w:tc>
        <w:tc>
          <w:tcPr>
            <w:tcW w:w="440" w:type="dxa"/>
            <w:vAlign w:val="bottom"/>
          </w:tcPr>
          <w:p>
            <w:pPr>
              <w:spacing w:after="0"/>
              <w:rPr>
                <w:sz w:val="18"/>
                <w:szCs w:val="18"/>
                <w:color w:val="auto"/>
              </w:rPr>
            </w:pPr>
          </w:p>
        </w:tc>
        <w:tc>
          <w:tcPr>
            <w:tcW w:w="760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Agreement and Plan of Merger, dated as of August 30, 2024, by and among Denali Capital Acquisition Corp., Denali Merger Sub Inc.</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and Semnur Pharmaceuticals, Inc. (incorporated by reference to Exhibit 2.1 of our Current Report on Form 8-K (File No. 001-39852),</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tcBorders>
              <w:top w:val="single" w:sz="8" w:color="0000EE"/>
              <w:bottom w:val="single" w:sz="8" w:color="0000EE"/>
            </w:tcBorders>
            <w:gridSpan w:val="4"/>
          </w:tcPr>
          <w:p>
            <w:pPr>
              <w:spacing w:after="0" w:line="149" w:lineRule="exact"/>
              <w:rPr>
                <w:rFonts w:ascii="Times New Roman" w:cs="Times New Roman" w:eastAsia="Times New Roman" w:hAnsi="Times New Roman"/>
                <w:sz w:val="14"/>
                <w:szCs w:val="14"/>
                <w:color w:val="0000EE"/>
                <w:w w:val="99"/>
              </w:rPr>
            </w:pPr>
            <w:hyperlink r:id="rId113">
              <w:r>
                <w:rPr>
                  <w:rFonts w:ascii="Times New Roman" w:cs="Times New Roman" w:eastAsia="Times New Roman" w:hAnsi="Times New Roman"/>
                  <w:sz w:val="14"/>
                  <w:szCs w:val="14"/>
                  <w:color w:val="0000EE"/>
                  <w:w w:val="99"/>
                </w:rPr>
                <w:t>filed with the SEC on September 3, 2024).</w:t>
              </w:r>
            </w:hyperlink>
          </w:p>
        </w:tc>
        <w:tc>
          <w:tcPr>
            <w:tcW w:w="5180" w:type="dxa"/>
            <w:vAlign w:val="bottom"/>
            <w:tcBorders>
              <w:top w:val="single" w:sz="8" w:color="0000EE"/>
            </w:tcBorders>
            <w:gridSpan w:val="18"/>
          </w:tcPr>
          <w:p>
            <w:pPr>
              <w:spacing w:after="0"/>
              <w:rPr>
                <w:sz w:val="12"/>
                <w:szCs w:val="12"/>
                <w:color w:val="auto"/>
              </w:rPr>
            </w:pPr>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2.8#</w:t>
            </w:r>
          </w:p>
        </w:tc>
        <w:tc>
          <w:tcPr>
            <w:tcW w:w="440" w:type="dxa"/>
            <w:vAlign w:val="bottom"/>
          </w:tcPr>
          <w:p>
            <w:pPr>
              <w:spacing w:after="0"/>
              <w:rPr>
                <w:sz w:val="20"/>
                <w:szCs w:val="20"/>
                <w:color w:val="auto"/>
              </w:rPr>
            </w:pPr>
          </w:p>
        </w:tc>
        <w:tc>
          <w:tcPr>
            <w:tcW w:w="774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Amendment No. 1 to Agreement and Plan of Merger, dated as of April 16, 2025, by and among Denali Capital Acquisition Corp., Denali</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Merger Sub Inc. and Semnur Pharmaceuticals, Inc. (incorporated by reference to Exhibit 2.1 of our Current Report on Form 8-K (File</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20" w:type="dxa"/>
            <w:vAlign w:val="bottom"/>
            <w:tcBorders>
              <w:top w:val="single" w:sz="8" w:color="0000EE"/>
            </w:tcBorders>
            <w:gridSpan w:val="20"/>
          </w:tcPr>
          <w:p>
            <w:pPr>
              <w:spacing w:after="0" w:line="149"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No. 001-39852), filed with the SEC on April 21, 2025).</w:t>
              </w:r>
            </w:hyperlink>
          </w:p>
        </w:tc>
        <w:tc>
          <w:tcPr>
            <w:tcW w:w="22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2.9</w:t>
            </w:r>
          </w:p>
        </w:tc>
        <w:tc>
          <w:tcPr>
            <w:tcW w:w="440" w:type="dxa"/>
            <w:vAlign w:val="bottom"/>
          </w:tcPr>
          <w:p>
            <w:pPr>
              <w:spacing w:after="0"/>
              <w:rPr>
                <w:sz w:val="20"/>
                <w:szCs w:val="20"/>
                <w:color w:val="auto"/>
              </w:rPr>
            </w:pPr>
          </w:p>
        </w:tc>
        <w:tc>
          <w:tcPr>
            <w:tcW w:w="7740" w:type="dxa"/>
            <w:vAlign w:val="bottom"/>
            <w:gridSpan w:val="27"/>
          </w:tcPr>
          <w:p>
            <w:pPr>
              <w:spacing w:after="0"/>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Amendment No. 2 to Agreement and Plan of Merger, dated as of July 22, 2025, by and among Denali Capital Acquisition Corp., Denali</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80" w:type="dxa"/>
            <w:vAlign w:val="bottom"/>
            <w:tcBorders>
              <w:top w:val="single" w:sz="8" w:color="0000EE"/>
            </w:tcBorders>
            <w:gridSpan w:val="25"/>
          </w:tcPr>
          <w:p>
            <w:pPr>
              <w:spacing w:after="0" w:line="149"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Merger Sub Inc. and Semnur Pharmaceuticals, Inc. (incorporated by reference to Exhibit 2.1 of our Current Report on Form 8-K (File</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80" w:type="dxa"/>
            <w:vAlign w:val="bottom"/>
            <w:tcBorders>
              <w:top w:val="single" w:sz="8" w:color="0000EE"/>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No. 001-39852), filed with the SEC on July 23, 2025)</w:t>
              </w:r>
            </w:hyperlink>
          </w:p>
        </w:tc>
        <w:tc>
          <w:tcPr>
            <w:tcW w:w="4440" w:type="dxa"/>
            <w:vAlign w:val="bottom"/>
            <w:tcBorders>
              <w:top w:val="single" w:sz="8" w:color="0000EE"/>
            </w:tcBorders>
            <w:gridSpan w:val="15"/>
          </w:tcPr>
          <w:p>
            <w:pPr>
              <w:spacing w:after="0"/>
              <w:rPr>
                <w:sz w:val="12"/>
                <w:szCs w:val="12"/>
                <w:color w:val="auto"/>
              </w:rPr>
            </w:pPr>
          </w:p>
        </w:tc>
        <w:tc>
          <w:tcPr>
            <w:tcW w:w="22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440" w:type="dxa"/>
            <w:vAlign w:val="bottom"/>
          </w:tcPr>
          <w:p>
            <w:pPr>
              <w:spacing w:after="0"/>
              <w:rPr>
                <w:sz w:val="20"/>
                <w:szCs w:val="20"/>
                <w:color w:val="auto"/>
              </w:rPr>
            </w:pPr>
          </w:p>
        </w:tc>
        <w:tc>
          <w:tcPr>
            <w:tcW w:w="736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Warrant Agreement, dated as of January 6, 2021, by and between Vickers Vantage Corp. I and Continental Stock Transfer &amp; Trust</w:t>
              </w:r>
            </w:hyperlink>
          </w:p>
        </w:tc>
        <w:tc>
          <w:tcPr>
            <w:tcW w:w="38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Company (incorporated by reference to Exhibit 4.1 of Vickers’s Current Report on Form 8-K (File No. 001-39852), filed with the SEC</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20" w:type="dxa"/>
            <w:vAlign w:val="bottom"/>
            <w:tcBorders>
              <w:top w:val="single" w:sz="8" w:color="0000EE"/>
            </w:tcBorders>
            <w:gridSpan w:val="24"/>
          </w:tcPr>
          <w:p>
            <w:pPr>
              <w:spacing w:after="0" w:line="149"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on January 11, 2021).</w:t>
              </w:r>
            </w:hyperlink>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440" w:type="dxa"/>
            <w:vAlign w:val="bottom"/>
          </w:tcPr>
          <w:p>
            <w:pPr>
              <w:spacing w:after="0"/>
              <w:rPr>
                <w:sz w:val="20"/>
                <w:szCs w:val="20"/>
                <w:color w:val="auto"/>
              </w:rPr>
            </w:pPr>
          </w:p>
        </w:tc>
        <w:tc>
          <w:tcPr>
            <w:tcW w:w="7740" w:type="dxa"/>
            <w:vAlign w:val="bottom"/>
            <w:gridSpan w:val="27"/>
          </w:tcPr>
          <w:p>
            <w:pPr>
              <w:spacing w:after="0"/>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Specimen Warrant Certificate of Scilex Holding Company (f/k/a Vickers Vantage Corp. I) (incorporated by reference to Exhibit 4.3 of</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20" w:type="dxa"/>
            <w:vAlign w:val="bottom"/>
            <w:tcBorders>
              <w:top w:val="single" w:sz="8" w:color="0000EE"/>
              <w:bottom w:val="single" w:sz="8" w:color="0000EE"/>
            </w:tcBorders>
            <w:gridSpan w:val="11"/>
          </w:tcPr>
          <w:p>
            <w:pPr>
              <w:spacing w:after="0" w:line="149" w:lineRule="exact"/>
              <w:rPr>
                <w:rFonts w:ascii="Times New Roman" w:cs="Times New Roman" w:eastAsia="Times New Roman" w:hAnsi="Times New Roman"/>
                <w:sz w:val="14"/>
                <w:szCs w:val="14"/>
                <w:color w:val="0000EE"/>
                <w:w w:val="99"/>
              </w:rPr>
            </w:pPr>
            <w:hyperlink r:id="rId117">
              <w:r>
                <w:rPr>
                  <w:rFonts w:ascii="Times New Roman" w:cs="Times New Roman" w:eastAsia="Times New Roman" w:hAnsi="Times New Roman"/>
                  <w:sz w:val="14"/>
                  <w:szCs w:val="14"/>
                  <w:color w:val="0000EE"/>
                  <w:w w:val="99"/>
                </w:rPr>
                <w:t>Vickers’s Form S-1 (File No. 333-251352), filed with the SEC on December 15, 2020).</w:t>
              </w:r>
            </w:hyperlink>
          </w:p>
        </w:tc>
        <w:tc>
          <w:tcPr>
            <w:tcW w:w="2620" w:type="dxa"/>
            <w:vAlign w:val="bottom"/>
            <w:tcBorders>
              <w:top w:val="single" w:sz="8" w:color="0000EE"/>
            </w:tcBorders>
            <w:gridSpan w:val="10"/>
          </w:tcPr>
          <w:p>
            <w:pPr>
              <w:spacing w:after="0"/>
              <w:rPr>
                <w:sz w:val="12"/>
                <w:szCs w:val="12"/>
                <w:color w:val="auto"/>
              </w:rPr>
            </w:pPr>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4.3</w:t>
            </w:r>
          </w:p>
        </w:tc>
        <w:tc>
          <w:tcPr>
            <w:tcW w:w="440" w:type="dxa"/>
            <w:vAlign w:val="bottom"/>
          </w:tcPr>
          <w:p>
            <w:pPr>
              <w:spacing w:after="0"/>
              <w:rPr>
                <w:sz w:val="20"/>
                <w:szCs w:val="20"/>
                <w:color w:val="auto"/>
              </w:rPr>
            </w:pPr>
          </w:p>
        </w:tc>
        <w:tc>
          <w:tcPr>
            <w:tcW w:w="760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Senior Secured Promissory Note issued to Oramed Pharmaceuticals, Inc. on September 21, 2023 (incorporated by reference to Exhibit</w:t>
              </w:r>
            </w:hyperlink>
          </w:p>
        </w:tc>
        <w:tc>
          <w:tcPr>
            <w:tcW w:w="1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of our Current Report on Form 8-K (File No. 001-39852), filed with the SEC on September 26, 2023).</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4.4</w:t>
            </w:r>
          </w:p>
        </w:tc>
        <w:tc>
          <w:tcPr>
            <w:tcW w:w="440" w:type="dxa"/>
            <w:vAlign w:val="bottom"/>
          </w:tcPr>
          <w:p>
            <w:pPr>
              <w:spacing w:after="0"/>
              <w:rPr>
                <w:sz w:val="20"/>
                <w:szCs w:val="20"/>
                <w:color w:val="auto"/>
              </w:rPr>
            </w:pPr>
          </w:p>
        </w:tc>
        <w:tc>
          <w:tcPr>
            <w:tcW w:w="7600" w:type="dxa"/>
            <w:vAlign w:val="bottom"/>
            <w:tcBorders>
              <w:bottom w:val="single" w:sz="8" w:color="0000EE"/>
            </w:tcBorders>
            <w:gridSpan w:val="23"/>
          </w:tcPr>
          <w:p>
            <w:pPr>
              <w:spacing w:after="0"/>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Form of Scilex Holding Company Warrant to Purchase Common Stock (incorporated by reference to Exhibit 4.2 of our Current Report</w:t>
              </w:r>
            </w:hyperlink>
          </w:p>
        </w:tc>
        <w:tc>
          <w:tcPr>
            <w:tcW w:w="1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on Form 8-K (File No. 001-39852), filed with the SEC on September 26, 2023).</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gridSpan w:val="3"/>
            <w:shd w:val="clear" w:color="auto" w:fill="0000EE"/>
          </w:tcPr>
          <w:p>
            <w:pPr>
              <w:spacing w:after="0" w:line="20" w:lineRule="exact"/>
              <w:rPr>
                <w:sz w:val="1"/>
                <w:szCs w:val="1"/>
                <w:color w:val="auto"/>
              </w:rPr>
            </w:pPr>
          </w:p>
        </w:tc>
        <w:tc>
          <w:tcPr>
            <w:tcW w:w="10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4.5</w:t>
            </w:r>
          </w:p>
        </w:tc>
        <w:tc>
          <w:tcPr>
            <w:tcW w:w="440" w:type="dxa"/>
            <w:vAlign w:val="bottom"/>
          </w:tcPr>
          <w:p>
            <w:pPr>
              <w:spacing w:after="0"/>
              <w:rPr>
                <w:sz w:val="20"/>
                <w:szCs w:val="20"/>
                <w:color w:val="auto"/>
              </w:rPr>
            </w:pPr>
          </w:p>
        </w:tc>
        <w:tc>
          <w:tcPr>
            <w:tcW w:w="7740" w:type="dxa"/>
            <w:vAlign w:val="bottom"/>
            <w:gridSpan w:val="27"/>
          </w:tcPr>
          <w:p>
            <w:pPr>
              <w:spacing w:after="0"/>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Form of Common Warrant (incorporated by reference to Exhibit 4.1 of our Current Report on Form 8-K (File No. 001-39852), filed with</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00" w:type="dxa"/>
            <w:vAlign w:val="bottom"/>
            <w:tcBorders>
              <w:top w:val="single" w:sz="8" w:color="0000EE"/>
            </w:tcBorders>
            <w:gridSpan w:val="26"/>
          </w:tcPr>
          <w:p>
            <w:pPr>
              <w:spacing w:after="0" w:line="149"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the SEC on March 5, 2024).</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4.6</w:t>
            </w:r>
          </w:p>
        </w:tc>
        <w:tc>
          <w:tcPr>
            <w:tcW w:w="440" w:type="dxa"/>
            <w:vAlign w:val="bottom"/>
          </w:tcPr>
          <w:p>
            <w:pPr>
              <w:spacing w:after="0"/>
              <w:rPr>
                <w:sz w:val="20"/>
                <w:szCs w:val="20"/>
                <w:color w:val="auto"/>
              </w:rPr>
            </w:pPr>
          </w:p>
        </w:tc>
        <w:tc>
          <w:tcPr>
            <w:tcW w:w="774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Form of Representative Warrant (incorporated by reference to Exhibit 4.2 of our Current Report on Form 8-K (File No. 001-39852), filed</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with the SEC on March 5, 2024).</w:t>
              </w:r>
            </w:hyperlink>
          </w:p>
        </w:tc>
        <w:tc>
          <w:tcPr>
            <w:tcW w:w="5860" w:type="dxa"/>
            <w:vAlign w:val="bottom"/>
            <w:gridSpan w:val="24"/>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4.7</w:t>
            </w:r>
          </w:p>
        </w:tc>
        <w:tc>
          <w:tcPr>
            <w:tcW w:w="440" w:type="dxa"/>
            <w:vAlign w:val="bottom"/>
          </w:tcPr>
          <w:p>
            <w:pPr>
              <w:spacing w:after="0"/>
              <w:rPr>
                <w:sz w:val="20"/>
                <w:szCs w:val="20"/>
                <w:color w:val="auto"/>
              </w:rPr>
            </w:pPr>
          </w:p>
        </w:tc>
        <w:tc>
          <w:tcPr>
            <w:tcW w:w="774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Form of Common Warrant (incorporated by reference to Exhibit 4.1 of our Current Report on Form 8-K (File No. 001-39852), filed with</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the SEC on April 25, 2024).</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4.8</w:t>
            </w:r>
          </w:p>
        </w:tc>
        <w:tc>
          <w:tcPr>
            <w:tcW w:w="440" w:type="dxa"/>
            <w:vAlign w:val="bottom"/>
          </w:tcPr>
          <w:p>
            <w:pPr>
              <w:spacing w:after="0"/>
              <w:rPr>
                <w:sz w:val="20"/>
                <w:szCs w:val="20"/>
                <w:color w:val="auto"/>
              </w:rPr>
            </w:pPr>
          </w:p>
        </w:tc>
        <w:tc>
          <w:tcPr>
            <w:tcW w:w="7740" w:type="dxa"/>
            <w:vAlign w:val="bottom"/>
            <w:gridSpan w:val="27"/>
          </w:tcPr>
          <w:p>
            <w:pPr>
              <w:spacing w:after="0"/>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Form of Placement Agent Warrant (incorporated by reference to Exhibit 4.2 of our Current Report on Form 8-K (File</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6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No. 001-39852), filed with the SEC on April 25, 2024).</w:t>
              </w:r>
            </w:hyperlink>
          </w:p>
        </w:tc>
        <w:tc>
          <w:tcPr>
            <w:tcW w:w="3440" w:type="dxa"/>
            <w:vAlign w:val="bottom"/>
            <w:tcBorders>
              <w:top w:val="single" w:sz="8" w:color="0000EE"/>
            </w:tcBorders>
            <w:gridSpan w:val="9"/>
          </w:tcPr>
          <w:p>
            <w:pPr>
              <w:spacing w:after="0"/>
              <w:rPr>
                <w:sz w:val="12"/>
                <w:szCs w:val="12"/>
                <w:color w:val="auto"/>
              </w:rPr>
            </w:pPr>
          </w:p>
        </w:tc>
        <w:tc>
          <w:tcPr>
            <w:tcW w:w="114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4.9</w:t>
            </w:r>
          </w:p>
        </w:tc>
        <w:tc>
          <w:tcPr>
            <w:tcW w:w="440" w:type="dxa"/>
            <w:vAlign w:val="bottom"/>
          </w:tcPr>
          <w:p>
            <w:pPr>
              <w:spacing w:after="0"/>
              <w:rPr>
                <w:sz w:val="20"/>
                <w:szCs w:val="20"/>
                <w:color w:val="auto"/>
              </w:rPr>
            </w:pPr>
          </w:p>
        </w:tc>
        <w:tc>
          <w:tcPr>
            <w:tcW w:w="734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Warrant to Purchase Common Stock, issued to FSF 33433 LLC on June 18, 2024 (incorporated by reference to Exhibit 4.8 of our</w:t>
              </w:r>
            </w:hyperlink>
          </w:p>
        </w:tc>
        <w:tc>
          <w:tcPr>
            <w:tcW w:w="4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Registration Statement on Form S-3 (File No. 333-280882), filed with the SEC on July 18, 2024).</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4.10</w:t>
            </w:r>
          </w:p>
        </w:tc>
        <w:tc>
          <w:tcPr>
            <w:tcW w:w="440" w:type="dxa"/>
            <w:vAlign w:val="bottom"/>
          </w:tcPr>
          <w:p>
            <w:pPr>
              <w:spacing w:after="0"/>
              <w:rPr>
                <w:sz w:val="20"/>
                <w:szCs w:val="20"/>
                <w:color w:val="auto"/>
              </w:rPr>
            </w:pPr>
          </w:p>
        </w:tc>
        <w:tc>
          <w:tcPr>
            <w:tcW w:w="774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Form of Tranche B Senior Secured Convertible Note issued by Scilex Holding Company. (incorporated by reference to Exhibit 4.1 of our</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Current Report on Form 8-K (File No. 001-39852), filed with the SEC on October 8, 2024).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4.11</w:t>
            </w:r>
          </w:p>
        </w:tc>
        <w:tc>
          <w:tcPr>
            <w:tcW w:w="440" w:type="dxa"/>
            <w:vAlign w:val="bottom"/>
          </w:tcPr>
          <w:p>
            <w:pPr>
              <w:spacing w:after="0"/>
              <w:rPr>
                <w:sz w:val="20"/>
                <w:szCs w:val="20"/>
                <w:color w:val="auto"/>
              </w:rPr>
            </w:pPr>
          </w:p>
        </w:tc>
        <w:tc>
          <w:tcPr>
            <w:tcW w:w="7320" w:type="dxa"/>
            <w:vAlign w:val="bottom"/>
            <w:tcBorders>
              <w:bottom w:val="single" w:sz="8" w:color="0000EE"/>
            </w:tcBorders>
            <w:gridSpan w:val="17"/>
          </w:tcPr>
          <w:p>
            <w:pPr>
              <w:spacing w:after="0"/>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Form of Warrant to Purchase Common Stock issued by Scilex Holding Company. (incorporated by reference to Exhibit 4.2 of our</w:t>
              </w:r>
            </w:hyperlink>
          </w:p>
        </w:tc>
        <w:tc>
          <w:tcPr>
            <w:tcW w:w="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Current Report on Form 8-K (File No. 001-39852), filed with the SEC on October 8, 2024).</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4.12</w:t>
            </w:r>
          </w:p>
        </w:tc>
        <w:tc>
          <w:tcPr>
            <w:tcW w:w="440" w:type="dxa"/>
            <w:vAlign w:val="bottom"/>
          </w:tcPr>
          <w:p>
            <w:pPr>
              <w:spacing w:after="0"/>
              <w:rPr>
                <w:sz w:val="20"/>
                <w:szCs w:val="20"/>
                <w:color w:val="auto"/>
              </w:rPr>
            </w:pPr>
          </w:p>
        </w:tc>
        <w:tc>
          <w:tcPr>
            <w:tcW w:w="774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Form of Placement Agent Warrant issued by Scilex Holding Company (incorporated by reference to Exhibit 4.3 of our Current Report on</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16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Form 8-K (File No. 001-39852), filed with the SEC on October 8, 2024).</w:t>
              </w:r>
            </w:hyperlink>
          </w:p>
        </w:tc>
        <w:tc>
          <w:tcPr>
            <w:tcW w:w="358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4.13</w:t>
            </w:r>
          </w:p>
        </w:tc>
        <w:tc>
          <w:tcPr>
            <w:tcW w:w="440" w:type="dxa"/>
            <w:vAlign w:val="bottom"/>
          </w:tcPr>
          <w:p>
            <w:pPr>
              <w:spacing w:after="0"/>
              <w:rPr>
                <w:sz w:val="20"/>
                <w:szCs w:val="20"/>
                <w:color w:val="auto"/>
              </w:rPr>
            </w:pPr>
          </w:p>
        </w:tc>
        <w:tc>
          <w:tcPr>
            <w:tcW w:w="730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Form of Common Warrant issued by Scilex Holding Company (incorporated by reference to Exhibit 4.2 of our Current Report on</w:t>
              </w:r>
            </w:hyperlink>
          </w:p>
        </w:tc>
        <w:tc>
          <w:tcPr>
            <w:tcW w:w="44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40" w:type="dxa"/>
            <w:vAlign w:val="bottom"/>
            <w:gridSpan w:val="27"/>
          </w:tcPr>
          <w:p>
            <w:pPr>
              <w:spacing w:after="0" w:line="149"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Form 8-K (File No. 001-39852), filed with the SEC on December 13, 2024).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60" w:type="dxa"/>
            <w:vAlign w:val="bottom"/>
            <w:gridSpan w:val="11"/>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4.14</w:t>
            </w:r>
          </w:p>
        </w:tc>
        <w:tc>
          <w:tcPr>
            <w:tcW w:w="440" w:type="dxa"/>
            <w:vAlign w:val="bottom"/>
          </w:tcPr>
          <w:p>
            <w:pPr>
              <w:spacing w:after="0"/>
              <w:rPr>
                <w:sz w:val="18"/>
                <w:szCs w:val="18"/>
                <w:color w:val="auto"/>
              </w:rPr>
            </w:pPr>
          </w:p>
        </w:tc>
        <w:tc>
          <w:tcPr>
            <w:tcW w:w="7720" w:type="dxa"/>
            <w:vAlign w:val="bottom"/>
            <w:gridSpan w:val="21"/>
          </w:tcPr>
          <w:p>
            <w:pPr>
              <w:spacing w:after="0"/>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Form of Pre-Funded Warrant issued by Scilex Holding Company (incorporated by reference to Exhibit 4.1 of our Current Report on</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60" w:type="dxa"/>
            <w:vAlign w:val="bottom"/>
            <w:tcBorders>
              <w:top w:val="single" w:sz="8" w:color="0000EE"/>
            </w:tcBorders>
            <w:gridSpan w:val="18"/>
          </w:tcPr>
          <w:p>
            <w:pPr>
              <w:spacing w:after="0" w:line="14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Form 8-K (File No. 001-39852), filed with the SEC on December 13, 2024).</w:t>
              </w:r>
            </w:hyperlink>
          </w:p>
        </w:tc>
        <w:tc>
          <w:tcPr>
            <w:tcW w:w="2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4.15</w:t>
            </w:r>
          </w:p>
        </w:tc>
        <w:tc>
          <w:tcPr>
            <w:tcW w:w="440" w:type="dxa"/>
            <w:vAlign w:val="bottom"/>
          </w:tcPr>
          <w:p>
            <w:pPr>
              <w:spacing w:after="0"/>
              <w:rPr>
                <w:sz w:val="20"/>
                <w:szCs w:val="20"/>
                <w:color w:val="auto"/>
              </w:rPr>
            </w:pPr>
          </w:p>
        </w:tc>
        <w:tc>
          <w:tcPr>
            <w:tcW w:w="7720" w:type="dxa"/>
            <w:vAlign w:val="bottom"/>
            <w:gridSpan w:val="21"/>
          </w:tcPr>
          <w:p>
            <w:pPr>
              <w:spacing w:after="0"/>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Form of StockBlock Warrant issued by Scilex Holding Company (incorporated by reference to Exhibit 4.3 of our Current Report on</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20" w:type="dxa"/>
            <w:vAlign w:val="bottom"/>
            <w:tcBorders>
              <w:top w:val="single" w:sz="8" w:color="0000EE"/>
            </w:tcBorders>
            <w:gridSpan w:val="17"/>
          </w:tcPr>
          <w:p>
            <w:pPr>
              <w:spacing w:after="0" w:line="149"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Form 8-K (File No. 001-39852), filed with the SEC on December 13, 2024).</w:t>
              </w:r>
            </w:hyperlink>
          </w:p>
        </w:tc>
        <w:tc>
          <w:tcPr>
            <w:tcW w:w="3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4.16</w:t>
            </w:r>
          </w:p>
        </w:tc>
        <w:tc>
          <w:tcPr>
            <w:tcW w:w="440" w:type="dxa"/>
            <w:vAlign w:val="bottom"/>
          </w:tcPr>
          <w:p>
            <w:pPr>
              <w:spacing w:after="0"/>
              <w:rPr>
                <w:sz w:val="20"/>
                <w:szCs w:val="20"/>
                <w:color w:val="auto"/>
              </w:rPr>
            </w:pPr>
          </w:p>
        </w:tc>
        <w:tc>
          <w:tcPr>
            <w:tcW w:w="76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Amendment No. 1 to Common Stock Purchase Warrant, dated December 11, 2024, between Scilex Holding Company and the investor</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tcBorders>
              <w:bottom w:val="single" w:sz="8" w:color="0000EE"/>
            </w:tcBorders>
            <w:gridSpan w:val="21"/>
          </w:tcPr>
          <w:p>
            <w:pPr>
              <w:spacing w:after="0" w:line="149"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named therein (incorporated by reference to Exhibit 4.4 of our Current Report on Form 8-K (File No. 001-39852), filed with the SEC on</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w w:val="99"/>
              </w:rPr>
            </w:pPr>
            <w:hyperlink r:id="rId132">
              <w:r>
                <w:rPr>
                  <w:rFonts w:ascii="Times New Roman" w:cs="Times New Roman" w:eastAsia="Times New Roman" w:hAnsi="Times New Roman"/>
                  <w:sz w:val="14"/>
                  <w:szCs w:val="14"/>
                  <w:color w:val="0000EE"/>
                  <w:w w:val="99"/>
                </w:rPr>
                <w:t>December 13, 2024).</w:t>
              </w:r>
            </w:hyperlink>
          </w:p>
        </w:tc>
        <w:tc>
          <w:tcPr>
            <w:tcW w:w="652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4.17</w:t>
            </w:r>
          </w:p>
        </w:tc>
        <w:tc>
          <w:tcPr>
            <w:tcW w:w="440" w:type="dxa"/>
            <w:vAlign w:val="bottom"/>
          </w:tcPr>
          <w:p>
            <w:pPr>
              <w:spacing w:after="0"/>
              <w:rPr>
                <w:sz w:val="20"/>
                <w:szCs w:val="20"/>
                <w:color w:val="auto"/>
              </w:rPr>
            </w:pPr>
          </w:p>
        </w:tc>
        <w:tc>
          <w:tcPr>
            <w:tcW w:w="756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Form of Exchange Warrant (incorporated by reference to Exhibit 10.6 of our Current Report on Form 8-K (File No. 001-39852), filed</w:t>
              </w:r>
            </w:hyperlink>
          </w:p>
        </w:tc>
        <w:tc>
          <w:tcPr>
            <w:tcW w:w="1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with the SEC on July 23, 2025).</w:t>
              </w:r>
            </w:hyperlink>
          </w:p>
        </w:tc>
        <w:tc>
          <w:tcPr>
            <w:tcW w:w="590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4.18</w:t>
            </w:r>
          </w:p>
        </w:tc>
        <w:tc>
          <w:tcPr>
            <w:tcW w:w="440" w:type="dxa"/>
            <w:vAlign w:val="bottom"/>
          </w:tcPr>
          <w:p>
            <w:pPr>
              <w:spacing w:after="0"/>
              <w:rPr>
                <w:sz w:val="20"/>
                <w:szCs w:val="20"/>
                <w:color w:val="auto"/>
              </w:rPr>
            </w:pPr>
          </w:p>
        </w:tc>
        <w:tc>
          <w:tcPr>
            <w:tcW w:w="7720" w:type="dxa"/>
            <w:vAlign w:val="bottom"/>
            <w:gridSpan w:val="21"/>
          </w:tcPr>
          <w:p>
            <w:pPr>
              <w:spacing w:after="0"/>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Form of September 2025 Warrant (incorporated by reference to Exhibit 10.2 of our Current Report on Form 8-K (File</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20" w:type="dxa"/>
            <w:vAlign w:val="bottom"/>
            <w:tcBorders>
              <w:top w:val="single" w:sz="8" w:color="0000EE"/>
              <w:bottom w:val="single" w:sz="8" w:color="0000EE"/>
            </w:tcBorders>
            <w:gridSpan w:val="9"/>
          </w:tcPr>
          <w:p>
            <w:pPr>
              <w:spacing w:after="0" w:line="149" w:lineRule="exact"/>
              <w:rPr>
                <w:rFonts w:ascii="Times New Roman" w:cs="Times New Roman" w:eastAsia="Times New Roman" w:hAnsi="Times New Roman"/>
                <w:sz w:val="14"/>
                <w:szCs w:val="14"/>
                <w:color w:val="0000EE"/>
                <w:w w:val="99"/>
              </w:rPr>
            </w:pPr>
            <w:hyperlink r:id="rId134">
              <w:r>
                <w:rPr>
                  <w:rFonts w:ascii="Times New Roman" w:cs="Times New Roman" w:eastAsia="Times New Roman" w:hAnsi="Times New Roman"/>
                  <w:sz w:val="14"/>
                  <w:szCs w:val="14"/>
                  <w:color w:val="0000EE"/>
                  <w:w w:val="99"/>
                </w:rPr>
                <w:t>No. 001-39852), filed with the SEC on October 1, 2025).</w:t>
              </w:r>
            </w:hyperlink>
          </w:p>
        </w:tc>
        <w:tc>
          <w:tcPr>
            <w:tcW w:w="3400" w:type="dxa"/>
            <w:vAlign w:val="bottom"/>
            <w:tcBorders>
              <w:top w:val="single" w:sz="8" w:color="0000EE"/>
            </w:tcBorders>
            <w:gridSpan w:val="6"/>
          </w:tcPr>
          <w:p>
            <w:pPr>
              <w:spacing w:after="0"/>
              <w:rPr>
                <w:sz w:val="12"/>
                <w:szCs w:val="12"/>
                <w:color w:val="auto"/>
              </w:rPr>
            </w:pPr>
          </w:p>
        </w:tc>
        <w:tc>
          <w:tcPr>
            <w:tcW w:w="11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4.19</w:t>
            </w:r>
          </w:p>
        </w:tc>
        <w:tc>
          <w:tcPr>
            <w:tcW w:w="440" w:type="dxa"/>
            <w:vAlign w:val="bottom"/>
          </w:tcPr>
          <w:p>
            <w:pPr>
              <w:spacing w:after="0"/>
              <w:rPr>
                <w:sz w:val="20"/>
                <w:szCs w:val="20"/>
                <w:color w:val="auto"/>
              </w:rPr>
            </w:pPr>
          </w:p>
        </w:tc>
        <w:tc>
          <w:tcPr>
            <w:tcW w:w="712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Form of November 2025 Investor Warrant (incorporated by reference to Exhibit 10.2 of our Current Report on Form 8-K (File</w:t>
              </w:r>
            </w:hyperlink>
          </w:p>
        </w:tc>
        <w:tc>
          <w:tcPr>
            <w:tcW w:w="6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21"/>
          </w:tcPr>
          <w:p>
            <w:pPr>
              <w:spacing w:after="0" w:line="149"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No. 001- 39852), filed with the SEC on November 24, 2025).</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4.20</w:t>
            </w:r>
          </w:p>
        </w:tc>
        <w:tc>
          <w:tcPr>
            <w:tcW w:w="440" w:type="dxa"/>
            <w:vAlign w:val="bottom"/>
          </w:tcPr>
          <w:p>
            <w:pPr>
              <w:spacing w:after="0"/>
              <w:rPr>
                <w:sz w:val="20"/>
                <w:szCs w:val="20"/>
                <w:color w:val="auto"/>
              </w:rPr>
            </w:pPr>
          </w:p>
        </w:tc>
        <w:tc>
          <w:tcPr>
            <w:tcW w:w="762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Form of November 2025 Placement Agent Warrant (incorporated by reference to Exhibit 10.3 of our Current Report on Form 8-K (File</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21"/>
          </w:tcPr>
          <w:p>
            <w:pPr>
              <w:spacing w:after="0" w:line="14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No. 001- 39852), filed with the SEC on November 24, 2025).</w:t>
              </w:r>
            </w:hyperlink>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4.21</w:t>
            </w:r>
          </w:p>
        </w:tc>
        <w:tc>
          <w:tcPr>
            <w:tcW w:w="440" w:type="dxa"/>
            <w:vAlign w:val="bottom"/>
          </w:tcPr>
          <w:p>
            <w:pPr>
              <w:spacing w:after="0"/>
              <w:rPr>
                <w:sz w:val="20"/>
                <w:szCs w:val="20"/>
                <w:color w:val="auto"/>
              </w:rPr>
            </w:pPr>
          </w:p>
        </w:tc>
        <w:tc>
          <w:tcPr>
            <w:tcW w:w="746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Convertible Promissory Note, dated January 29, 2026, issued by Quantum Scan Holdings, Inc. in favor of Scilex Holding Company</w:t>
              </w:r>
            </w:hyperlink>
          </w:p>
        </w:tc>
        <w:tc>
          <w:tcPr>
            <w:tcW w:w="2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20" w:type="dxa"/>
            <w:vAlign w:val="bottom"/>
            <w:gridSpan w:val="21"/>
          </w:tcPr>
          <w:p>
            <w:pPr>
              <w:spacing w:after="0" w:line="149"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(incorporated by reference to Exhibit 4.21 of our Quarterly Report on Form 10-Q (file No. 001-39852), filed with the SEC on May 20,</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9"/>
              </w:rPr>
            </w:pPr>
            <w:hyperlink r:id="rId137">
              <w:r>
                <w:rPr>
                  <w:rFonts w:ascii="Times New Roman" w:cs="Times New Roman" w:eastAsia="Times New Roman" w:hAnsi="Times New Roman"/>
                  <w:sz w:val="14"/>
                  <w:szCs w:val="14"/>
                  <w:color w:val="0000EE"/>
                  <w:w w:val="99"/>
                </w:rPr>
                <w:t>2026).</w:t>
              </w:r>
            </w:hyperlink>
          </w:p>
        </w:tc>
        <w:tc>
          <w:tcPr>
            <w:tcW w:w="5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56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320" w:type="dxa"/>
            <w:vAlign w:val="bottom"/>
            <w:tcBorders>
              <w:top w:val="single" w:sz="8" w:color="0000EE"/>
            </w:tcBorders>
          </w:tcPr>
          <w:p>
            <w:pPr>
              <w:spacing w:after="0"/>
              <w:rPr>
                <w:sz w:val="12"/>
                <w:szCs w:val="12"/>
                <w:color w:val="auto"/>
              </w:rPr>
            </w:pPr>
          </w:p>
        </w:tc>
        <w:tc>
          <w:tcPr>
            <w:tcW w:w="50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4.22</w:t>
            </w:r>
          </w:p>
        </w:tc>
        <w:tc>
          <w:tcPr>
            <w:tcW w:w="440" w:type="dxa"/>
            <w:vAlign w:val="bottom"/>
          </w:tcPr>
          <w:p>
            <w:pPr>
              <w:spacing w:after="0"/>
              <w:rPr>
                <w:sz w:val="20"/>
                <w:szCs w:val="20"/>
                <w:color w:val="auto"/>
              </w:rPr>
            </w:pPr>
          </w:p>
        </w:tc>
        <w:tc>
          <w:tcPr>
            <w:tcW w:w="7720" w:type="dxa"/>
            <w:vAlign w:val="bottom"/>
            <w:gridSpan w:val="21"/>
          </w:tcPr>
          <w:p>
            <w:pPr>
              <w:spacing w:after="0"/>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Form of February 2026 Warrant (incorporated by reference to Exhibit 4.1 of our Current Report on Form 8-K (File No. 001- 39852),</w:t>
              </w:r>
            </w:hyperlink>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8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w w:val="99"/>
              </w:rPr>
            </w:pPr>
            <w:hyperlink r:id="rId138">
              <w:r>
                <w:rPr>
                  <w:rFonts w:ascii="Times New Roman" w:cs="Times New Roman" w:eastAsia="Times New Roman" w:hAnsi="Times New Roman"/>
                  <w:sz w:val="14"/>
                  <w:szCs w:val="14"/>
                  <w:color w:val="0000EE"/>
                  <w:w w:val="99"/>
                </w:rPr>
                <w:t>filed with the SEC on February 20, 2026).</w:t>
              </w:r>
            </w:hyperlink>
          </w:p>
        </w:tc>
        <w:tc>
          <w:tcPr>
            <w:tcW w:w="5080" w:type="dxa"/>
            <w:vAlign w:val="bottom"/>
            <w:tcBorders>
              <w:top w:val="single" w:sz="8" w:color="0000EE"/>
            </w:tcBorders>
            <w:gridSpan w:val="12"/>
          </w:tcPr>
          <w:p>
            <w:pPr>
              <w:spacing w:after="0"/>
              <w:rPr>
                <w:sz w:val="12"/>
                <w:szCs w:val="12"/>
                <w:color w:val="auto"/>
              </w:rPr>
            </w:pPr>
          </w:p>
        </w:tc>
        <w:tc>
          <w:tcPr>
            <w:tcW w:w="2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440" w:type="dxa"/>
            <w:vAlign w:val="bottom"/>
          </w:tcPr>
          <w:p>
            <w:pPr>
              <w:spacing w:after="0"/>
              <w:rPr>
                <w:sz w:val="20"/>
                <w:szCs w:val="20"/>
                <w:color w:val="auto"/>
              </w:rPr>
            </w:pPr>
          </w:p>
        </w:tc>
        <w:tc>
          <w:tcPr>
            <w:tcW w:w="1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8"/>
              </w:rPr>
              <w:t>Opinion of Paul Hastings LLP.</w:t>
            </w:r>
          </w:p>
        </w:tc>
        <w:tc>
          <w:tcPr>
            <w:tcW w:w="598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23.1+</w:t>
            </w:r>
          </w:p>
        </w:tc>
        <w:tc>
          <w:tcPr>
            <w:tcW w:w="440" w:type="dxa"/>
            <w:vAlign w:val="bottom"/>
          </w:tcPr>
          <w:p>
            <w:pPr>
              <w:spacing w:after="0"/>
              <w:rPr>
                <w:sz w:val="20"/>
                <w:szCs w:val="20"/>
                <w:color w:val="auto"/>
              </w:rPr>
            </w:pPr>
          </w:p>
        </w:tc>
        <w:tc>
          <w:tcPr>
            <w:tcW w:w="39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9"/>
              </w:rPr>
              <w:t>Consent of BPM LLP, independent registered public accounting firm.</w:t>
            </w:r>
          </w:p>
        </w:tc>
        <w:tc>
          <w:tcPr>
            <w:tcW w:w="380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23.2+</w:t>
            </w:r>
          </w:p>
        </w:tc>
        <w:tc>
          <w:tcPr>
            <w:tcW w:w="440" w:type="dxa"/>
            <w:vAlign w:val="bottom"/>
          </w:tcPr>
          <w:p>
            <w:pPr>
              <w:spacing w:after="0"/>
              <w:rPr>
                <w:sz w:val="20"/>
                <w:szCs w:val="20"/>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Consent of Paul Hastings LLP (included in Exhibit 5.1).</w:t>
            </w: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24.1+</w:t>
            </w:r>
          </w:p>
        </w:tc>
        <w:tc>
          <w:tcPr>
            <w:tcW w:w="440" w:type="dxa"/>
            <w:vAlign w:val="bottom"/>
          </w:tcPr>
          <w:p>
            <w:pPr>
              <w:spacing w:after="0"/>
              <w:rPr>
                <w:sz w:val="20"/>
                <w:szCs w:val="20"/>
                <w:color w:val="auto"/>
              </w:rPr>
            </w:pPr>
          </w:p>
        </w:tc>
        <w:tc>
          <w:tcPr>
            <w:tcW w:w="27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Power of Attorney (included in signature page).</w:t>
            </w:r>
          </w:p>
        </w:tc>
        <w:tc>
          <w:tcPr>
            <w:tcW w:w="460" w:type="dxa"/>
            <w:vAlign w:val="bottom"/>
            <w:tcBorders>
              <w:top w:val="single" w:sz="8" w:color="0000EE"/>
            </w:tcBorders>
          </w:tcPr>
          <w:p>
            <w:pPr>
              <w:spacing w:after="0"/>
              <w:rPr>
                <w:sz w:val="20"/>
                <w:szCs w:val="20"/>
                <w:color w:val="auto"/>
              </w:rPr>
            </w:pPr>
          </w:p>
        </w:tc>
        <w:tc>
          <w:tcPr>
            <w:tcW w:w="45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440" w:type="dxa"/>
            <w:vAlign w:val="bottom"/>
          </w:tcPr>
          <w:p>
            <w:pPr>
              <w:spacing w:after="0"/>
              <w:rPr>
                <w:sz w:val="20"/>
                <w:szCs w:val="20"/>
                <w:color w:val="auto"/>
              </w:rPr>
            </w:pPr>
          </w:p>
        </w:tc>
        <w:tc>
          <w:tcPr>
            <w:tcW w:w="77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80010</wp:posOffset>
            </wp:positionV>
            <wp:extent cx="60261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602615" cy="6985"/>
                    </a:xfrm>
                    <a:prstGeom prst="rect">
                      <a:avLst/>
                    </a:prstGeom>
                    <a:noFill/>
                  </pic:spPr>
                </pic:pic>
              </a:graphicData>
            </a:graphic>
          </wp:anchor>
        </w:drawing>
      </w:r>
    </w:p>
    <w:p>
      <w:pPr>
        <w:spacing w:after="0" w:line="134" w:lineRule="exact"/>
        <w:rPr>
          <w:sz w:val="20"/>
          <w:szCs w:val="20"/>
          <w:color w:val="auto"/>
        </w:rPr>
      </w:pPr>
    </w:p>
    <w:p>
      <w:pPr>
        <w:ind w:left="1680" w:hanging="337"/>
        <w:spacing w:after="0"/>
        <w:tabs>
          <w:tab w:leader="none" w:pos="16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2" w:lineRule="exact"/>
        <w:rPr>
          <w:sz w:val="20"/>
          <w:szCs w:val="20"/>
          <w:color w:val="auto"/>
        </w:rPr>
      </w:pPr>
    </w:p>
    <w:p>
      <w:pPr>
        <w:ind w:left="1680" w:right="519" w:hanging="337"/>
        <w:spacing w:after="0" w:line="262" w:lineRule="auto"/>
        <w:tabs>
          <w:tab w:leader="none" w:pos="16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2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Undertakings.</w:t>
      </w:r>
    </w:p>
    <w:p>
      <w:pPr>
        <w:spacing w:after="0" w:line="94" w:lineRule="exact"/>
        <w:rPr>
          <w:sz w:val="20"/>
          <w:szCs w:val="20"/>
          <w:color w:val="auto"/>
        </w:rPr>
      </w:pPr>
    </w:p>
    <w:p>
      <w:pPr>
        <w:ind w:left="1540" w:hanging="197"/>
        <w:spacing w:after="0"/>
        <w:tabs>
          <w:tab w:leader="none" w:pos="15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2" w:lineRule="exact"/>
        <w:rPr>
          <w:rFonts w:ascii="Times New Roman" w:cs="Times New Roman" w:eastAsia="Times New Roman" w:hAnsi="Times New Roman"/>
          <w:sz w:val="14"/>
          <w:szCs w:val="14"/>
          <w:color w:val="auto"/>
        </w:rPr>
      </w:pPr>
    </w:p>
    <w:p>
      <w:pPr>
        <w:ind w:left="2100" w:hanging="420"/>
        <w:spacing w:after="0"/>
        <w:tabs>
          <w:tab w:leader="none" w:pos="21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2" w:lineRule="exact"/>
        <w:rPr>
          <w:rFonts w:ascii="Times New Roman" w:cs="Times New Roman" w:eastAsia="Times New Roman" w:hAnsi="Times New Roman"/>
          <w:sz w:val="14"/>
          <w:szCs w:val="14"/>
          <w:color w:val="auto"/>
        </w:rPr>
      </w:pPr>
    </w:p>
    <w:p>
      <w:pPr>
        <w:ind w:left="2460" w:hanging="347"/>
        <w:spacing w:after="0"/>
        <w:tabs>
          <w:tab w:leader="none" w:pos="246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102" w:lineRule="exact"/>
        <w:rPr>
          <w:rFonts w:ascii="Times New Roman" w:cs="Times New Roman" w:eastAsia="Times New Roman" w:hAnsi="Times New Roman"/>
          <w:sz w:val="14"/>
          <w:szCs w:val="14"/>
          <w:color w:val="auto"/>
        </w:rPr>
      </w:pPr>
    </w:p>
    <w:p>
      <w:pPr>
        <w:ind w:left="2460" w:right="279" w:hanging="347"/>
        <w:spacing w:after="0" w:line="259" w:lineRule="auto"/>
        <w:tabs>
          <w:tab w:leader="none" w:pos="2460" w:val="left"/>
        </w:tabs>
        <w:numPr>
          <w:ilvl w:val="2"/>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460" w:right="279"/>
        <w:spacing w:after="0" w:line="268" w:lineRule="auto"/>
        <w:rPr>
          <w:sz w:val="20"/>
          <w:szCs w:val="20"/>
          <w:color w:val="auto"/>
        </w:rPr>
      </w:pPr>
      <w:r>
        <w:rPr>
          <w:rFonts w:ascii="Times New Roman" w:cs="Times New Roman" w:eastAsia="Times New Roman" w:hAnsi="Times New Roman"/>
          <w:sz w:val="14"/>
          <w:szCs w:val="14"/>
          <w:color w:val="auto"/>
        </w:rPr>
        <w:t>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2" w:lineRule="exact"/>
        <w:rPr>
          <w:sz w:val="20"/>
          <w:szCs w:val="20"/>
          <w:color w:val="auto"/>
        </w:rPr>
      </w:pPr>
    </w:p>
    <w:p>
      <w:pPr>
        <w:ind w:left="2460" w:right="339" w:hanging="347"/>
        <w:spacing w:after="0" w:line="284" w:lineRule="auto"/>
        <w:tabs>
          <w:tab w:leader="none" w:pos="2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ind w:left="1340" w:right="439" w:firstLine="344"/>
        <w:spacing w:after="0" w:line="263"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of this section do not apply if the information required to be included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66" w:lineRule="exact"/>
        <w:rPr>
          <w:sz w:val="20"/>
          <w:szCs w:val="20"/>
          <w:color w:val="auto"/>
        </w:rPr>
      </w:pPr>
    </w:p>
    <w:p>
      <w:pPr>
        <w:ind w:left="2100" w:right="219" w:hanging="420"/>
        <w:spacing w:after="0" w:line="258"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 w:lineRule="exact"/>
        <w:rPr>
          <w:rFonts w:ascii="Times New Roman" w:cs="Times New Roman" w:eastAsia="Times New Roman" w:hAnsi="Times New Roman"/>
          <w:sz w:val="14"/>
          <w:szCs w:val="14"/>
          <w:color w:val="auto"/>
        </w:rPr>
      </w:pPr>
    </w:p>
    <w:p>
      <w:pPr>
        <w:ind w:left="2100" w:right="499" w:hanging="420"/>
        <w:spacing w:after="0" w:line="262"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6" w:lineRule="exact"/>
        <w:rPr>
          <w:rFonts w:ascii="Times New Roman" w:cs="Times New Roman" w:eastAsia="Times New Roman" w:hAnsi="Times New Roman"/>
          <w:sz w:val="14"/>
          <w:szCs w:val="14"/>
          <w:color w:val="auto"/>
        </w:rPr>
      </w:pPr>
    </w:p>
    <w:p>
      <w:pPr>
        <w:ind w:left="2100" w:hanging="420"/>
        <w:spacing w:after="0"/>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2" w:lineRule="exact"/>
        <w:rPr>
          <w:rFonts w:ascii="Times New Roman" w:cs="Times New Roman" w:eastAsia="Times New Roman" w:hAnsi="Times New Roman"/>
          <w:sz w:val="14"/>
          <w:szCs w:val="14"/>
          <w:color w:val="auto"/>
        </w:rPr>
      </w:pPr>
    </w:p>
    <w:p>
      <w:pPr>
        <w:ind w:left="2460" w:right="399" w:hanging="347"/>
        <w:spacing w:after="0" w:line="284" w:lineRule="auto"/>
        <w:tabs>
          <w:tab w:leader="none" w:pos="24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1" w:lineRule="exact"/>
        <w:rPr>
          <w:rFonts w:ascii="Times New Roman" w:cs="Times New Roman" w:eastAsia="Times New Roman" w:hAnsi="Times New Roman"/>
          <w:sz w:val="14"/>
          <w:szCs w:val="14"/>
          <w:color w:val="auto"/>
        </w:rPr>
      </w:pPr>
    </w:p>
    <w:p>
      <w:pPr>
        <w:ind w:left="2460" w:right="219" w:hanging="347"/>
        <w:spacing w:after="0" w:line="254" w:lineRule="auto"/>
        <w:tabs>
          <w:tab w:leader="none" w:pos="24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Times New Roman" w:cs="Times New Roman" w:eastAsia="Times New Roman" w:hAnsi="Times New Roman"/>
          <w:sz w:val="14"/>
          <w:szCs w:val="14"/>
          <w:color w:val="auto"/>
        </w:rPr>
      </w:pPr>
    </w:p>
    <w:p>
      <w:pPr>
        <w:ind w:left="2100" w:right="259" w:hanging="420"/>
        <w:spacing w:after="0" w:line="259" w:lineRule="auto"/>
        <w:tabs>
          <w:tab w:leader="none" w:pos="21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9" w:lineRule="exact"/>
        <w:rPr>
          <w:rFonts w:ascii="Times New Roman" w:cs="Times New Roman" w:eastAsia="Times New Roman" w:hAnsi="Times New Roman"/>
          <w:sz w:val="14"/>
          <w:szCs w:val="14"/>
          <w:color w:val="auto"/>
        </w:rPr>
      </w:pPr>
    </w:p>
    <w:p>
      <w:pPr>
        <w:ind w:left="2460" w:right="279" w:hanging="347"/>
        <w:spacing w:after="0" w:line="284" w:lineRule="auto"/>
        <w:tabs>
          <w:tab w:leader="none" w:pos="246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460" w:right="339" w:hanging="347"/>
        <w:spacing w:after="0" w:line="284" w:lineRule="auto"/>
        <w:tabs>
          <w:tab w:leader="none" w:pos="24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1" w:lineRule="exact"/>
        <w:rPr>
          <w:rFonts w:ascii="Times New Roman" w:cs="Times New Roman" w:eastAsia="Times New Roman" w:hAnsi="Times New Roman"/>
          <w:sz w:val="14"/>
          <w:szCs w:val="14"/>
          <w:color w:val="auto"/>
        </w:rPr>
      </w:pPr>
    </w:p>
    <w:p>
      <w:pPr>
        <w:ind w:left="2460" w:right="599" w:hanging="347"/>
        <w:spacing w:after="0" w:line="284" w:lineRule="auto"/>
        <w:tabs>
          <w:tab w:leader="none" w:pos="24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Times New Roman" w:cs="Times New Roman" w:eastAsia="Times New Roman" w:hAnsi="Times New Roman"/>
          <w:sz w:val="14"/>
          <w:szCs w:val="14"/>
          <w:color w:val="auto"/>
        </w:rPr>
      </w:pPr>
    </w:p>
    <w:p>
      <w:pPr>
        <w:ind w:left="2460" w:hanging="347"/>
        <w:spacing w:after="0"/>
        <w:tabs>
          <w:tab w:leader="none" w:pos="246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6" w:lineRule="exact"/>
        <w:rPr>
          <w:rFonts w:ascii="Times New Roman" w:cs="Times New Roman" w:eastAsia="Times New Roman" w:hAnsi="Times New Roman"/>
          <w:sz w:val="14"/>
          <w:szCs w:val="14"/>
          <w:color w:val="auto"/>
        </w:rPr>
      </w:pPr>
    </w:p>
    <w:p>
      <w:pPr>
        <w:ind w:left="1340" w:right="379" w:firstLine="3"/>
        <w:spacing w:after="0" w:line="259" w:lineRule="auto"/>
        <w:tabs>
          <w:tab w:leader="none" w:pos="153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3" w:lineRule="exact"/>
        <w:rPr>
          <w:rFonts w:ascii="Times New Roman" w:cs="Times New Roman" w:eastAsia="Times New Roman" w:hAnsi="Times New Roman"/>
          <w:sz w:val="14"/>
          <w:szCs w:val="14"/>
          <w:color w:val="auto"/>
        </w:rPr>
      </w:pPr>
    </w:p>
    <w:p>
      <w:pPr>
        <w:ind w:left="1340" w:right="399" w:firstLine="3"/>
        <w:spacing w:after="0" w:line="256" w:lineRule="auto"/>
        <w:tabs>
          <w:tab w:leader="none" w:pos="153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jc w:val="both"/>
        <w:ind w:left="1340" w:right="279"/>
        <w:spacing w:after="0" w:line="26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Palo Alto, State of California, on the 2nd day of June, 2026.</w:t>
      </w:r>
    </w:p>
    <w:p>
      <w:pPr>
        <w:spacing w:after="0" w:line="24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SCILEX HOLDING COMPANY</w:t>
      </w:r>
    </w:p>
    <w:p>
      <w:pPr>
        <w:spacing w:after="0" w:line="17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By: /s/ Henry Ji</w:t>
      </w:r>
    </w:p>
    <w:p>
      <w:pPr>
        <w:spacing w:after="0" w:line="2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Name: Henry Ji,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-101600</wp:posOffset>
            </wp:positionV>
            <wp:extent cx="21755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2175510" cy="698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4"/>
          <w:szCs w:val="14"/>
          <w:color w:val="auto"/>
        </w:rPr>
        <w:t>Title: Chief Executive Officer and President</w:t>
      </w:r>
    </w:p>
    <w:p>
      <w:pPr>
        <w:spacing w:after="0" w:line="3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ind w:left="1340" w:right="219" w:firstLine="344"/>
        <w:spacing w:after="0" w:line="255"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each of Henry Ji and Stephen Ma,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and generally to do all such things in their names and behalf in their capacities as officers and directors to enable Scilex Holding Company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or his or her substitutes or resubstitutes, may lawfully do or cause to be done by virtue hereof.</w:t>
      </w:r>
    </w:p>
    <w:p>
      <w:pPr>
        <w:spacing w:after="0" w:line="147" w:lineRule="exact"/>
        <w:rPr>
          <w:sz w:val="20"/>
          <w:szCs w:val="20"/>
          <w:color w:val="auto"/>
        </w:rPr>
      </w:pPr>
    </w:p>
    <w:p>
      <w:pPr>
        <w:ind w:left="1340" w:right="259" w:firstLine="344"/>
        <w:spacing w:after="0" w:line="284"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20" w:type="dxa"/>
            <w:vAlign w:val="bottom"/>
          </w:tcPr>
          <w:p>
            <w:pPr>
              <w:spacing w:after="0"/>
              <w:rPr>
                <w:sz w:val="11"/>
                <w:szCs w:val="11"/>
                <w:color w:val="auto"/>
              </w:rPr>
            </w:pPr>
          </w:p>
        </w:tc>
        <w:tc>
          <w:tcPr>
            <w:tcW w:w="1940" w:type="dxa"/>
            <w:vAlign w:val="bottom"/>
            <w:gridSpan w:val="2"/>
          </w:tcPr>
          <w:p>
            <w:pPr>
              <w:jc w:val="center"/>
              <w:ind w:right="158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000" w:type="dxa"/>
            <w:vAlign w:val="bottom"/>
            <w:gridSpan w:val="3"/>
          </w:tcPr>
          <w:p>
            <w:pPr>
              <w:jc w:val="center"/>
              <w:ind w:left="192"/>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28"/>
        </w:trPr>
        <w:tc>
          <w:tcPr>
            <w:tcW w:w="1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Henry Ji</w:t>
            </w:r>
          </w:p>
        </w:tc>
        <w:tc>
          <w:tcPr>
            <w:tcW w:w="1600" w:type="dxa"/>
            <w:vAlign w:val="bottom"/>
            <w:tcBorders>
              <w:bottom w:val="single" w:sz="8" w:color="auto"/>
            </w:tcBorders>
          </w:tcPr>
          <w:p>
            <w:pPr>
              <w:spacing w:after="0"/>
              <w:rPr>
                <w:sz w:val="24"/>
                <w:szCs w:val="24"/>
                <w:color w:val="auto"/>
              </w:rPr>
            </w:pPr>
          </w:p>
        </w:tc>
        <w:tc>
          <w:tcPr>
            <w:tcW w:w="3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w w:val="99"/>
              </w:rPr>
              <w:t>Chief Executive Officer, President, Chairperson and</w:t>
            </w:r>
          </w:p>
        </w:tc>
        <w:tc>
          <w:tcPr>
            <w:tcW w:w="100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color w:val="auto"/>
              </w:rPr>
              <w:t>June 2, 2026</w:t>
            </w:r>
          </w:p>
        </w:tc>
      </w:tr>
      <w:tr>
        <w:trPr>
          <w:trHeight w:val="132"/>
        </w:trPr>
        <w:tc>
          <w:tcPr>
            <w:tcW w:w="3880" w:type="dxa"/>
            <w:vAlign w:val="bottom"/>
            <w:gridSpan w:val="3"/>
          </w:tcPr>
          <w:p>
            <w:pPr>
              <w:jc w:val="center"/>
              <w:spacing w:after="0" w:line="132" w:lineRule="exact"/>
              <w:rPr>
                <w:sz w:val="20"/>
                <w:szCs w:val="20"/>
                <w:color w:val="auto"/>
              </w:rPr>
            </w:pPr>
            <w:r>
              <w:rPr>
                <w:rFonts w:ascii="Times New Roman" w:cs="Times New Roman" w:eastAsia="Times New Roman" w:hAnsi="Times New Roman"/>
                <w:sz w:val="14"/>
                <w:szCs w:val="14"/>
                <w:color w:val="auto"/>
              </w:rPr>
              <w:t>Henry Ji, Ph.D.</w:t>
            </w:r>
          </w:p>
        </w:tc>
        <w:tc>
          <w:tcPr>
            <w:tcW w:w="1420" w:type="dxa"/>
            <w:vAlign w:val="bottom"/>
          </w:tcPr>
          <w:p>
            <w:pPr>
              <w:spacing w:after="0"/>
              <w:rPr>
                <w:sz w:val="11"/>
                <w:szCs w:val="11"/>
                <w:color w:val="auto"/>
              </w:rPr>
            </w:pPr>
          </w:p>
        </w:tc>
        <w:tc>
          <w:tcPr>
            <w:tcW w:w="1940" w:type="dxa"/>
            <w:vAlign w:val="bottom"/>
            <w:gridSpan w:val="2"/>
          </w:tcPr>
          <w:p>
            <w:pPr>
              <w:jc w:val="center"/>
              <w:ind w:right="1440"/>
              <w:spacing w:after="0" w:line="132" w:lineRule="exact"/>
              <w:rPr>
                <w:sz w:val="20"/>
                <w:szCs w:val="20"/>
                <w:color w:val="auto"/>
              </w:rPr>
            </w:pPr>
            <w:r>
              <w:rPr>
                <w:rFonts w:ascii="Times New Roman" w:cs="Times New Roman" w:eastAsia="Times New Roman" w:hAnsi="Times New Roman"/>
                <w:sz w:val="14"/>
                <w:szCs w:val="14"/>
                <w:color w:val="auto"/>
                <w:w w:val="98"/>
              </w:rPr>
              <w:t>Director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85"/>
        </w:trPr>
        <w:tc>
          <w:tcPr>
            <w:tcW w:w="1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3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i w:val="1"/>
                <w:iCs w:val="1"/>
                <w:color w:val="auto"/>
                <w:w w:val="99"/>
              </w:rPr>
              <w:t>Principal Executive Officer</w:t>
            </w:r>
            <w:r>
              <w:rPr>
                <w:rFonts w:ascii="Times New Roman" w:cs="Times New Roman" w:eastAsia="Times New Roman" w:hAnsi="Times New Roman"/>
                <w:sz w:val="14"/>
                <w:szCs w:val="14"/>
                <w:color w:val="auto"/>
                <w:w w:val="99"/>
              </w:rPr>
              <w:t>)</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3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Stephen Ma</w:t>
            </w:r>
          </w:p>
        </w:tc>
        <w:tc>
          <w:tcPr>
            <w:tcW w:w="3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Chief Financial Officer, Chief Operating Officer,</w:t>
            </w:r>
          </w:p>
        </w:tc>
        <w:tc>
          <w:tcPr>
            <w:tcW w:w="100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color w:val="auto"/>
              </w:rPr>
              <w:t>June 2, 2026</w:t>
            </w:r>
          </w:p>
        </w:tc>
      </w:tr>
      <w:tr>
        <w:trPr>
          <w:trHeight w:val="132"/>
        </w:trPr>
        <w:tc>
          <w:tcPr>
            <w:tcW w:w="3880" w:type="dxa"/>
            <w:vAlign w:val="bottom"/>
            <w:gridSpan w:val="3"/>
          </w:tcPr>
          <w:p>
            <w:pPr>
              <w:jc w:val="center"/>
              <w:spacing w:after="0" w:line="132" w:lineRule="exact"/>
              <w:rPr>
                <w:sz w:val="20"/>
                <w:szCs w:val="20"/>
                <w:color w:val="auto"/>
              </w:rPr>
            </w:pPr>
            <w:r>
              <w:rPr>
                <w:rFonts w:ascii="Times New Roman" w:cs="Times New Roman" w:eastAsia="Times New Roman" w:hAnsi="Times New Roman"/>
                <w:sz w:val="14"/>
                <w:szCs w:val="14"/>
                <w:color w:val="auto"/>
              </w:rPr>
              <w:t>Stephen Ma</w:t>
            </w:r>
          </w:p>
        </w:tc>
        <w:tc>
          <w:tcPr>
            <w:tcW w:w="336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4"/>
                <w:szCs w:val="14"/>
                <w:color w:val="auto"/>
                <w:w w:val="99"/>
              </w:rPr>
              <w:t>Secretary and Director</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85"/>
        </w:trPr>
        <w:tc>
          <w:tcPr>
            <w:tcW w:w="1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3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3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Dorman Followwill</w:t>
            </w:r>
          </w:p>
        </w:tc>
        <w:tc>
          <w:tcPr>
            <w:tcW w:w="3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color w:val="auto"/>
              </w:rPr>
              <w:t>June 2, 2026</w:t>
            </w:r>
          </w:p>
        </w:tc>
      </w:tr>
      <w:tr>
        <w:trPr>
          <w:trHeight w:val="174"/>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Dorman Followwill</w:t>
            </w: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33"/>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8"/>
              </w:rPr>
              <w:t>/s/ Yue Alexander Wu</w:t>
            </w:r>
          </w:p>
        </w:tc>
        <w:tc>
          <w:tcPr>
            <w:tcW w:w="3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color w:val="auto"/>
              </w:rPr>
              <w:t>June 2, 2026</w:t>
            </w:r>
          </w:p>
        </w:tc>
      </w:tr>
      <w:tr>
        <w:trPr>
          <w:trHeight w:val="174"/>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Yue Alexander Wu, Ph.D.</w:t>
            </w: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33"/>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Jay Chun</w:t>
            </w:r>
          </w:p>
        </w:tc>
        <w:tc>
          <w:tcPr>
            <w:tcW w:w="33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Director</w:t>
            </w:r>
          </w:p>
        </w:tc>
        <w:tc>
          <w:tcPr>
            <w:tcW w:w="1000" w:type="dxa"/>
            <w:vAlign w:val="bottom"/>
            <w:gridSpan w:val="3"/>
          </w:tcPr>
          <w:p>
            <w:pPr>
              <w:jc w:val="center"/>
              <w:ind w:left="212"/>
              <w:spacing w:after="0"/>
              <w:rPr>
                <w:sz w:val="20"/>
                <w:szCs w:val="20"/>
                <w:color w:val="auto"/>
              </w:rPr>
            </w:pPr>
            <w:r>
              <w:rPr>
                <w:rFonts w:ascii="Times New Roman" w:cs="Times New Roman" w:eastAsia="Times New Roman" w:hAnsi="Times New Roman"/>
                <w:sz w:val="14"/>
                <w:szCs w:val="14"/>
                <w:color w:val="auto"/>
              </w:rPr>
              <w:t>June 2, 2026</w:t>
            </w:r>
          </w:p>
        </w:tc>
      </w:tr>
      <w:tr>
        <w:trPr>
          <w:trHeight w:val="174"/>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Jay Chun, M.D., Ph.D.</w:t>
            </w: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0"/>
        </w:trPr>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6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II-7</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59"/>
          </w:cols>
          <w:pgMar w:left="300" w:top="386" w:right="1440" w:bottom="1440" w:gutter="0" w:footer="0" w:header="0"/>
        </w:sectPr>
      </w:pPr>
    </w:p>
    <w:bookmarkStart w:id="63" w:name="page64"/>
    <w:bookmarkEnd w:id="6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135890</wp:posOffset>
            </wp:positionV>
            <wp:extent cx="1231900" cy="368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12319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June 2, 2026</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Scilex Holding Company</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960 San Antonio Road</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Palo Alto, CA 94303</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Re: Registration Statement on Form S-3</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0" w:lineRule="exact"/>
        <w:rPr>
          <w:sz w:val="20"/>
          <w:szCs w:val="20"/>
          <w:color w:val="auto"/>
        </w:rPr>
      </w:pPr>
    </w:p>
    <w:p>
      <w:pPr>
        <w:ind w:left="200" w:right="259"/>
        <w:spacing w:after="0" w:line="257" w:lineRule="auto"/>
        <w:rPr>
          <w:sz w:val="20"/>
          <w:szCs w:val="20"/>
          <w:color w:val="auto"/>
        </w:rPr>
      </w:pPr>
      <w:r>
        <w:rPr>
          <w:rFonts w:ascii="Times New Roman" w:cs="Times New Roman" w:eastAsia="Times New Roman" w:hAnsi="Times New Roman"/>
          <w:sz w:val="14"/>
          <w:szCs w:val="14"/>
          <w:color w:val="auto"/>
        </w:rPr>
        <w:t>We have acted as counsel to Scilex Holding Company,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preparation and filing on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All terms capitalized but not otherwise defined herein shall have the meanings given to them in the Registration Statement. The Registration Statement includes a related prospectus filed with the Registration Statement (the “</w:t>
      </w:r>
      <w:r>
        <w:rPr>
          <w:rFonts w:ascii="Times New Roman" w:cs="Times New Roman" w:eastAsia="Times New Roman" w:hAnsi="Times New Roman"/>
          <w:sz w:val="14"/>
          <w:szCs w:val="14"/>
          <w:b w:val="1"/>
          <w:bCs w:val="1"/>
          <w:i w:val="1"/>
          <w:iCs w:val="1"/>
          <w:color w:val="auto"/>
        </w:rPr>
        <w:t>Prospectus</w:t>
      </w:r>
      <w:r>
        <w:rPr>
          <w:rFonts w:ascii="Times New Roman" w:cs="Times New Roman" w:eastAsia="Times New Roman" w:hAnsi="Times New Roman"/>
          <w:sz w:val="14"/>
          <w:szCs w:val="14"/>
          <w:color w:val="auto"/>
        </w:rPr>
        <w:t>”), relating to (a) the issuance of shares of the Company’s common stock, par value $0.0001 per share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upon the exercise of warrants issued by the Company, and (b) the resale of certain securities issued or to be issued by the Company to certain securityholders of the Company, as follows:</w:t>
      </w:r>
    </w:p>
    <w:p>
      <w:pPr>
        <w:spacing w:after="0" w:line="69" w:lineRule="exact"/>
        <w:rPr>
          <w:sz w:val="20"/>
          <w:szCs w:val="20"/>
          <w:color w:val="auto"/>
        </w:rPr>
      </w:pPr>
    </w:p>
    <w:p>
      <w:pPr>
        <w:ind w:left="960" w:right="239" w:hanging="420"/>
        <w:spacing w:after="0" w:line="269"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up to 2,083,067 shares (the “</w:t>
      </w:r>
      <w:r>
        <w:rPr>
          <w:rFonts w:ascii="Times New Roman" w:cs="Times New Roman" w:eastAsia="Times New Roman" w:hAnsi="Times New Roman"/>
          <w:sz w:val="14"/>
          <w:szCs w:val="14"/>
          <w:b w:val="1"/>
          <w:bCs w:val="1"/>
          <w:i w:val="1"/>
          <w:iCs w:val="1"/>
          <w:color w:val="auto"/>
        </w:rPr>
        <w:t>Primary Warrant Shares</w:t>
      </w:r>
      <w:r>
        <w:rPr>
          <w:rFonts w:ascii="Times New Roman" w:cs="Times New Roman" w:eastAsia="Times New Roman" w:hAnsi="Times New Roman"/>
          <w:sz w:val="14"/>
          <w:szCs w:val="14"/>
          <w:color w:val="auto"/>
        </w:rPr>
        <w:t>”) of Common Stock upon exercise of certain outstanding warrants to purchase Common Stock including the February 2024 BDO Warrants, April 2024 RDO Placement Agent Warrants, October 2024 Warrants, December 2024 Warrants, SPAC Warrants, Exchange Warrants and the conversion of the Tranche B Note; and</w:t>
      </w:r>
    </w:p>
    <w:p>
      <w:pPr>
        <w:spacing w:after="0" w:line="59" w:lineRule="exact"/>
        <w:rPr>
          <w:rFonts w:ascii="Times New Roman" w:cs="Times New Roman" w:eastAsia="Times New Roman" w:hAnsi="Times New Roman"/>
          <w:sz w:val="14"/>
          <w:szCs w:val="14"/>
          <w:color w:val="auto"/>
        </w:rPr>
      </w:pPr>
    </w:p>
    <w:p>
      <w:pPr>
        <w:ind w:left="960" w:right="299" w:hanging="420"/>
        <w:spacing w:after="0" w:line="263" w:lineRule="auto"/>
        <w:tabs>
          <w:tab w:leader="none" w:pos="9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resale by certain selling securityholders of up to: (A) 6,581,004 shares of Common Stock (the “</w:t>
      </w:r>
      <w:r>
        <w:rPr>
          <w:rFonts w:ascii="Times New Roman" w:cs="Times New Roman" w:eastAsia="Times New Roman" w:hAnsi="Times New Roman"/>
          <w:sz w:val="14"/>
          <w:szCs w:val="14"/>
          <w:b w:val="1"/>
          <w:bCs w:val="1"/>
          <w:i w:val="1"/>
          <w:iCs w:val="1"/>
          <w:color w:val="auto"/>
        </w:rPr>
        <w:t>Resale Shares</w:t>
      </w:r>
      <w:r>
        <w:rPr>
          <w:rFonts w:ascii="Times New Roman" w:cs="Times New Roman" w:eastAsia="Times New Roman" w:hAnsi="Times New Roman"/>
          <w:sz w:val="14"/>
          <w:szCs w:val="14"/>
          <w:color w:val="auto"/>
        </w:rPr>
        <w:t>” and together with the Primary Warrant Shares, the “</w:t>
      </w:r>
      <w:r>
        <w:rPr>
          <w:rFonts w:ascii="Times New Roman" w:cs="Times New Roman" w:eastAsia="Times New Roman" w:hAnsi="Times New Roman"/>
          <w:sz w:val="14"/>
          <w:szCs w:val="14"/>
          <w:b w:val="1"/>
          <w:bCs w:val="1"/>
          <w:i w:val="1"/>
          <w:iCs w:val="1"/>
          <w:color w:val="auto"/>
        </w:rPr>
        <w:t>Shares</w:t>
      </w:r>
      <w:r>
        <w:rPr>
          <w:rFonts w:ascii="Times New Roman" w:cs="Times New Roman" w:eastAsia="Times New Roman" w:hAnsi="Times New Roman"/>
          <w:sz w:val="14"/>
          <w:szCs w:val="14"/>
          <w:color w:val="auto"/>
        </w:rPr>
        <w:t>”) consisting of (I) 5,067,964 shares issuable upon exercise of the Deposit Warrant, Private Warrants, September 2025 Warrants, November 2025 Warrants and February 2026 Warrant and (II) 1,513,040 Merger Shares and (B) 490,617 Private Warrants (the “</w:t>
      </w:r>
      <w:r>
        <w:rPr>
          <w:rFonts w:ascii="Times New Roman" w:cs="Times New Roman" w:eastAsia="Times New Roman" w:hAnsi="Times New Roman"/>
          <w:sz w:val="14"/>
          <w:szCs w:val="14"/>
          <w:b w:val="1"/>
          <w:bCs w:val="1"/>
          <w:i w:val="1"/>
          <w:iCs w:val="1"/>
          <w:color w:val="auto"/>
        </w:rPr>
        <w:t>Resale Warrants</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This opinion letter is being furnished in accordance with the requirements of Item 601 of Regulation S-K under the Securities Act.</w:t>
      </w:r>
    </w:p>
    <w:p>
      <w:pPr>
        <w:spacing w:after="0" w:line="176" w:lineRule="exact"/>
        <w:rPr>
          <w:sz w:val="20"/>
          <w:szCs w:val="20"/>
          <w:color w:val="auto"/>
        </w:rPr>
      </w:pPr>
    </w:p>
    <w:p>
      <w:pPr>
        <w:ind w:left="200" w:right="239"/>
        <w:spacing w:after="0" w:line="255" w:lineRule="auto"/>
        <w:rPr>
          <w:sz w:val="20"/>
          <w:szCs w:val="20"/>
          <w:color w:val="auto"/>
        </w:rPr>
      </w:pPr>
      <w:r>
        <w:rPr>
          <w:rFonts w:ascii="Times New Roman" w:cs="Times New Roman" w:eastAsia="Times New Roman" w:hAnsi="Times New Roman"/>
          <w:sz w:val="14"/>
          <w:szCs w:val="14"/>
          <w:color w:val="auto"/>
        </w:rPr>
        <w:t>As such counsel and for purposes of our opinion set forth below, we have examined and relied upon originals or copies, certified or otherwise identified to our satisfaction, such documents, resolutions, certificates and other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 (i) the Registration Statement; (ii) the Prospectus; (iii) the Restated Certificate of Incorporation of the Company, as amended, certified by the Secretary of State of the State of Delaware as of June 2, 2026 (the “</w:t>
      </w:r>
      <w:r>
        <w:rPr>
          <w:rFonts w:ascii="Times New Roman" w:cs="Times New Roman" w:eastAsia="Times New Roman" w:hAnsi="Times New Roman"/>
          <w:sz w:val="14"/>
          <w:szCs w:val="14"/>
          <w:b w:val="1"/>
          <w:bCs w:val="1"/>
          <w:i w:val="1"/>
          <w:iCs w:val="1"/>
          <w:color w:val="auto"/>
        </w:rPr>
        <w:t>Charter</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ind w:left="200" w:right="259" w:firstLine="3"/>
        <w:spacing w:after="0" w:line="254" w:lineRule="auto"/>
        <w:tabs>
          <w:tab w:leader="none" w:pos="43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Bylaws of the Company as presently in effect, certified by an officer of the Company as of June 2, 2026; (v) the agreements and documents governing the issuance and/or terms of Warrants pursuant to which the Shares are issuable (collectively, the “</w:t>
      </w:r>
      <w:r>
        <w:rPr>
          <w:rFonts w:ascii="Times New Roman" w:cs="Times New Roman" w:eastAsia="Times New Roman" w:hAnsi="Times New Roman"/>
          <w:sz w:val="14"/>
          <w:szCs w:val="14"/>
          <w:b w:val="1"/>
          <w:bCs w:val="1"/>
          <w:i w:val="1"/>
          <w:iCs w:val="1"/>
          <w:color w:val="auto"/>
        </w:rPr>
        <w:t>Warrant Agreements</w:t>
      </w:r>
      <w:r>
        <w:rPr>
          <w:rFonts w:ascii="Times New Roman" w:cs="Times New Roman" w:eastAsia="Times New Roman" w:hAnsi="Times New Roman"/>
          <w:sz w:val="14"/>
          <w:szCs w:val="14"/>
          <w:color w:val="auto"/>
        </w:rPr>
        <w:t>”); and (vi) a certificate, dated as of June 2, 2026, from the Secretary of State of the State of Delaware certifying as to the existence and good standing of the Company in the State of Delaware (the “</w:t>
      </w:r>
      <w:r>
        <w:rPr>
          <w:rFonts w:ascii="Times New Roman" w:cs="Times New Roman" w:eastAsia="Times New Roman" w:hAnsi="Times New Roman"/>
          <w:sz w:val="14"/>
          <w:szCs w:val="14"/>
          <w:b w:val="1"/>
          <w:bCs w:val="1"/>
          <w:i w:val="1"/>
          <w:iCs w:val="1"/>
          <w:color w:val="auto"/>
        </w:rPr>
        <w:t>Good Standing Certificate</w:t>
      </w:r>
      <w:r>
        <w:rPr>
          <w:rFonts w:ascii="Times New Roman" w:cs="Times New Roman" w:eastAsia="Times New Roman" w:hAnsi="Times New Roman"/>
          <w:sz w:val="14"/>
          <w:szCs w:val="14"/>
          <w:color w:val="auto"/>
        </w:rPr>
        <w:t>”). In addition to the foregoing, we have made such investigations of law as we have deemed necessary or appropriate as a basis for the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188595</wp:posOffset>
            </wp:positionV>
            <wp:extent cx="3025775" cy="207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3025775" cy="20764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1043305</wp:posOffset>
            </wp:positionH>
            <wp:positionV relativeFrom="page">
              <wp:posOffset>162560</wp:posOffset>
            </wp:positionV>
            <wp:extent cx="963930" cy="281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963930" cy="281305"/>
                    </a:xfrm>
                    <a:prstGeom prst="rect">
                      <a:avLst/>
                    </a:prstGeom>
                    <a:noFill/>
                  </pic:spPr>
                </pic:pic>
              </a:graphicData>
            </a:graphic>
          </wp:anchor>
        </w:drawing>
        <w:t>June 2, 2026</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Page 2</w:t>
      </w:r>
    </w:p>
    <w:p>
      <w:pPr>
        <w:spacing w:after="0" w:line="109"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4"/>
          <w:szCs w:val="14"/>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persons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Warrant Agreements are the valid and binding obligation of each of the parties thereto, enforceable against such parties in accordance with their respective terms;</w:t>
      </w:r>
    </w:p>
    <w:p>
      <w:pPr>
        <w:spacing w:after="0" w:line="5" w:lineRule="exact"/>
        <w:rPr>
          <w:sz w:val="20"/>
          <w:szCs w:val="20"/>
          <w:color w:val="auto"/>
        </w:rPr>
      </w:pPr>
    </w:p>
    <w:p>
      <w:pPr>
        <w:ind w:left="200" w:right="239" w:firstLine="3"/>
        <w:spacing w:after="0" w:line="252"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statements contained in the certificates and comparable documents of public officials, officers and representatives of the Company and other persons on which we have relied for the purposes of this opinion letter are true and correct on and as of the date hereof; (ix) that at or prior to the time of the delivery of any of the Shares, the Registration Statement will have been declared effective under the Securities Act, and (x) that there has not been nor will there be any change in the good standing status of the Company from that reported in the Good Standing Certificate; (xi) that each of the officers and directors of the Company has properly exercised his or her fiduciary duties; and (xii) the Shares will not be issued or transferred in violation of any restriction contained in the Charter and that upon the issuance of any of the Shares, the total number of shares of Common Stock issued and outstanding will not exceed the total number of shares of Common Stock that the Company is then authorized to issue under the Charter.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w:t>
      </w:r>
    </w:p>
    <w:p>
      <w:pPr>
        <w:spacing w:after="0" w:line="150" w:lineRule="exact"/>
        <w:rPr>
          <w:sz w:val="20"/>
          <w:szCs w:val="20"/>
          <w:color w:val="auto"/>
        </w:rPr>
      </w:pPr>
    </w:p>
    <w:p>
      <w:pPr>
        <w:ind w:left="200" w:right="419"/>
        <w:spacing w:after="0" w:line="259" w:lineRule="auto"/>
        <w:rPr>
          <w:sz w:val="20"/>
          <w:szCs w:val="20"/>
          <w:color w:val="auto"/>
        </w:rPr>
      </w:pPr>
      <w:r>
        <w:rPr>
          <w:rFonts w:ascii="Times New Roman" w:cs="Times New Roman" w:eastAsia="Times New Roman" w:hAnsi="Times New Roman"/>
          <w:sz w:val="14"/>
          <w:szCs w:val="14"/>
          <w:color w:val="auto"/>
        </w:rPr>
        <w:t>With respect to the Warrants and the Shares, we express no opinion to the extent that, notwithstanding the Company’s current reservation of shares of Common Stock, future issuances of securities of the Company, including the Shares and/or antidilution adjustments to outstanding securities of the Company, including the Warrants, may cause the Warrants to be exercisable for more shares of Common Stock than the number that then remain authorized but unissued. Further, we have assumed that the exercise price of the Warrants will not be adjusted to an amount below the par value per share of the shares of Common Stock.</w:t>
      </w:r>
    </w:p>
    <w:p>
      <w:pPr>
        <w:spacing w:after="0" w:line="143" w:lineRule="exact"/>
        <w:rPr>
          <w:sz w:val="20"/>
          <w:szCs w:val="20"/>
          <w:color w:val="auto"/>
        </w:rPr>
      </w:pPr>
    </w:p>
    <w:p>
      <w:pPr>
        <w:ind w:left="200" w:right="359"/>
        <w:spacing w:after="0" w:line="262" w:lineRule="auto"/>
        <w:rPr>
          <w:sz w:val="20"/>
          <w:szCs w:val="20"/>
          <w:color w:val="auto"/>
        </w:rPr>
      </w:pPr>
      <w:r>
        <w:rPr>
          <w:rFonts w:ascii="Times New Roman" w:cs="Times New Roman" w:eastAsia="Times New Roman" w:hAnsi="Times New Roman"/>
          <w:sz w:val="14"/>
          <w:szCs w:val="14"/>
          <w:color w:val="auto"/>
        </w:rPr>
        <w:t>Based upon the foregoing, and in reliance thereon, and subject to the assumptions, limitations, qualifications and exceptions set forth herein, we are of the opinion that the Shares have been duly authorized , the Merger Shares and Sponsor Shares have been validly issued, fully paid and are nonassessable, and, the remaining Shares when issued in accordance with the terms of the Warrants and their respective Warrant Agreements, as applicable, will be validly issued, fully paid and nonassessable.</w:t>
      </w:r>
    </w:p>
    <w:p>
      <w:pPr>
        <w:spacing w:after="0" w:line="140" w:lineRule="exact"/>
        <w:rPr>
          <w:sz w:val="20"/>
          <w:szCs w:val="20"/>
          <w:color w:val="auto"/>
        </w:rPr>
      </w:pPr>
    </w:p>
    <w:p>
      <w:pPr>
        <w:ind w:left="200" w:right="279"/>
        <w:spacing w:after="0" w:line="268" w:lineRule="auto"/>
        <w:rPr>
          <w:sz w:val="20"/>
          <w:szCs w:val="20"/>
          <w:color w:val="auto"/>
        </w:rPr>
      </w:pPr>
      <w:r>
        <w:rPr>
          <w:rFonts w:ascii="Times New Roman" w:cs="Times New Roman" w:eastAsia="Times New Roman" w:hAnsi="Times New Roman"/>
          <w:sz w:val="14"/>
          <w:szCs w:val="14"/>
          <w:color w:val="auto"/>
        </w:rPr>
        <w:t>Without limiting any of the other limitations, exceptions, assumptions and qualifications stated elsewhere herein, we express no opinion with regard to the applicability or effect of the laws of any jurisdiction other than the General Corporation Law of the State of Delaware, as in effect on the date of this opinion letter.</w:t>
      </w:r>
    </w:p>
    <w:p>
      <w:pPr>
        <w:sectPr>
          <w:pgSz w:w="11900" w:h="16838" w:orient="portrait"/>
          <w:cols w:equalWidth="0" w:num="1">
            <w:col w:w="9019"/>
          </w:cols>
          <w:pgMar w:left="1440" w:top="852" w:right="1440"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1043305</wp:posOffset>
            </wp:positionH>
            <wp:positionV relativeFrom="page">
              <wp:posOffset>162560</wp:posOffset>
            </wp:positionV>
            <wp:extent cx="963930" cy="281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963930" cy="281305"/>
                    </a:xfrm>
                    <a:prstGeom prst="rect">
                      <a:avLst/>
                    </a:prstGeom>
                    <a:noFill/>
                  </pic:spPr>
                </pic:pic>
              </a:graphicData>
            </a:graphic>
          </wp:anchor>
        </w:drawing>
        <w:t>June 2, 2026</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Page 3</w:t>
      </w:r>
    </w:p>
    <w:p>
      <w:pPr>
        <w:spacing w:after="0" w:line="109" w:lineRule="exact"/>
        <w:rPr>
          <w:sz w:val="20"/>
          <w:szCs w:val="20"/>
          <w:color w:val="auto"/>
        </w:rPr>
      </w:pPr>
    </w:p>
    <w:p>
      <w:pPr>
        <w:jc w:val="both"/>
        <w:ind w:left="200" w:right="259"/>
        <w:spacing w:after="0" w:line="284" w:lineRule="auto"/>
        <w:rPr>
          <w:sz w:val="20"/>
          <w:szCs w:val="20"/>
          <w:color w:val="auto"/>
        </w:rPr>
      </w:pPr>
      <w:r>
        <w:rPr>
          <w:rFonts w:ascii="Times New Roman" w:cs="Times New Roman" w:eastAsia="Times New Roman" w:hAnsi="Times New Roman"/>
          <w:sz w:val="14"/>
          <w:szCs w:val="14"/>
          <w:color w:val="auto"/>
        </w:rPr>
        <w:t>This opinion letter deals only with the specified legal issues expressly addressed herein, and you should not infer any opinion that is not explicitly stated herein from any matter addressed in this opinion letter.</w:t>
      </w:r>
    </w:p>
    <w:p>
      <w:pPr>
        <w:spacing w:after="0" w:line="125" w:lineRule="exact"/>
        <w:rPr>
          <w:sz w:val="20"/>
          <w:szCs w:val="20"/>
          <w:color w:val="auto"/>
        </w:rPr>
      </w:pPr>
    </w:p>
    <w:p>
      <w:pPr>
        <w:jc w:val="both"/>
        <w:ind w:left="200" w:right="239"/>
        <w:spacing w:after="0" w:line="268" w:lineRule="auto"/>
        <w:rPr>
          <w:sz w:val="20"/>
          <w:szCs w:val="20"/>
          <w:color w:val="auto"/>
        </w:rPr>
      </w:pPr>
      <w:r>
        <w:rPr>
          <w:rFonts w:ascii="Times New Roman" w:cs="Times New Roman" w:eastAsia="Times New Roman" w:hAnsi="Times New Roman"/>
          <w:sz w:val="14"/>
          <w:szCs w:val="14"/>
          <w:color w:val="auto"/>
        </w:rPr>
        <w:t>This opinion letter is rendered solely in connection with the filing of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spacing w:after="0" w:line="135" w:lineRule="exact"/>
        <w:rPr>
          <w:sz w:val="20"/>
          <w:szCs w:val="20"/>
          <w:color w:val="auto"/>
        </w:rPr>
      </w:pPr>
    </w:p>
    <w:p>
      <w:pPr>
        <w:ind w:left="200" w:right="259"/>
        <w:spacing w:after="0" w:line="268"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5.1 to the Registration Statement, and to the reference to our firm under the heading “Legal Matters” in the Registration Statement. In giving such consent, we do not hereby admit that we are within the category of persons whose consent is required under Section 7 of the Securities Act or the rules or regulations of the Commission thereunder.</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 Paul Hastings LLP</w:t>
      </w:r>
    </w:p>
    <w:p>
      <w:pPr>
        <w:sectPr>
          <w:pgSz w:w="11900" w:h="16838" w:orient="portrait"/>
          <w:cols w:equalWidth="0" w:num="1">
            <w:col w:w="9019"/>
          </w:cols>
          <w:pgMar w:left="1440" w:top="852" w:right="1440" w:bottom="1440" w:gutter="0" w:footer="0" w:header="0"/>
        </w:sectPr>
      </w:pPr>
    </w:p>
    <w:bookmarkStart w:id="66" w:name="page67"/>
    <w:bookmarkEnd w:id="66"/>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Scilex Holding Company of our report dated</w:t>
      </w:r>
    </w:p>
    <w:p>
      <w:pPr>
        <w:spacing w:after="0" w:line="22" w:lineRule="exact"/>
        <w:rPr>
          <w:sz w:val="20"/>
          <w:szCs w:val="20"/>
          <w:color w:val="auto"/>
        </w:rPr>
      </w:pPr>
    </w:p>
    <w:p>
      <w:pPr>
        <w:ind w:left="200" w:right="319"/>
        <w:spacing w:after="0" w:line="262" w:lineRule="auto"/>
        <w:rPr>
          <w:sz w:val="20"/>
          <w:szCs w:val="20"/>
          <w:color w:val="auto"/>
        </w:rPr>
      </w:pPr>
      <w:r>
        <w:rPr>
          <w:rFonts w:ascii="Times New Roman" w:cs="Times New Roman" w:eastAsia="Times New Roman" w:hAnsi="Times New Roman"/>
          <w:sz w:val="14"/>
          <w:szCs w:val="14"/>
          <w:color w:val="auto"/>
        </w:rPr>
        <w:t>April 10, 2026 relating to the consolidated financial statements, which appears in Scilex Holding Company’s Annual Report on Form 10-K for the year ended December 31, 2025. We also consent to the reference to us under the heading “Experts” in such Registration Statement.</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 BPM LLP</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June 2, 2026</w:t>
      </w:r>
    </w:p>
    <w:p>
      <w:pPr>
        <w:sectPr>
          <w:pgSz w:w="11900" w:h="16838" w:orient="portrait"/>
          <w:cols w:equalWidth="0" w:num="1">
            <w:col w:w="9019"/>
          </w:cols>
          <w:pgMar w:left="1440" w:top="123" w:right="1440" w:bottom="1440" w:gutter="0" w:footer="0" w:header="0"/>
        </w:sectPr>
      </w:pPr>
    </w:p>
    <w:bookmarkStart w:id="67" w:name="page68"/>
    <w:bookmarkEnd w:id="67"/>
    <w:p>
      <w:pPr>
        <w:spacing w:after="0" w:line="62"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Scilex Holding Co</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3"/>
                <w:szCs w:val="23"/>
                <w:color w:val="auto"/>
              </w:rPr>
            </w:pPr>
          </w:p>
        </w:tc>
        <w:tc>
          <w:tcPr>
            <w:tcW w:w="52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6"/>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60" w:type="dxa"/>
            <w:vAlign w:val="bottom"/>
            <w:shd w:val="clear" w:color="auto" w:fill="9ADAF6"/>
          </w:tcPr>
          <w:p>
            <w:pPr>
              <w:ind w:left="10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6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Class 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8"/>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7"/>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0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ind w:left="8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issuable</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ind w:left="36"/>
              <w:spacing w:after="0"/>
              <w:rPr>
                <w:sz w:val="20"/>
                <w:szCs w:val="20"/>
                <w:color w:val="auto"/>
              </w:rPr>
            </w:pPr>
            <w:r>
              <w:rPr>
                <w:rFonts w:ascii="Arial" w:cs="Arial" w:eastAsia="Arial" w:hAnsi="Arial"/>
                <w:sz w:val="17"/>
                <w:szCs w:val="17"/>
                <w:color w:val="auto"/>
                <w:w w:val="98"/>
              </w:rPr>
              <w:t>Other</w:t>
            </w: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100,000</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8"/>
              </w:rPr>
              <w:t>$ 20.00</w:t>
            </w:r>
          </w:p>
        </w:tc>
        <w:tc>
          <w:tcPr>
            <w:tcW w:w="20" w:type="dxa"/>
            <w:vAlign w:val="bottom"/>
          </w:tcPr>
          <w:p>
            <w:pPr>
              <w:spacing w:after="0"/>
              <w:rPr>
                <w:sz w:val="8"/>
                <w:szCs w:val="8"/>
                <w:color w:val="auto"/>
              </w:rPr>
            </w:pPr>
          </w:p>
        </w:tc>
        <w:tc>
          <w:tcPr>
            <w:tcW w:w="10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$ 276.20</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E7E7E2"/>
          </w:tcPr>
          <w:p>
            <w:pPr>
              <w:jc w:val="right"/>
              <w:spacing w:after="0" w:line="169" w:lineRule="exact"/>
              <w:rPr>
                <w:sz w:val="20"/>
                <w:szCs w:val="20"/>
                <w:color w:val="auto"/>
              </w:rPr>
            </w:pPr>
            <w:r>
              <w:rPr>
                <w:rFonts w:ascii="Arial" w:cs="Arial" w:eastAsia="Arial" w:hAnsi="Arial"/>
                <w:sz w:val="17"/>
                <w:szCs w:val="17"/>
                <w:color w:val="auto"/>
                <w:w w:val="98"/>
              </w:rPr>
              <w:t>2,000,000.00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line="116" w:lineRule="exact"/>
              <w:rPr>
                <w:sz w:val="20"/>
                <w:szCs w:val="20"/>
                <w:color w:val="auto"/>
              </w:rPr>
            </w:pPr>
            <w:r>
              <w:rPr>
                <w:rFonts w:ascii="Arial" w:cs="Arial" w:eastAsia="Arial" w:hAnsi="Arial"/>
                <w:sz w:val="13"/>
                <w:szCs w:val="13"/>
                <w:color w:val="auto"/>
              </w:rPr>
              <w:t>upon the</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exercise of</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(secondary</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20"/>
                <w:szCs w:val="20"/>
                <w:color w:val="auto"/>
              </w:rPr>
            </w:pPr>
            <w:r>
              <w:rPr>
                <w:rFonts w:ascii="Arial" w:cs="Arial" w:eastAsia="Arial" w:hAnsi="Arial"/>
                <w:sz w:val="17"/>
                <w:szCs w:val="17"/>
                <w:color w:val="auto"/>
              </w:rPr>
              <w:t>offering)</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ind w:left="20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$ 276.20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2,000,000.00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$ 276.20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200" w:hanging="184"/>
        <w:spacing w:after="0" w:line="230" w:lineRule="auto"/>
        <w:tabs>
          <w:tab w:leader="none" w:pos="220" w:val="left"/>
        </w:tabs>
        <w:numPr>
          <w:ilvl w:val="0"/>
          <w:numId w:val="36"/>
        </w:numPr>
        <w:rPr>
          <w:rFonts w:ascii="Arial" w:cs="Arial" w:eastAsia="Arial" w:hAnsi="Arial"/>
          <w:sz w:val="21"/>
          <w:szCs w:val="21"/>
          <w:color w:val="auto"/>
          <w:vertAlign w:val="superscript"/>
        </w:rPr>
      </w:pPr>
      <w:r>
        <w:rPr>
          <w:rFonts w:ascii="Arial" w:cs="Arial" w:eastAsia="Arial" w:hAnsi="Arial"/>
          <w:sz w:val="17"/>
          <w:szCs w:val="17"/>
          <w:color w:val="auto"/>
        </w:rPr>
        <w:t>Pursuant to Rule 416(a) of the Securities Act of 1933, as amended (the "Securities Act"), there are also being registered an indeterminable number of additional securities as may be issued to prevent dilution resulting from share splits, share dividends or similar transactions. Consists of 100,000 shares of common stock, par value $0.0001 per share ("Common Stock") of Scilex Holding Company, a Delaware corporation (the "Company") underlying a warrant to purchase common stock at an exercise price of $20.00 per share, issued to an investor in February 2026. The maximum aggregate offering price is estimated solely for the purpose of calculating the registration fee in accordance with Rule 457(g)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4756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-999490</wp:posOffset>
            </wp:positionV>
            <wp:extent cx="12700" cy="2388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12700" cy="2388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-999490</wp:posOffset>
            </wp:positionV>
            <wp:extent cx="12700" cy="2388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12700" cy="238887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8825" cy="254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108825" cy="2546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Claims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-116840</wp:posOffset>
            </wp:positionV>
            <wp:extent cx="7108825" cy="2546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108825" cy="254635"/>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Sources</w:t>
      </w:r>
    </w:p>
    <w:p>
      <w:pPr>
        <w:spacing w:after="0" w:line="20"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ind w:lef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80" w:type="dxa"/>
            <w:vAlign w:val="bottom"/>
            <w:gridSpan w:val="3"/>
            <w:shd w:val="clear" w:color="auto" w:fill="E7E7E2"/>
          </w:tcPr>
          <w:p>
            <w:pPr>
              <w:spacing w:after="0" w:line="19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300"/>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gridSpan w:val="7"/>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gridSpan w:val="7"/>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340"/>
              <w:spacing w:after="0" w:line="189"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30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E7E7E2"/>
          </w:tcPr>
          <w:p>
            <w:pPr>
              <w:ind w:left="180"/>
              <w:spacing w:after="0" w:line="180" w:lineRule="exact"/>
              <w:rPr>
                <w:sz w:val="20"/>
                <w:szCs w:val="20"/>
                <w:color w:val="auto"/>
              </w:rPr>
            </w:pPr>
            <w:r>
              <w:rPr>
                <w:rFonts w:ascii="Arial" w:cs="Arial" w:eastAsia="Arial" w:hAnsi="Arial"/>
                <w:sz w:val="17"/>
                <w:szCs w:val="17"/>
                <w:color w:val="auto"/>
              </w:rPr>
              <w:t>1</w:t>
            </w:r>
          </w:p>
        </w:tc>
        <w:tc>
          <w:tcPr>
            <w:tcW w:w="20" w:type="dxa"/>
            <w:vAlign w:val="bottom"/>
            <w:vMerge w:val="continue"/>
          </w:tcPr>
          <w:p>
            <w:pPr>
              <w:spacing w:after="0"/>
              <w:rPr>
                <w:sz w:val="15"/>
                <w:szCs w:val="15"/>
                <w:color w:val="auto"/>
              </w:rPr>
            </w:pPr>
          </w:p>
        </w:tc>
        <w:tc>
          <w:tcPr>
            <w:tcW w:w="1560" w:type="dxa"/>
            <w:vAlign w:val="bottom"/>
            <w:gridSpan w:val="5"/>
            <w:shd w:val="clear" w:color="auto" w:fill="E7E7E2"/>
          </w:tcPr>
          <w:p>
            <w:pPr>
              <w:ind w:left="20"/>
              <w:spacing w:after="0" w:line="180"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2800" w:type="dxa"/>
            <w:vAlign w:val="bottom"/>
            <w:gridSpan w:val="7"/>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20" w:type="dxa"/>
            <w:vAlign w:val="bottom"/>
            <w:vMerge w:val="continue"/>
          </w:tcPr>
          <w:p>
            <w:pPr>
              <w:spacing w:after="0"/>
              <w:rPr>
                <w:sz w:val="15"/>
                <w:szCs w:val="15"/>
                <w:color w:val="auto"/>
              </w:rPr>
            </w:pPr>
          </w:p>
        </w:tc>
        <w:tc>
          <w:tcPr>
            <w:tcW w:w="1560" w:type="dxa"/>
            <w:vAlign w:val="bottom"/>
            <w:gridSpan w:val="5"/>
            <w:shd w:val="clear" w:color="auto" w:fill="E7E7E2"/>
          </w:tcPr>
          <w:p>
            <w:pPr>
              <w:ind w:left="800"/>
              <w:spacing w:after="0" w:line="180" w:lineRule="exact"/>
              <w:rPr>
                <w:sz w:val="20"/>
                <w:szCs w:val="20"/>
                <w:color w:val="auto"/>
              </w:rPr>
            </w:pPr>
            <w:r>
              <w:rPr>
                <w:rFonts w:ascii="Arial" w:cs="Arial" w:eastAsia="Arial" w:hAnsi="Arial"/>
                <w:sz w:val="17"/>
                <w:szCs w:val="17"/>
                <w:color w:val="auto"/>
                <w:w w:val="97"/>
              </w:rPr>
              <w:t>3,250,000</w:t>
            </w: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jc w:val="center"/>
              <w:ind w:right="36"/>
              <w:spacing w:after="0" w:line="180" w:lineRule="exact"/>
              <w:rPr>
                <w:sz w:val="20"/>
                <w:szCs w:val="20"/>
                <w:color w:val="auto"/>
              </w:rPr>
            </w:pPr>
            <w:r>
              <w:rPr>
                <w:rFonts w:ascii="Arial" w:cs="Arial" w:eastAsia="Arial" w:hAnsi="Arial"/>
                <w:sz w:val="17"/>
                <w:szCs w:val="17"/>
                <w:color w:val="auto"/>
                <w:w w:val="98"/>
              </w:rPr>
              <w:t>S-3</w:t>
            </w:r>
          </w:p>
        </w:tc>
        <w:tc>
          <w:tcPr>
            <w:tcW w:w="20" w:type="dxa"/>
            <w:vAlign w:val="bottom"/>
            <w:vMerge w:val="continue"/>
          </w:tcPr>
          <w:p>
            <w:pPr>
              <w:spacing w:after="0"/>
              <w:rPr>
                <w:sz w:val="15"/>
                <w:szCs w:val="15"/>
                <w:color w:val="auto"/>
              </w:rPr>
            </w:pPr>
          </w:p>
        </w:tc>
        <w:tc>
          <w:tcPr>
            <w:tcW w:w="1120" w:type="dxa"/>
            <w:vAlign w:val="bottom"/>
            <w:gridSpan w:val="3"/>
            <w:shd w:val="clear" w:color="auto" w:fill="E7E7E2"/>
          </w:tcPr>
          <w:p>
            <w:pPr>
              <w:jc w:val="right"/>
              <w:ind w:right="16"/>
              <w:spacing w:after="0" w:line="180" w:lineRule="exact"/>
              <w:rPr>
                <w:sz w:val="20"/>
                <w:szCs w:val="20"/>
                <w:color w:val="auto"/>
              </w:rPr>
            </w:pPr>
            <w:r>
              <w:rPr>
                <w:rFonts w:ascii="Arial" w:cs="Arial" w:eastAsia="Arial" w:hAnsi="Arial"/>
                <w:sz w:val="17"/>
                <w:szCs w:val="17"/>
                <w:color w:val="auto"/>
              </w:rPr>
              <w:t>333-280882</w:t>
            </w:r>
          </w:p>
        </w:tc>
        <w:tc>
          <w:tcPr>
            <w:tcW w:w="20" w:type="dxa"/>
            <w:vAlign w:val="bottom"/>
            <w:vMerge w:val="continue"/>
          </w:tcPr>
          <w:p>
            <w:pPr>
              <w:spacing w:after="0"/>
              <w:rPr>
                <w:sz w:val="15"/>
                <w:szCs w:val="15"/>
                <w:color w:val="auto"/>
              </w:rPr>
            </w:pPr>
          </w:p>
        </w:tc>
        <w:tc>
          <w:tcPr>
            <w:tcW w:w="900" w:type="dxa"/>
            <w:vAlign w:val="bottom"/>
            <w:gridSpan w:val="3"/>
            <w:shd w:val="clear" w:color="auto" w:fill="E7E7E2"/>
          </w:tcPr>
          <w:p>
            <w:pPr>
              <w:jc w:val="center"/>
              <w:spacing w:after="0" w:line="180" w:lineRule="exact"/>
              <w:rPr>
                <w:sz w:val="20"/>
                <w:szCs w:val="20"/>
                <w:color w:val="auto"/>
              </w:rPr>
            </w:pPr>
            <w:r>
              <w:rPr>
                <w:rFonts w:ascii="Arial" w:cs="Arial" w:eastAsia="Arial" w:hAnsi="Arial"/>
                <w:sz w:val="17"/>
                <w:szCs w:val="17"/>
                <w:color w:val="auto"/>
                <w:w w:val="98"/>
              </w:rPr>
              <w:t>07/25/2024</w:t>
            </w:r>
          </w:p>
        </w:tc>
        <w:tc>
          <w:tcPr>
            <w:tcW w:w="4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gridSpan w:val="7"/>
            <w:shd w:val="clear" w:color="auto" w:fill="E7E7E2"/>
          </w:tcPr>
          <w:p>
            <w:pPr>
              <w:ind w:left="20"/>
              <w:spacing w:after="0"/>
              <w:rPr>
                <w:sz w:val="20"/>
                <w:szCs w:val="20"/>
                <w:color w:val="auto"/>
              </w:rPr>
            </w:pPr>
            <w:r>
              <w:rPr>
                <w:rFonts w:ascii="Arial" w:cs="Arial" w:eastAsia="Arial" w:hAnsi="Arial"/>
                <w:sz w:val="17"/>
                <w:szCs w:val="17"/>
                <w:color w:val="auto"/>
              </w:rPr>
              <w:t>per share, issuable upon exercise of</w:t>
            </w:r>
          </w:p>
        </w:tc>
        <w:tc>
          <w:tcPr>
            <w:tcW w:w="2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4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E7E7E2"/>
          </w:tcPr>
          <w:p>
            <w:pPr>
              <w:spacing w:after="0"/>
              <w:rPr>
                <w:sz w:val="11"/>
                <w:szCs w:val="11"/>
                <w:color w:val="auto"/>
              </w:rPr>
            </w:pPr>
          </w:p>
        </w:tc>
        <w:tc>
          <w:tcPr>
            <w:tcW w:w="40" w:type="dxa"/>
            <w:vAlign w:val="bottom"/>
            <w:shd w:val="clear" w:color="auto" w:fill="E7E7E2"/>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660" w:type="dxa"/>
            <w:vAlign w:val="bottom"/>
            <w:shd w:val="clear" w:color="auto" w:fill="E7E7E2"/>
          </w:tcPr>
          <w:p>
            <w:pPr>
              <w:spacing w:after="0"/>
              <w:rPr>
                <w:sz w:val="11"/>
                <w:szCs w:val="11"/>
                <w:color w:val="auto"/>
              </w:rPr>
            </w:pPr>
          </w:p>
        </w:tc>
        <w:tc>
          <w:tcPr>
            <w:tcW w:w="4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68" w:name="page69"/>
    <w:bookmarkEnd w:id="68"/>
    <w:p>
      <w:pPr>
        <w:spacing w:after="0" w:line="42" w:lineRule="exact"/>
        <w:rPr>
          <w:sz w:val="20"/>
          <w:szCs w:val="20"/>
          <w:color w:val="auto"/>
        </w:rPr>
      </w:pPr>
    </w:p>
    <w:tbl>
      <w:tblPr>
        <w:tblLayout w:type="fixed"/>
        <w:tblInd w:w="4" w:type="dxa"/>
        <w:tblCellMar>
          <w:top w:w="0" w:type="dxa"/>
          <w:left w:w="0" w:type="dxa"/>
          <w:bottom w:w="0" w:type="dxa"/>
          <w:right w:w="0" w:type="dxa"/>
        </w:tblCellMar>
      </w:tblPr>
      <w:tr>
        <w:trPr>
          <w:trHeight w:val="200"/>
        </w:trPr>
        <w:tc>
          <w:tcPr>
            <w:tcW w:w="4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(secondary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exercise of</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(primary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exercise of</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(primary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exercise of</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(primary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exercise of</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(primary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exercise of</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(primary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exercise of</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warrants (primary 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84"/>
              </w:rPr>
              <w:t>8</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the</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exercise of warrants (primary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84"/>
              </w:rPr>
              <w:t>9</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the</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exercise of warrants (primary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conversion</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of convertible notes (primary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4"/>
              </w:rPr>
              <w:t>11</w:t>
            </w:r>
          </w:p>
        </w:tc>
        <w:tc>
          <w:tcPr>
            <w:tcW w:w="20" w:type="dxa"/>
            <w:vAlign w:val="bottom"/>
          </w:tcPr>
          <w:p>
            <w:pPr>
              <w:spacing w:after="0"/>
              <w:rPr>
                <w:sz w:val="15"/>
                <w:szCs w:val="15"/>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per share (secondary offering)</w:t>
            </w:r>
          </w:p>
        </w:tc>
        <w:tc>
          <w:tcPr>
            <w:tcW w:w="0" w:type="dxa"/>
            <w:vAlign w:val="bottom"/>
          </w:tcPr>
          <w:p>
            <w:pPr>
              <w:spacing w:after="0"/>
              <w:rPr>
                <w:sz w:val="1"/>
                <w:szCs w:val="1"/>
                <w:color w:val="auto"/>
              </w:rPr>
            </w:pPr>
          </w:p>
        </w:tc>
      </w:tr>
      <w:tr>
        <w:trPr>
          <w:trHeight w:val="94"/>
        </w:trPr>
        <w:tc>
          <w:tcPr>
            <w:tcW w:w="4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the</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exercise of warrants (secondary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the</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exercise of warrants (secondary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the</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exercise of warrants (secondary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Common Stock, par value $0.0001</w:t>
            </w:r>
          </w:p>
        </w:tc>
        <w:tc>
          <w:tcPr>
            <w:tcW w:w="0" w:type="dxa"/>
            <w:vAlign w:val="bottom"/>
          </w:tcPr>
          <w:p>
            <w:pPr>
              <w:spacing w:after="0"/>
              <w:rPr>
                <w:sz w:val="1"/>
                <w:szCs w:val="1"/>
                <w:color w:val="auto"/>
              </w:rPr>
            </w:pPr>
          </w:p>
        </w:tc>
      </w:tr>
      <w:tr>
        <w:trPr>
          <w:trHeight w:val="190"/>
        </w:trPr>
        <w:tc>
          <w:tcPr>
            <w:tcW w:w="4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c>
          <w:tcPr>
            <w:tcW w:w="15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 share, issuable upon the</w:t>
            </w:r>
          </w:p>
        </w:tc>
        <w:tc>
          <w:tcPr>
            <w:tcW w:w="0" w:type="dxa"/>
            <w:vAlign w:val="bottom"/>
          </w:tcPr>
          <w:p>
            <w:pPr>
              <w:spacing w:after="0"/>
              <w:rPr>
                <w:sz w:val="1"/>
                <w:szCs w:val="1"/>
                <w:color w:val="auto"/>
              </w:rPr>
            </w:pPr>
          </w:p>
        </w:tc>
      </w:tr>
      <w:tr>
        <w:trPr>
          <w:trHeight w:val="128"/>
        </w:trPr>
        <w:tc>
          <w:tcPr>
            <w:tcW w:w="4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exercise of warrants (secondary</w:t>
            </w:r>
          </w:p>
        </w:tc>
        <w:tc>
          <w:tcPr>
            <w:tcW w:w="0" w:type="dxa"/>
            <w:vAlign w:val="bottom"/>
          </w:tcPr>
          <w:p>
            <w:pPr>
              <w:spacing w:after="0"/>
              <w:rPr>
                <w:sz w:val="1"/>
                <w:szCs w:val="1"/>
                <w:color w:val="auto"/>
              </w:rPr>
            </w:pPr>
          </w:p>
        </w:tc>
      </w:tr>
      <w:tr>
        <w:trPr>
          <w:trHeight w:val="62"/>
        </w:trPr>
        <w:tc>
          <w:tcPr>
            <w:tcW w:w="4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2800" w:type="dxa"/>
            <w:vAlign w:val="bottom"/>
            <w:vMerge w:val="continue"/>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offering)</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w w:val="99"/>
              </w:rPr>
              <w:t>Warrants to purchase common stock</w:t>
            </w:r>
          </w:p>
        </w:tc>
        <w:tc>
          <w:tcPr>
            <w:tcW w:w="0" w:type="dxa"/>
            <w:vAlign w:val="bottom"/>
          </w:tcPr>
          <w:p>
            <w:pPr>
              <w:spacing w:after="0"/>
              <w:rPr>
                <w:sz w:val="1"/>
                <w:szCs w:val="1"/>
                <w:color w:val="auto"/>
              </w:rPr>
            </w:pPr>
          </w:p>
        </w:tc>
      </w:tr>
      <w:tr>
        <w:trPr>
          <w:trHeight w:val="190"/>
        </w:trPr>
        <w:tc>
          <w:tcPr>
            <w:tcW w:w="4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c>
          <w:tcPr>
            <w:tcW w:w="15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2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at an exercise price of $402.50 per</w:t>
            </w:r>
          </w:p>
        </w:tc>
        <w:tc>
          <w:tcPr>
            <w:tcW w:w="0" w:type="dxa"/>
            <w:vAlign w:val="bottom"/>
          </w:tcPr>
          <w:p>
            <w:pPr>
              <w:spacing w:after="0"/>
              <w:rPr>
                <w:sz w:val="1"/>
                <w:szCs w:val="1"/>
                <w:color w:val="auto"/>
              </w:rPr>
            </w:pPr>
          </w:p>
        </w:tc>
      </w:tr>
      <w:tr>
        <w:trPr>
          <w:trHeight w:val="221"/>
        </w:trPr>
        <w:tc>
          <w:tcPr>
            <w:tcW w:w="4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 (secondary 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108,686</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13,446</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34,286</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211,990</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537,298</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131,472</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198,807</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333-268603</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12/27/2022</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500,000</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333-292157</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12/29/2025</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347,082</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S-3</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333-276245</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01/11/2024</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1,513,040</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333-268603</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12/27/2022</w:t>
            </w:r>
          </w:p>
        </w:tc>
      </w:tr>
      <w:tr>
        <w:trPr>
          <w:trHeight w:val="94"/>
        </w:trPr>
        <w:tc>
          <w:tcPr>
            <w:tcW w:w="15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14,018</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333-268603</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12/27/2022</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275,000</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333-292157</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12/29/2025</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1,356,594</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333-292157</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12/29/2025</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97"/>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72,352</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333-292157</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12/29/2025</w:t>
            </w:r>
          </w:p>
        </w:tc>
      </w:tr>
      <w:tr>
        <w:trPr>
          <w:trHeight w:val="283"/>
        </w:trPr>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r>
      <w:tr>
        <w:trPr>
          <w:trHeight w:val="21"/>
        </w:trPr>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2"/>
        </w:trPr>
        <w:tc>
          <w:tcPr>
            <w:tcW w:w="1560" w:type="dxa"/>
            <w:vAlign w:val="bottom"/>
            <w:shd w:val="clear" w:color="auto" w:fill="E7E7E2"/>
          </w:tcPr>
          <w:p>
            <w:pPr>
              <w:jc w:val="right"/>
              <w:spacing w:after="0"/>
              <w:rPr>
                <w:sz w:val="20"/>
                <w:szCs w:val="20"/>
                <w:color w:val="auto"/>
              </w:rPr>
            </w:pPr>
            <w:r>
              <w:rPr>
                <w:rFonts w:ascii="Arial" w:cs="Arial" w:eastAsia="Arial" w:hAnsi="Arial"/>
                <w:sz w:val="17"/>
                <w:szCs w:val="17"/>
                <w:color w:val="auto"/>
              </w:rPr>
              <w:t>490,617</w:t>
            </w:r>
          </w:p>
        </w:tc>
        <w:tc>
          <w:tcPr>
            <w:tcW w:w="20" w:type="dxa"/>
            <w:vAlign w:val="bottom"/>
          </w:tcPr>
          <w:p>
            <w:pPr>
              <w:spacing w:after="0"/>
              <w:rPr>
                <w:sz w:val="24"/>
                <w:szCs w:val="24"/>
                <w:color w:val="auto"/>
              </w:rPr>
            </w:pPr>
          </w:p>
        </w:tc>
        <w:tc>
          <w:tcPr>
            <w:tcW w:w="20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shd w:val="clear" w:color="auto" w:fill="E7E7E2"/>
          </w:tcPr>
          <w:p>
            <w:pPr>
              <w:ind w:left="200"/>
              <w:spacing w:after="0"/>
              <w:rPr>
                <w:sz w:val="20"/>
                <w:szCs w:val="20"/>
                <w:color w:val="auto"/>
              </w:rPr>
            </w:pPr>
            <w:r>
              <w:rPr>
                <w:rFonts w:ascii="Arial" w:cs="Arial" w:eastAsia="Arial" w:hAnsi="Arial"/>
                <w:sz w:val="17"/>
                <w:szCs w:val="17"/>
                <w:color w:val="auto"/>
              </w:rPr>
              <w:t>S-1</w:t>
            </w:r>
          </w:p>
        </w:tc>
        <w:tc>
          <w:tcPr>
            <w:tcW w:w="20" w:type="dxa"/>
            <w:vAlign w:val="bottom"/>
          </w:tcPr>
          <w:p>
            <w:pPr>
              <w:spacing w:after="0"/>
              <w:rPr>
                <w:sz w:val="24"/>
                <w:szCs w:val="24"/>
                <w:color w:val="auto"/>
              </w:rPr>
            </w:pPr>
          </w:p>
        </w:tc>
        <w:tc>
          <w:tcPr>
            <w:tcW w:w="1120" w:type="dxa"/>
            <w:vAlign w:val="bottom"/>
            <w:shd w:val="clear" w:color="auto" w:fill="E7E7E2"/>
          </w:tcPr>
          <w:p>
            <w:pPr>
              <w:jc w:val="right"/>
              <w:ind w:right="16"/>
              <w:spacing w:after="0"/>
              <w:rPr>
                <w:sz w:val="20"/>
                <w:szCs w:val="20"/>
                <w:color w:val="auto"/>
              </w:rPr>
            </w:pPr>
            <w:r>
              <w:rPr>
                <w:rFonts w:ascii="Arial" w:cs="Arial" w:eastAsia="Arial" w:hAnsi="Arial"/>
                <w:sz w:val="17"/>
                <w:szCs w:val="17"/>
                <w:color w:val="auto"/>
              </w:rPr>
              <w:t>333-268603</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12/27/2022</w:t>
            </w:r>
          </w:p>
        </w:tc>
      </w:tr>
      <w:tr>
        <w:trPr>
          <w:trHeight w:val="188"/>
        </w:trPr>
        <w:tc>
          <w:tcPr>
            <w:tcW w:w="1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-6673215</wp:posOffset>
            </wp:positionV>
            <wp:extent cx="7168515" cy="66967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68515" cy="6696710"/>
                    </a:xfrm>
                    <a:prstGeom prst="rect">
                      <a:avLst/>
                    </a:prstGeom>
                    <a:noFill/>
                  </pic:spPr>
                </pic:pic>
              </a:graphicData>
            </a:graphic>
          </wp:anchor>
        </w:drawing>
      </w:r>
    </w:p>
    <w:p>
      <w:pPr>
        <w:spacing w:after="0" w:line="200" w:lineRule="exact"/>
        <w:rPr>
          <w:sz w:val="20"/>
          <w:szCs w:val="20"/>
          <w:color w:val="auto"/>
        </w:rPr>
      </w:pPr>
    </w:p>
    <w:p>
      <w:pPr>
        <w:sectPr>
          <w:pgSz w:w="11900" w:h="16881" w:orient="portrait"/>
          <w:cols w:equalWidth="0" w:num="2">
            <w:col w:w="4844" w:space="20"/>
            <w:col w:w="6360"/>
          </w:cols>
          <w:pgMar w:left="336" w:top="140" w:right="339" w:bottom="0" w:gutter="0" w:footer="0" w:header="0"/>
        </w:sectPr>
      </w:pPr>
    </w:p>
    <w:p>
      <w:pPr>
        <w:spacing w:after="0" w:line="5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Prospectus Note</w:t>
      </w:r>
    </w:p>
    <w:p>
      <w:pPr>
        <w:spacing w:after="0" w:line="110" w:lineRule="exact"/>
        <w:rPr>
          <w:sz w:val="20"/>
          <w:szCs w:val="20"/>
          <w:color w:val="auto"/>
        </w:rPr>
      </w:pPr>
    </w:p>
    <w:p>
      <w:pPr>
        <w:ind w:left="184" w:right="80" w:hanging="184"/>
        <w:spacing w:after="0" w:line="228" w:lineRule="auto"/>
        <w:tabs>
          <w:tab w:leader="none" w:pos="184" w:val="left"/>
        </w:tabs>
        <w:numPr>
          <w:ilvl w:val="0"/>
          <w:numId w:val="37"/>
        </w:numPr>
        <w:rPr>
          <w:rFonts w:ascii="Arial" w:cs="Arial" w:eastAsia="Arial" w:hAnsi="Arial"/>
          <w:sz w:val="21"/>
          <w:szCs w:val="21"/>
          <w:color w:val="auto"/>
          <w:vertAlign w:val="superscript"/>
        </w:rPr>
      </w:pPr>
      <w:r>
        <w:rPr>
          <w:rFonts w:ascii="Arial" w:cs="Arial" w:eastAsia="Arial" w:hAnsi="Arial"/>
          <w:sz w:val="17"/>
          <w:szCs w:val="17"/>
          <w:color w:val="auto"/>
        </w:rPr>
        <w:t>Consists of 3,250,000 shares of Common Stock issuable upon exercise of a warrant (on a pre-Reverse Stock Split basis, as such warrant and the exercise price thereof were not subject to adjustment in connection with such split), registered for resale by the Selling Securityholder named in this registration statement. These shares were previously included in Registration Statement No. 333-280882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jc w:val="both"/>
        <w:ind w:left="184" w:right="200" w:hanging="184"/>
        <w:spacing w:after="0" w:line="228" w:lineRule="auto"/>
        <w:tabs>
          <w:tab w:leader="none" w:pos="184"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Consists of 108,686 shares of Common Stock issued or issuable upon exercise of warrants that were originally issued to investors pursuant to an offering that closed in March 2024. These shares were previously included in Registration Statement No. 333-276245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ind w:left="184" w:right="240" w:hanging="184"/>
        <w:spacing w:after="0" w:line="228" w:lineRule="auto"/>
        <w:tabs>
          <w:tab w:leader="none" w:pos="184" w:val="left"/>
        </w:tabs>
        <w:numPr>
          <w:ilvl w:val="0"/>
          <w:numId w:val="39"/>
        </w:numPr>
        <w:rPr>
          <w:rFonts w:ascii="Arial" w:cs="Arial" w:eastAsia="Arial" w:hAnsi="Arial"/>
          <w:sz w:val="21"/>
          <w:szCs w:val="21"/>
          <w:color w:val="auto"/>
          <w:vertAlign w:val="superscript"/>
        </w:rPr>
      </w:pPr>
      <w:r>
        <w:rPr>
          <w:rFonts w:ascii="Arial" w:cs="Arial" w:eastAsia="Arial" w:hAnsi="Arial"/>
          <w:sz w:val="17"/>
          <w:szCs w:val="17"/>
          <w:color w:val="auto"/>
        </w:rPr>
        <w:t>Consists of 13,446 shares of Common Stock issued or issuable upon exercise of warrants that were originally issued to the placement agent pursuant to an offering that closed in March 2024. These shares were previously included in Registration Statement No. 333-276245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ind w:left="184" w:right="20" w:hanging="184"/>
        <w:spacing w:after="0" w:line="228" w:lineRule="auto"/>
        <w:tabs>
          <w:tab w:leader="none" w:pos="184"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Consists of 34,286 shares of Common Stock issuable from time to time upon exercise of warrants that were originally issued to the placement agent pursuant to an offering that closed in April 2024. These shares were previously included in Registration Statement No. 333-276245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ind w:left="184" w:right="280" w:hanging="184"/>
        <w:spacing w:after="0" w:line="228" w:lineRule="auto"/>
        <w:tabs>
          <w:tab w:leader="none" w:pos="184" w:val="left"/>
        </w:tabs>
        <w:numPr>
          <w:ilvl w:val="0"/>
          <w:numId w:val="41"/>
        </w:numPr>
        <w:rPr>
          <w:rFonts w:ascii="Arial" w:cs="Arial" w:eastAsia="Arial" w:hAnsi="Arial"/>
          <w:sz w:val="21"/>
          <w:szCs w:val="21"/>
          <w:color w:val="auto"/>
          <w:vertAlign w:val="superscript"/>
        </w:rPr>
      </w:pPr>
      <w:r>
        <w:rPr>
          <w:rFonts w:ascii="Arial" w:cs="Arial" w:eastAsia="Arial" w:hAnsi="Arial"/>
          <w:sz w:val="17"/>
          <w:szCs w:val="17"/>
          <w:color w:val="auto"/>
        </w:rPr>
        <w:t>Consists of an aggregate of 211,990 shares of Common Stock issuable from time to time upon exercise of warrants that were originally issued to investors and the placement agent pursuant to an offering that closed in October 2024. These shares were previously included in Registration Statement No. 333-276245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ind w:left="184" w:right="60" w:hanging="184"/>
        <w:spacing w:after="0" w:line="228" w:lineRule="auto"/>
        <w:tabs>
          <w:tab w:leader="none" w:pos="184" w:val="left"/>
        </w:tabs>
        <w:numPr>
          <w:ilvl w:val="0"/>
          <w:numId w:val="42"/>
        </w:numPr>
        <w:rPr>
          <w:rFonts w:ascii="Arial" w:cs="Arial" w:eastAsia="Arial" w:hAnsi="Arial"/>
          <w:sz w:val="21"/>
          <w:szCs w:val="21"/>
          <w:color w:val="auto"/>
          <w:vertAlign w:val="superscript"/>
        </w:rPr>
      </w:pPr>
      <w:r>
        <w:rPr>
          <w:rFonts w:ascii="Arial" w:cs="Arial" w:eastAsia="Arial" w:hAnsi="Arial"/>
          <w:sz w:val="17"/>
          <w:szCs w:val="17"/>
          <w:color w:val="auto"/>
        </w:rPr>
        <w:t>Consists of 537,298 shares of Common Stock issuable from time to time upon exercise of warrants that were originally issued to investors pursuant to an offering that closed in December 2024. These shares were previously included in Registration Statement No. 333-276245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ind w:left="184" w:right="280" w:hanging="184"/>
        <w:spacing w:after="0" w:line="239" w:lineRule="auto"/>
        <w:tabs>
          <w:tab w:leader="none" w:pos="184" w:val="left"/>
        </w:tabs>
        <w:numPr>
          <w:ilvl w:val="0"/>
          <w:numId w:val="43"/>
        </w:numPr>
        <w:rPr>
          <w:rFonts w:ascii="Arial" w:cs="Arial" w:eastAsia="Arial" w:hAnsi="Arial"/>
          <w:sz w:val="20"/>
          <w:szCs w:val="20"/>
          <w:color w:val="auto"/>
          <w:vertAlign w:val="superscript"/>
        </w:rPr>
      </w:pPr>
      <w:r>
        <w:rPr>
          <w:rFonts w:ascii="Arial" w:cs="Arial" w:eastAsia="Arial" w:hAnsi="Arial"/>
          <w:sz w:val="16"/>
          <w:szCs w:val="16"/>
          <w:color w:val="auto"/>
        </w:rPr>
        <w:t>Consists of 131,472 shares of Common Stock issuable from time to time upon exercise of warrants that were originally issued to StockBlock Securities LLC pursuant to an offering that closed in December 2024. These shares were previously included in Registration Statement No. 333-</w:t>
      </w:r>
    </w:p>
    <w:p>
      <w:pPr>
        <w:sectPr>
          <w:pgSz w:w="11900" w:h="16881" w:orient="portrait"/>
          <w:cols w:equalWidth="0" w:num="1">
            <w:col w:w="11224"/>
          </w:cols>
          <w:pgMar w:left="336" w:top="140" w:right="339" w:bottom="0" w:gutter="0" w:footer="0" w:header="0"/>
          <w:type w:val="continuous"/>
        </w:sectPr>
      </w:pPr>
    </w:p>
    <w:bookmarkStart w:id="69" w:name="page70"/>
    <w:bookmarkEnd w:id="69"/>
    <w:p>
      <w:pPr>
        <w:ind w:left="184"/>
        <w:spacing w:after="0"/>
        <w:rPr>
          <w:sz w:val="20"/>
          <w:szCs w:val="20"/>
          <w:color w:val="auto"/>
        </w:rPr>
      </w:pPr>
      <w:r>
        <w:rPr>
          <w:rFonts w:ascii="Arial" w:cs="Arial" w:eastAsia="Arial" w:hAnsi="Arial"/>
          <w:sz w:val="17"/>
          <w:szCs w:val="17"/>
          <w:color w:val="auto"/>
        </w:rPr>
        <w:t>276245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78105</wp:posOffset>
            </wp:positionV>
            <wp:extent cx="714756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49" w:lineRule="exact"/>
        <w:rPr>
          <w:sz w:val="20"/>
          <w:szCs w:val="20"/>
          <w:color w:val="auto"/>
        </w:rPr>
      </w:pPr>
    </w:p>
    <w:p>
      <w:pPr>
        <w:ind w:left="184" w:right="120" w:hanging="184"/>
        <w:spacing w:after="0" w:line="228" w:lineRule="auto"/>
        <w:tabs>
          <w:tab w:leader="none" w:pos="184" w:val="left"/>
        </w:tabs>
        <w:numPr>
          <w:ilvl w:val="0"/>
          <w:numId w:val="44"/>
        </w:numPr>
        <w:rPr>
          <w:rFonts w:ascii="Arial" w:cs="Arial" w:eastAsia="Arial" w:hAnsi="Arial"/>
          <w:sz w:val="21"/>
          <w:szCs w:val="21"/>
          <w:color w:val="auto"/>
          <w:vertAlign w:val="superscript"/>
        </w:rPr>
      </w:pPr>
      <w:r>
        <w:rPr>
          <w:rFonts w:ascii="Arial" w:cs="Arial" w:eastAsia="Arial" w:hAnsi="Arial"/>
          <w:sz w:val="17"/>
          <w:szCs w:val="17"/>
          <w:color w:val="auto"/>
        </w:rPr>
        <w:t>Consists of 198,807 shares of Common Stock issuable from time to time upon exercise of warrants that were originally issued as part of the Company's initial public offering and private placement concurrent therewith. These shares were previously included in Registration Statement No. 333- 268603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ind w:left="184" w:hanging="184"/>
        <w:spacing w:after="0" w:line="228" w:lineRule="auto"/>
        <w:tabs>
          <w:tab w:leader="none" w:pos="184" w:val="left"/>
        </w:tabs>
        <w:numPr>
          <w:ilvl w:val="0"/>
          <w:numId w:val="45"/>
        </w:numPr>
        <w:rPr>
          <w:rFonts w:ascii="Arial" w:cs="Arial" w:eastAsia="Arial" w:hAnsi="Arial"/>
          <w:sz w:val="21"/>
          <w:szCs w:val="21"/>
          <w:color w:val="auto"/>
          <w:vertAlign w:val="superscript"/>
        </w:rPr>
      </w:pPr>
      <w:r>
        <w:rPr>
          <w:rFonts w:ascii="Arial" w:cs="Arial" w:eastAsia="Arial" w:hAnsi="Arial"/>
          <w:sz w:val="17"/>
          <w:szCs w:val="17"/>
          <w:color w:val="auto"/>
        </w:rPr>
        <w:t>Consists of 500,000 shares of Common Stock issuable from time to time upon exercise of warrants that were originally issued to investors as part of a warrant exchange in July 2025. These shares were previously included in Registration Statement No. 333-292157 for which all filing fees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23" w:lineRule="exact"/>
        <w:rPr>
          <w:sz w:val="20"/>
          <w:szCs w:val="20"/>
          <w:color w:val="auto"/>
        </w:rPr>
      </w:pPr>
    </w:p>
    <w:p>
      <w:pPr>
        <w:jc w:val="both"/>
        <w:ind w:left="184" w:right="40" w:hanging="184"/>
        <w:spacing w:after="0" w:line="228"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347,082 shares of Common Stock issuable upon conversion of senior secured convertible notes, that were originally issued to investors pursuant to an offering that closed in October 2024. These shares were previously included in Registration Statement No. 333-276245 for which all filing fees were paid.</w:t>
      </w:r>
    </w:p>
    <w:p>
      <w:pPr>
        <w:spacing w:after="0" w:line="242" w:lineRule="exact"/>
        <w:rPr>
          <w:rFonts w:ascii="Arial" w:cs="Arial" w:eastAsia="Arial" w:hAnsi="Arial"/>
          <w:sz w:val="21"/>
          <w:szCs w:val="21"/>
          <w:color w:val="auto"/>
          <w:vertAlign w:val="superscript"/>
        </w:rPr>
      </w:pPr>
    </w:p>
    <w:p>
      <w:pPr>
        <w:ind w:left="184" w:right="300" w:hanging="184"/>
        <w:spacing w:after="0" w:line="228"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1,513,040 shares of Common Stock originally issued to an investor in connection with the Company's business combination that consummated on November 10, 2022. These shares were previously included in Registration Statement No. 333-268603 for which all filing fees were paid.</w:t>
      </w:r>
    </w:p>
    <w:p>
      <w:pPr>
        <w:spacing w:after="0" w:line="242" w:lineRule="exact"/>
        <w:rPr>
          <w:rFonts w:ascii="Arial" w:cs="Arial" w:eastAsia="Arial" w:hAnsi="Arial"/>
          <w:sz w:val="21"/>
          <w:szCs w:val="21"/>
          <w:color w:val="auto"/>
          <w:vertAlign w:val="superscript"/>
        </w:rPr>
      </w:pPr>
    </w:p>
    <w:p>
      <w:pPr>
        <w:ind w:left="184" w:right="440" w:hanging="184"/>
        <w:spacing w:after="0" w:line="228"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14,018 shares of Common Stock issuable from time to time upon exercise of warrants that were originally issued to investors in a private placement concurrent with Company's initial public offering. These shares were previously included in Registration Statement No. 333-268603 for which all filing fees were paid.</w:t>
      </w:r>
    </w:p>
    <w:p>
      <w:pPr>
        <w:spacing w:after="0" w:line="242" w:lineRule="exact"/>
        <w:rPr>
          <w:rFonts w:ascii="Arial" w:cs="Arial" w:eastAsia="Arial" w:hAnsi="Arial"/>
          <w:sz w:val="21"/>
          <w:szCs w:val="21"/>
          <w:color w:val="auto"/>
          <w:vertAlign w:val="superscript"/>
        </w:rPr>
      </w:pPr>
    </w:p>
    <w:p>
      <w:pPr>
        <w:jc w:val="both"/>
        <w:ind w:left="184" w:hanging="184"/>
        <w:spacing w:after="0" w:line="228"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275,000 shares of Common Stock issuable from time to time upon exercise of warrants that were originally issued to investors as part of an inducement to exercise certain other warrants then held by such investors. These shares were previously included in Registration Statement No. 333-292157 for which all filing fees were paid.</w:t>
      </w:r>
    </w:p>
    <w:p>
      <w:pPr>
        <w:spacing w:after="0" w:line="242" w:lineRule="exact"/>
        <w:rPr>
          <w:rFonts w:ascii="Arial" w:cs="Arial" w:eastAsia="Arial" w:hAnsi="Arial"/>
          <w:sz w:val="21"/>
          <w:szCs w:val="21"/>
          <w:color w:val="auto"/>
          <w:vertAlign w:val="superscript"/>
        </w:rPr>
      </w:pPr>
    </w:p>
    <w:p>
      <w:pPr>
        <w:ind w:left="184" w:right="240" w:hanging="184"/>
        <w:spacing w:after="0" w:line="228"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1,356,594 shares of Common Stock issuable from time to time upon exercise of warrants that were originally issued to an investor as part of an inducement to exercise certain warrants then held by such investor in November 2025. These shares were previously included in Registration Statement No. 333-292157 for which all filing fees were paid.</w:t>
      </w:r>
    </w:p>
    <w:p>
      <w:pPr>
        <w:spacing w:after="0" w:line="242" w:lineRule="exact"/>
        <w:rPr>
          <w:rFonts w:ascii="Arial" w:cs="Arial" w:eastAsia="Arial" w:hAnsi="Arial"/>
          <w:sz w:val="21"/>
          <w:szCs w:val="21"/>
          <w:color w:val="auto"/>
          <w:vertAlign w:val="superscript"/>
        </w:rPr>
      </w:pPr>
    </w:p>
    <w:p>
      <w:pPr>
        <w:ind w:left="184" w:right="120" w:hanging="184"/>
        <w:spacing w:after="0" w:line="228"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72,352 shares of Common Stock issuable from time to time upon exercise of warrants issued to a placement agent, or its affiliates, in connection with the warrant inducement transaction in November 2025. These shares were previously included in Registration Statement No. 333-292157 for which all filing fees were paid.</w:t>
      </w:r>
    </w:p>
    <w:p>
      <w:pPr>
        <w:spacing w:after="0" w:line="242" w:lineRule="exact"/>
        <w:rPr>
          <w:rFonts w:ascii="Arial" w:cs="Arial" w:eastAsia="Arial" w:hAnsi="Arial"/>
          <w:sz w:val="21"/>
          <w:szCs w:val="21"/>
          <w:color w:val="auto"/>
          <w:vertAlign w:val="superscript"/>
        </w:rPr>
      </w:pPr>
    </w:p>
    <w:p>
      <w:pPr>
        <w:ind w:left="184" w:right="420" w:hanging="184"/>
        <w:spacing w:after="0" w:line="226" w:lineRule="auto"/>
        <w:tabs>
          <w:tab w:leader="none" w:pos="184" w:val="left"/>
        </w:tabs>
        <w:numPr>
          <w:ilvl w:val="0"/>
          <w:numId w:val="46"/>
        </w:numPr>
        <w:rPr>
          <w:rFonts w:ascii="Arial" w:cs="Arial" w:eastAsia="Arial" w:hAnsi="Arial"/>
          <w:sz w:val="21"/>
          <w:szCs w:val="21"/>
          <w:color w:val="auto"/>
          <w:vertAlign w:val="superscript"/>
        </w:rPr>
      </w:pPr>
      <w:r>
        <w:rPr>
          <w:rFonts w:ascii="Arial" w:cs="Arial" w:eastAsia="Arial" w:hAnsi="Arial"/>
          <w:sz w:val="17"/>
          <w:szCs w:val="17"/>
          <w:color w:val="auto"/>
        </w:rPr>
        <w:t>Consists of 490,617 Warrants to purchase common stock currently exercisable for 14,018 shares of Common Stock originally issued to certain investors in a private placement concurrent with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-3031490</wp:posOffset>
            </wp:positionV>
            <wp:extent cx="714756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14756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-2495550</wp:posOffset>
            </wp:positionV>
            <wp:extent cx="714756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14756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-1960245</wp:posOffset>
            </wp:positionV>
            <wp:extent cx="714756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14756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-1424940</wp:posOffset>
            </wp:positionV>
            <wp:extent cx="714756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14756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-889000</wp:posOffset>
            </wp:positionV>
            <wp:extent cx="714756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14756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-353695</wp:posOffset>
            </wp:positionV>
            <wp:extent cx="714756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147560" cy="387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60960</wp:posOffset>
            </wp:positionV>
            <wp:extent cx="714756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sectPr>
      <w:pgSz w:w="11900" w:h="16838" w:orient="portrait"/>
      <w:cols w:equalWidth="0" w:num="1">
        <w:col w:w="11204"/>
      </w:cols>
      <w:pgMar w:left="336"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lowerLetter"/>
      <w:start w:val="9"/>
    </w:lvl>
  </w:abstractNum>
  <w:abstractNum w:abstractNumId="1">
    <w:nsid w:val="75A2A8D4"/>
    <w:multiLevelType w:val="hybridMultilevel"/>
    <w:lvl w:ilvl="0">
      <w:lvlJc w:val="left"/>
      <w:lvlText w:val="(%1)"/>
      <w:numFmt w:val="lowerRoman"/>
      <w:start w:val="2"/>
    </w:lvl>
  </w:abstractNum>
  <w:abstractNum w:abstractNumId="2">
    <w:nsid w:val="8EDBDAB"/>
    <w:multiLevelType w:val="hybridMultilevel"/>
    <w:lvl w:ilvl="0">
      <w:lvlJc w:val="left"/>
      <w:lvlText w:val="(%1)"/>
      <w:numFmt w:val="lowerRoman"/>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lowerRoman"/>
      <w:start w:val="1"/>
    </w:lvl>
  </w:abstractNum>
  <w:abstractNum w:abstractNumId="10">
    <w:nsid w:val="836C40E"/>
    <w:multiLevelType w:val="hybridMultilevel"/>
    <w:lvl w:ilvl="0">
      <w:lvlJc w:val="left"/>
      <w:lvlText w:val="(%1)"/>
      <w:numFmt w:val="decimal"/>
      <w:start w:val="1"/>
    </w:lvl>
    <w:lvl w:ilvl="1">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5"/>
    </w:lvl>
    <w:lvl w:ilvl="1">
      <w:lvlJc w:val="left"/>
      <w:lvlText w:val="(%2)"/>
      <w:numFmt w:val="lowerRoman"/>
      <w:start w:val="6"/>
    </w:lvl>
  </w:abstractNum>
  <w:abstractNum w:abstractNumId="15">
    <w:nsid w:val="7C3DBD3D"/>
    <w:multiLevelType w:val="hybridMultilevel"/>
    <w:lvl w:ilvl="0">
      <w:lvlJc w:val="left"/>
      <w:lvlText w:val="%1"/>
      <w:numFmt w:val="decimal"/>
      <w:start w:val="1"/>
    </w:lvl>
    <w:lvl w:ilvl="1">
      <w:lvlJc w:val="left"/>
      <w:lvlText w:val="(%2)"/>
      <w:numFmt w:val="lowerRoman"/>
      <w:start w:val="1"/>
    </w:lvl>
  </w:abstractNum>
  <w:abstractNum w:abstractNumId="16">
    <w:nsid w:val="737B8DDC"/>
    <w:multiLevelType w:val="hybridMultilevel"/>
    <w:lvl w:ilvl="0">
      <w:lvlJc w:val="left"/>
      <w:lvlText w:val="(%1)"/>
      <w:numFmt w:val="decimal"/>
      <w:start w:val="10"/>
    </w:lvl>
    <w:lvl w:ilvl="1">
      <w:lvlJc w:val="left"/>
      <w:lvlText w:val="%2"/>
      <w:numFmt w:val="lowerRoman"/>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Letter"/>
      <w:start w:val="3"/>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Roman"/>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7724C67E"/>
    <w:multiLevelType w:val="hybridMultilevel"/>
    <w:lvl w:ilvl="0">
      <w:lvlJc w:val="left"/>
      <w:lvlText w:val="(%1)"/>
      <w:numFmt w:val="lowerRoman"/>
      <w:start w:val="3"/>
    </w:lvl>
  </w:abstractNum>
  <w:abstractNum w:abstractNumId="29">
    <w:nsid w:val="5C482A97"/>
    <w:multiLevelType w:val="hybridMultilevel"/>
    <w:lvl w:ilvl="0">
      <w:lvlJc w:val="left"/>
      <w:lvlText w:val="(%1)"/>
      <w:numFmt w:val="decimal"/>
      <w:start w:val="2"/>
    </w:lvl>
    <w:lvl w:ilvl="1">
      <w:lvlJc w:val="left"/>
      <w:lvlText w:val="(%2)"/>
      <w:numFmt w:val="lowerRoman"/>
      <w:start w:val="1"/>
    </w:lvl>
  </w:abstractNum>
  <w:abstractNum w:abstractNumId="30">
    <w:nsid w:val="2463B9EA"/>
    <w:multiLevelType w:val="hybridMultilevel"/>
    <w:lvl w:ilvl="0">
      <w:lvlJc w:val="left"/>
      <w:lvlText w:val="%1"/>
      <w:numFmt w:val="lowerLetter"/>
      <w:start w:val="1"/>
    </w:lvl>
    <w:lvl w:ilvl="1">
      <w:lvlJc w:val="left"/>
      <w:lvlText w:val="(%2)"/>
      <w:numFmt w:val="lowerRoman"/>
      <w:start w:val="2"/>
    </w:lvl>
  </w:abstractNum>
  <w:abstractNum w:abstractNumId="31">
    <w:nsid w:val="5E884ADC"/>
    <w:multiLevelType w:val="hybridMultilevel"/>
    <w:lvl w:ilvl="0">
      <w:lvlJc w:val="left"/>
      <w:lvlText w:val="(%1)"/>
      <w:numFmt w:val="lowerLetter"/>
      <w:start w:val="2"/>
    </w:lvl>
    <w:lvl w:ilvl="1">
      <w:lvlJc w:val="left"/>
      <w:lvlText w:val="%2"/>
      <w:numFmt w:val="lowerRoman"/>
      <w:start w:val="1"/>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lowerRoman"/>
      <w:start w:val="4"/>
    </w:lvl>
  </w:abstractNum>
  <w:abstractNum w:abstractNumId="34">
    <w:nsid w:val="580BD78F"/>
    <w:multiLevelType w:val="hybridMultilevel"/>
    <w:lvl w:ilvl="0">
      <w:lvlJc w:val="left"/>
      <w:lvlText w:val="(%1)"/>
      <w:numFmt w:val="lowerRoman"/>
      <w:start w:val="8"/>
    </w:lvl>
  </w:abstractNum>
  <w:abstractNum w:abstractNumId="35">
    <w:nsid w:val="153EA438"/>
    <w:multiLevelType w:val="hybridMultilevel"/>
    <w:lvl w:ilvl="0">
      <w:lvlJc w:val="left"/>
      <w:lvlText w:val="1"/>
      <w:numFmt w:val="bullet"/>
      <w:start w:val="1"/>
    </w:lvl>
  </w:abstractNum>
  <w:abstractNum w:abstractNumId="36">
    <w:nsid w:val="3855585C"/>
    <w:multiLevelType w:val="hybridMultilevel"/>
    <w:lvl w:ilvl="0">
      <w:lvlJc w:val="left"/>
      <w:lvlText w:val="1"/>
      <w:numFmt w:val="bullet"/>
      <w:start w:val="1"/>
    </w:lvl>
  </w:abstractNum>
  <w:abstractNum w:abstractNumId="37">
    <w:nsid w:val="70A64E2A"/>
    <w:multiLevelType w:val="hybridMultilevel"/>
    <w:lvl w:ilvl="0">
      <w:lvlJc w:val="left"/>
      <w:lvlText w:val="2"/>
      <w:numFmt w:val="bullet"/>
      <w:start w:val="1"/>
    </w:lvl>
  </w:abstractNum>
  <w:abstractNum w:abstractNumId="38">
    <w:nsid w:val="6A2342EC"/>
    <w:multiLevelType w:val="hybridMultilevel"/>
    <w:lvl w:ilvl="0">
      <w:lvlJc w:val="left"/>
      <w:lvlText w:val="3"/>
      <w:numFmt w:val="bullet"/>
      <w:start w:val="1"/>
    </w:lvl>
  </w:abstractNum>
  <w:abstractNum w:abstractNumId="39">
    <w:nsid w:val="2A487CB0"/>
    <w:multiLevelType w:val="hybridMultilevel"/>
    <w:lvl w:ilvl="0">
      <w:lvlJc w:val="left"/>
      <w:lvlText w:val="4"/>
      <w:numFmt w:val="bullet"/>
      <w:start w:val="1"/>
    </w:lvl>
  </w:abstractNum>
  <w:abstractNum w:abstractNumId="40">
    <w:nsid w:val="1D4ED43B"/>
    <w:multiLevelType w:val="hybridMultilevel"/>
    <w:lvl w:ilvl="0">
      <w:lvlJc w:val="left"/>
      <w:lvlText w:val="5"/>
      <w:numFmt w:val="bullet"/>
      <w:start w:val="1"/>
    </w:lvl>
  </w:abstractNum>
  <w:abstractNum w:abstractNumId="41">
    <w:nsid w:val="725A06FB"/>
    <w:multiLevelType w:val="hybridMultilevel"/>
    <w:lvl w:ilvl="0">
      <w:lvlJc w:val="left"/>
      <w:lvlText w:val="6"/>
      <w:numFmt w:val="bullet"/>
      <w:start w:val="1"/>
    </w:lvl>
  </w:abstractNum>
  <w:abstractNum w:abstractNumId="42">
    <w:nsid w:val="2CD89A32"/>
    <w:multiLevelType w:val="hybridMultilevel"/>
    <w:lvl w:ilvl="0">
      <w:lvlJc w:val="left"/>
      <w:lvlText w:val="7"/>
      <w:numFmt w:val="bullet"/>
      <w:start w:val="1"/>
    </w:lvl>
  </w:abstractNum>
  <w:abstractNum w:abstractNumId="43">
    <w:nsid w:val="57E4CCAF"/>
    <w:multiLevelType w:val="hybridMultilevel"/>
    <w:lvl w:ilvl="0">
      <w:lvlJc w:val="left"/>
      <w:lvlText w:val="8"/>
      <w:numFmt w:val="bullet"/>
      <w:start w:val="1"/>
    </w:lvl>
  </w:abstractNum>
  <w:abstractNum w:abstractNumId="44">
    <w:nsid w:val="7A6D8D3C"/>
    <w:multiLevelType w:val="hybridMultilevel"/>
    <w:lvl w:ilvl="0">
      <w:lvlJc w:val="left"/>
      <w:lvlText w:val="9"/>
      <w:numFmt w:val="bullet"/>
      <w:start w:val="1"/>
    </w:lvl>
  </w:abstractNum>
  <w:abstractNum w:abstractNumId="45">
    <w:nsid w:val="4B588F5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12" Type="http://schemas.openxmlformats.org/officeDocument/2006/relationships/image" Target="media/image86.png"/><Relationship Id="rId129"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jpeg"/><Relationship Id="rId145" Type="http://schemas.openxmlformats.org/officeDocument/2006/relationships/image" Target="media/image94.jpeg"/><Relationship Id="rId146" Type="http://schemas.openxmlformats.org/officeDocument/2006/relationships/image" Target="media/image95.png"/><Relationship Id="rId147" Type="http://schemas.openxmlformats.org/officeDocument/2006/relationships/image" Target="media/image96.jpeg"/><Relationship Id="rId148" Type="http://schemas.openxmlformats.org/officeDocument/2006/relationships/image" Target="media/image97.png"/><Relationship Id="rId149" Type="http://schemas.openxmlformats.org/officeDocument/2006/relationships/image" Target="media/image98.jpe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20" Type="http://schemas.openxmlformats.org/officeDocument/2006/relationships/hyperlink" Target="http://www.sec.gov/ix?doc=/Archives/edgar/data/1820190/000119312525319720/d948132ds1.htm" TargetMode="External"/><Relationship Id="rId21" Type="http://schemas.openxmlformats.org/officeDocument/2006/relationships/hyperlink" Target="http://www.sec.gov/ix?doc=/Archives/edgar/data/1820190/000119312525115054/d866836dposam.htm" TargetMode="External"/><Relationship Id="rId22" Type="http://schemas.openxmlformats.org/officeDocument/2006/relationships/hyperlink" Target="http://www.sec.gov/ix?doc=/Archives/edgar/data/1820190/000119312525115095/d875652dposam.htm" TargetMode="External"/><Relationship Id="rId87" Type="http://schemas.openxmlformats.org/officeDocument/2006/relationships/hyperlink" Target="http://www.sec.gov/ix?doc=/Archives/edgar/data/1820190/000119312526151455/sclx-20251231.htm" TargetMode="External"/><Relationship Id="rId88" Type="http://schemas.openxmlformats.org/officeDocument/2006/relationships/hyperlink" Target="http://www.sec.gov/ix?doc=/Archives/edgar/data/1820190/000119312526232857/sclx-20260331.htm" TargetMode="External"/><Relationship Id="rId89" Type="http://schemas.openxmlformats.org/officeDocument/2006/relationships/hyperlink" Target="http://www.sec.gov/ix?doc=/Archives/edgar/data/1820190/000119312526033620/sclx-20260129.htm" TargetMode="External"/><Relationship Id="rId90" Type="http://schemas.openxmlformats.org/officeDocument/2006/relationships/hyperlink" Target="http://www.sec.gov/ix?doc=/Archives/edgar/data/1820190/000119312526035833/d79855d8k.htm" TargetMode="External"/><Relationship Id="rId91" Type="http://schemas.openxmlformats.org/officeDocument/2006/relationships/hyperlink" Target="http://www.sec.gov/ix?doc=/Archives/edgar/data/1820190/000119312526061371/sclx-20260219.htm" TargetMode="External"/><Relationship Id="rId92" Type="http://schemas.openxmlformats.org/officeDocument/2006/relationships/hyperlink" Target="http://www.sec.gov/ix?doc=/Archives/edgar/data/1820190/000119312526187620/sclx-20260426.htm" TargetMode="External"/><Relationship Id="rId93" Type="http://schemas.openxmlformats.org/officeDocument/2006/relationships/hyperlink" Target="http://www.sec.gov/ix?doc=/Archives/edgar/data/1820190/000119312526205839/sclx-20260504.htm" TargetMode="External"/><Relationship Id="rId94" Type="http://schemas.openxmlformats.org/officeDocument/2006/relationships/hyperlink" Target="http://www.sec.gov/ix?doc=/Archives/edgar/data/1820190/000119312526216921/sclx-20260511.htm" TargetMode="External"/><Relationship Id="rId95" Type="http://schemas.openxmlformats.org/officeDocument/2006/relationships/hyperlink" Target="http://www.sec.gov/ix?doc=/Archives/edgar/data/1820190/000119312526197717/d146109ddef14a.htm" TargetMode="External"/><Relationship Id="rId96" Type="http://schemas.openxmlformats.org/officeDocument/2006/relationships/hyperlink" Target="http://www.sec.gov/Archives/edgar/data/1820190/000095017025047800/sclx-ex4_16.htm" TargetMode="External"/><Relationship Id="rId97" Type="http://schemas.openxmlformats.org/officeDocument/2006/relationships/hyperlink" Target="http://www.sec.gov/ix?doc=/Archives/edgar/data/1820190/000095017025047800/sclx-20241231.htm" TargetMode="External"/><Relationship Id="rId98" Type="http://schemas.openxmlformats.org/officeDocument/2006/relationships/hyperlink" Target="http://www.sec.gov/Archives/edgar/data/1820190/000121390021000590/ea132712-8a12b_vickers1.htm" TargetMode="External"/><Relationship Id="rId108" Type="http://schemas.openxmlformats.org/officeDocument/2006/relationships/hyperlink" Target="http://www.sec.gov/Archives/edgar/data/1820190/000121390022013697/ea157097ex2-1_vickers1.htm" TargetMode="External"/><Relationship Id="rId109" Type="http://schemas.openxmlformats.org/officeDocument/2006/relationships/hyperlink" Target="http://www.sec.gov/Archives/edgar/data/1820190/000110465922099785/tm2225830d1_ex2-1.htm" TargetMode="External"/><Relationship Id="rId110" Type="http://schemas.openxmlformats.org/officeDocument/2006/relationships/hyperlink" Target="http://www.sec.gov/Archives/edgar/data/1820190/000110465922074469/vcka-20220331xex2d3.htm" TargetMode="External"/><Relationship Id="rId111" Type="http://schemas.openxmlformats.org/officeDocument/2006/relationships/hyperlink" Target="http://www.sec.gov/Archives/edgar/data/1820190/000110465922074469/vcka-20220331xex2d4.htm" TargetMode="External"/><Relationship Id="rId113" Type="http://schemas.openxmlformats.org/officeDocument/2006/relationships/hyperlink" Target="http://www.sec.gov/Archives/edgar/data/1820190/000119312524211651/d852041dex21.htm" TargetMode="External"/><Relationship Id="rId114" Type="http://schemas.openxmlformats.org/officeDocument/2006/relationships/hyperlink" Target="http://www.sec.gov/Archives/edgar/data/1820190/000095017025056022/sclx-ex2_1.htm" TargetMode="External"/><Relationship Id="rId115" Type="http://schemas.openxmlformats.org/officeDocument/2006/relationships/hyperlink" Target="http://www.sec.gov/Archives/edgar/data/1820190/000119312525162969/d21770dex21.htm" TargetMode="External"/><Relationship Id="rId116" Type="http://schemas.openxmlformats.org/officeDocument/2006/relationships/hyperlink" Target="http://www.sec.gov/Archives/edgar/data/1820190/000121390021001411/ea133037ex4-1_vickers1.htm" TargetMode="External"/><Relationship Id="rId117" Type="http://schemas.openxmlformats.org/officeDocument/2006/relationships/hyperlink" Target="http://www.sec.gov/Archives/edgar/data/1820190/000121390020042745/fs12020ex4-3_vickers1.htm" TargetMode="External"/><Relationship Id="rId118" Type="http://schemas.openxmlformats.org/officeDocument/2006/relationships/hyperlink" Target="http://www.sec.gov/Archives/edgar/data/1820190/000119312523242508/d537034dex41.htm" TargetMode="External"/><Relationship Id="rId119" Type="http://schemas.openxmlformats.org/officeDocument/2006/relationships/hyperlink" Target="http://www.sec.gov/Archives/edgar/data/1820190/000119312523242508/d537034dex42.htm" TargetMode="External"/><Relationship Id="rId120" Type="http://schemas.openxmlformats.org/officeDocument/2006/relationships/hyperlink" Target="http://www.sec.gov/Archives/edgar/data/1820190/000119312524059255/d772929dex41.htm" TargetMode="External"/><Relationship Id="rId121" Type="http://schemas.openxmlformats.org/officeDocument/2006/relationships/hyperlink" Target="http://www.sec.gov/Archives/edgar/data/1820190/000119312524059255/d772929dex42.htm" TargetMode="External"/><Relationship Id="rId122" Type="http://schemas.openxmlformats.org/officeDocument/2006/relationships/hyperlink" Target="http://www.sec.gov/Archives/edgar/data/1820190/000119312524114000/d820664dex41.htm" TargetMode="External"/><Relationship Id="rId123" Type="http://schemas.openxmlformats.org/officeDocument/2006/relationships/hyperlink" Target="http://www.sec.gov/Archives/edgar/data/1820190/000119312524114000/d820664dex42.htm" TargetMode="External"/><Relationship Id="rId124" Type="http://schemas.openxmlformats.org/officeDocument/2006/relationships/hyperlink" Target="http://www.sec.gov/Archives/edgar/data/1820190/000119312524181039/d699096dex48.htm" TargetMode="External"/><Relationship Id="rId125" Type="http://schemas.openxmlformats.org/officeDocument/2006/relationships/hyperlink" Target="http://www.sec.gov/Archives/edgar/data/1820190/000119312524234244/d853982dex41.htm" TargetMode="External"/><Relationship Id="rId126" Type="http://schemas.openxmlformats.org/officeDocument/2006/relationships/hyperlink" Target="http://www.sec.gov/Archives/edgar/data/1820190/000119312524234244/d853982dex42.htm" TargetMode="External"/><Relationship Id="rId127" Type="http://schemas.openxmlformats.org/officeDocument/2006/relationships/hyperlink" Target="http://www.sec.gov/Archives/edgar/data/1820190/000119312524234244/d853982dex43.htm" TargetMode="External"/><Relationship Id="rId128" Type="http://schemas.openxmlformats.org/officeDocument/2006/relationships/hyperlink" Target="http://www.sec.gov/Archives/edgar/data/1820190/000119312524278311/d836578dex42.htm" TargetMode="External"/><Relationship Id="rId130" Type="http://schemas.openxmlformats.org/officeDocument/2006/relationships/hyperlink" Target="http://www.sec.gov/Archives/edgar/data/1820190/000119312524278311/d836578dex41.htm" TargetMode="External"/><Relationship Id="rId131" Type="http://schemas.openxmlformats.org/officeDocument/2006/relationships/hyperlink" Target="http://www.sec.gov/Archives/edgar/data/1820190/000119312524278311/d836578dex43.htm" TargetMode="External"/><Relationship Id="rId132" Type="http://schemas.openxmlformats.org/officeDocument/2006/relationships/hyperlink" Target="http://www.sec.gov/Archives/edgar/data/1820190/000119312524278311/d836578dex44.htm" TargetMode="External"/><Relationship Id="rId133" Type="http://schemas.openxmlformats.org/officeDocument/2006/relationships/hyperlink" Target="http://www.sec.gov/Archives/edgar/data/1820190/000119312525162938/d87162dex106.htm" TargetMode="External"/><Relationship Id="rId134" Type="http://schemas.openxmlformats.org/officeDocument/2006/relationships/hyperlink" Target="http://www.sec.gov/Archives/edgar/data/1820190/000119312525226992/sclx-ex10_2.htm" TargetMode="External"/><Relationship Id="rId135" Type="http://schemas.openxmlformats.org/officeDocument/2006/relationships/hyperlink" Target="http://www.sec.gov/Archives/edgar/data/1820190/000119312525293861/d54587dex102.htm" TargetMode="External"/><Relationship Id="rId136" Type="http://schemas.openxmlformats.org/officeDocument/2006/relationships/hyperlink" Target="http://www.sec.gov/Archives/edgar/data/1820190/000119312525293861/d54587dex103.htm" TargetMode="External"/><Relationship Id="rId137" Type="http://schemas.openxmlformats.org/officeDocument/2006/relationships/hyperlink" Target="http://www.sec.gov/Archives/edgar/data/1820190/000119312526232857/sclx-ex4_21.htm" TargetMode="External"/><Relationship Id="rId138" Type="http://schemas.openxmlformats.org/officeDocument/2006/relationships/hyperlink" Target="http://www.sec.gov/Archives/edgar/data/1820190/000119312526061371/sclx-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2026-06-02T16:24:17Z</dcterms:created>
  <dcterms:modified xsi:type="dcterms:W3CDTF">2026-06-02T16:24:17Z</dcterms:modified>
</cp:coreProperties>
</file>