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9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0"/>
          <w:szCs w:val="10"/>
          <w:b w:val="1"/>
          <w:bCs w:val="1"/>
          <w:color w:val="auto"/>
        </w:rPr>
        <w:t>As filed with the U.S. Securities and Exchange Commission on May 7, 2025</w:t>
      </w:r>
    </w:p>
    <w:p>
      <w:pPr>
        <w:jc w:val="right"/>
        <w:ind w:right="839"/>
        <w:spacing w:after="0" w:line="236" w:lineRule="auto"/>
        <w:rPr>
          <w:sz w:val="20"/>
          <w:szCs w:val="20"/>
          <w:color w:val="auto"/>
        </w:rPr>
      </w:pPr>
      <w:r>
        <w:rPr>
          <w:rFonts w:ascii="Times New Roman" w:cs="Times New Roman" w:eastAsia="Times New Roman" w:hAnsi="Times New Roman"/>
          <w:sz w:val="10"/>
          <w:szCs w:val="10"/>
          <w:b w:val="1"/>
          <w:bCs w:val="1"/>
          <w:color w:val="auto"/>
        </w:rPr>
        <w:t>Registration Nos. 333-280882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39370</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67945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76200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FORM S-3</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FORM S-1</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REGISTRATION STATEMENT</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UNDER</w:t>
      </w:r>
    </w:p>
    <w:p>
      <w:pPr>
        <w:spacing w:after="0" w:line="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83820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6"/>
          <w:szCs w:val="26"/>
          <w:b w:val="1"/>
          <w:bCs w:val="1"/>
          <w:color w:val="auto"/>
        </w:rPr>
        <w:t>Scilex Holding Company</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67945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57" w:lineRule="exact"/>
        <w:rPr>
          <w:sz w:val="24"/>
          <w:szCs w:val="24"/>
          <w:color w:val="auto"/>
        </w:rPr>
      </w:pPr>
    </w:p>
    <w:tbl>
      <w:tblPr>
        <w:tblLayout w:type="fixed"/>
        <w:tblInd w:w="2560" w:type="dxa"/>
        <w:tblCellMar>
          <w:top w:w="0" w:type="dxa"/>
          <w:left w:w="0" w:type="dxa"/>
          <w:bottom w:w="0" w:type="dxa"/>
          <w:right w:w="0" w:type="dxa"/>
        </w:tblCellMar>
      </w:tblPr>
      <w:tr>
        <w:trPr>
          <w:trHeight w:val="130"/>
        </w:trPr>
        <w:tc>
          <w:tcPr>
            <w:tcW w:w="1880" w:type="dxa"/>
            <w:vAlign w:val="bottom"/>
          </w:tcPr>
          <w:p>
            <w:pPr>
              <w:jc w:val="center"/>
              <w:ind w:right="590"/>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1"/>
                <w:szCs w:val="11"/>
                <w:b w:val="1"/>
                <w:bCs w:val="1"/>
                <w:color w:val="auto"/>
                <w:w w:val="99"/>
              </w:rPr>
              <w:t>2836</w:t>
            </w:r>
          </w:p>
        </w:tc>
        <w:tc>
          <w:tcPr>
            <w:tcW w:w="2180" w:type="dxa"/>
            <w:vAlign w:val="bottom"/>
          </w:tcPr>
          <w:p>
            <w:pPr>
              <w:jc w:val="right"/>
              <w:ind w:right="529"/>
              <w:spacing w:after="0"/>
              <w:rPr>
                <w:sz w:val="20"/>
                <w:szCs w:val="20"/>
                <w:color w:val="auto"/>
              </w:rPr>
            </w:pPr>
            <w:r>
              <w:rPr>
                <w:rFonts w:ascii="Times New Roman" w:cs="Times New Roman" w:eastAsia="Times New Roman" w:hAnsi="Times New Roman"/>
                <w:sz w:val="11"/>
                <w:szCs w:val="11"/>
                <w:b w:val="1"/>
                <w:bCs w:val="1"/>
                <w:color w:val="auto"/>
              </w:rPr>
              <w:t>92-1062542</w:t>
            </w:r>
          </w:p>
        </w:tc>
      </w:tr>
      <w:tr>
        <w:trPr>
          <w:trHeight w:val="99"/>
        </w:trPr>
        <w:tc>
          <w:tcPr>
            <w:tcW w:w="1880" w:type="dxa"/>
            <w:vAlign w:val="bottom"/>
          </w:tcPr>
          <w:p>
            <w:pPr>
              <w:jc w:val="center"/>
              <w:ind w:right="590"/>
              <w:spacing w:after="0" w:line="99" w:lineRule="exact"/>
              <w:rPr>
                <w:sz w:val="20"/>
                <w:szCs w:val="20"/>
                <w:color w:val="auto"/>
              </w:rPr>
            </w:pPr>
            <w:r>
              <w:rPr>
                <w:rFonts w:ascii="Times New Roman" w:cs="Times New Roman" w:eastAsia="Times New Roman" w:hAnsi="Times New Roman"/>
                <w:sz w:val="10"/>
                <w:szCs w:val="10"/>
                <w:b w:val="1"/>
                <w:bCs w:val="1"/>
                <w:color w:val="auto"/>
                <w:w w:val="95"/>
              </w:rPr>
              <w:t>(State or other jurisdiction of</w:t>
            </w:r>
          </w:p>
        </w:tc>
        <w:tc>
          <w:tcPr>
            <w:tcW w:w="2360" w:type="dxa"/>
            <w:vAlign w:val="bottom"/>
          </w:tcPr>
          <w:p>
            <w:pPr>
              <w:jc w:val="center"/>
              <w:ind w:left="5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(Primary Standard Industrial</w:t>
            </w:r>
          </w:p>
        </w:tc>
        <w:tc>
          <w:tcPr>
            <w:tcW w:w="2180" w:type="dxa"/>
            <w:vAlign w:val="bottom"/>
          </w:tcPr>
          <w:p>
            <w:pPr>
              <w:jc w:val="center"/>
              <w:ind w:left="449"/>
              <w:spacing w:after="0" w:line="99" w:lineRule="exact"/>
              <w:rPr>
                <w:sz w:val="20"/>
                <w:szCs w:val="20"/>
                <w:color w:val="auto"/>
              </w:rPr>
            </w:pPr>
            <w:r>
              <w:rPr>
                <w:rFonts w:ascii="Times New Roman" w:cs="Times New Roman" w:eastAsia="Times New Roman" w:hAnsi="Times New Roman"/>
                <w:sz w:val="10"/>
                <w:szCs w:val="10"/>
                <w:b w:val="1"/>
                <w:bCs w:val="1"/>
                <w:color w:val="auto"/>
                <w:w w:val="96"/>
              </w:rPr>
              <w:t>(I.R.S. Employer Identification Number)</w:t>
            </w:r>
          </w:p>
        </w:tc>
      </w:tr>
      <w:tr>
        <w:trPr>
          <w:trHeight w:val="125"/>
        </w:trPr>
        <w:tc>
          <w:tcPr>
            <w:tcW w:w="1880" w:type="dxa"/>
            <w:vAlign w:val="bottom"/>
          </w:tcPr>
          <w:p>
            <w:pPr>
              <w:jc w:val="center"/>
              <w:ind w:right="590"/>
              <w:spacing w:after="0"/>
              <w:rPr>
                <w:sz w:val="20"/>
                <w:szCs w:val="20"/>
                <w:color w:val="auto"/>
              </w:rPr>
            </w:pPr>
            <w:r>
              <w:rPr>
                <w:rFonts w:ascii="Times New Roman" w:cs="Times New Roman" w:eastAsia="Times New Roman" w:hAnsi="Times New Roman"/>
                <w:sz w:val="10"/>
                <w:szCs w:val="10"/>
                <w:b w:val="1"/>
                <w:bCs w:val="1"/>
                <w:color w:val="auto"/>
                <w:w w:val="94"/>
              </w:rPr>
              <w:t>incorporation or organization)</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0"/>
                <w:szCs w:val="10"/>
                <w:b w:val="1"/>
                <w:bCs w:val="1"/>
                <w:color w:val="auto"/>
                <w:w w:val="95"/>
              </w:rPr>
              <w:t>Classification Code Number)</w:t>
            </w:r>
          </w:p>
        </w:tc>
        <w:tc>
          <w:tcPr>
            <w:tcW w:w="2180" w:type="dxa"/>
            <w:vAlign w:val="bottom"/>
          </w:tcPr>
          <w:p>
            <w:pPr>
              <w:spacing w:after="0"/>
              <w:rPr>
                <w:sz w:val="10"/>
                <w:szCs w:val="10"/>
                <w:color w:val="auto"/>
              </w:rPr>
            </w:pPr>
          </w:p>
        </w:tc>
      </w:tr>
    </w:tbl>
    <w:p>
      <w:pPr>
        <w:spacing w:after="0" w:line="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Scilex Holding Company</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960 San Antonio Road</w:t>
      </w:r>
    </w:p>
    <w:p>
      <w:pPr>
        <w:jc w:val="center"/>
        <w:ind w:right="-1120"/>
        <w:spacing w:after="0" w:line="207" w:lineRule="auto"/>
        <w:rPr>
          <w:sz w:val="20"/>
          <w:szCs w:val="20"/>
          <w:color w:val="auto"/>
        </w:rPr>
      </w:pPr>
      <w:r>
        <w:rPr>
          <w:rFonts w:ascii="Times New Roman" w:cs="Times New Roman" w:eastAsia="Times New Roman" w:hAnsi="Times New Roman"/>
          <w:sz w:val="10"/>
          <w:szCs w:val="10"/>
          <w:b w:val="1"/>
          <w:bCs w:val="1"/>
          <w:color w:val="auto"/>
        </w:rPr>
        <w:t>Palo Alto, CA 94303</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(650) 516-4310</w:t>
      </w:r>
    </w:p>
    <w:p>
      <w:pPr>
        <w:jc w:val="center"/>
        <w:ind w:right="-1120"/>
        <w:spacing w:after="0" w:line="237" w:lineRule="auto"/>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67945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Jaisim Shah</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Chief Executive Officer &amp; President</w:t>
      </w:r>
    </w:p>
    <w:p>
      <w:pPr>
        <w:jc w:val="center"/>
        <w:ind w:right="-1120"/>
        <w:spacing w:after="0" w:line="207" w:lineRule="auto"/>
        <w:rPr>
          <w:sz w:val="20"/>
          <w:szCs w:val="20"/>
          <w:color w:val="auto"/>
        </w:rPr>
      </w:pPr>
      <w:r>
        <w:rPr>
          <w:rFonts w:ascii="Times New Roman" w:cs="Times New Roman" w:eastAsia="Times New Roman" w:hAnsi="Times New Roman"/>
          <w:sz w:val="10"/>
          <w:szCs w:val="10"/>
          <w:b w:val="1"/>
          <w:bCs w:val="1"/>
          <w:color w:val="auto"/>
        </w:rPr>
        <w:t>960 San Antonio Road</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Palo Alto, CA 94303</w:t>
      </w:r>
    </w:p>
    <w:p>
      <w:pPr>
        <w:jc w:val="center"/>
        <w:ind w:right="-1120"/>
        <w:spacing w:after="0" w:line="207" w:lineRule="auto"/>
        <w:rPr>
          <w:sz w:val="20"/>
          <w:szCs w:val="20"/>
          <w:color w:val="auto"/>
        </w:rPr>
      </w:pPr>
      <w:r>
        <w:rPr>
          <w:rFonts w:ascii="Times New Roman" w:cs="Times New Roman" w:eastAsia="Times New Roman" w:hAnsi="Times New Roman"/>
          <w:sz w:val="10"/>
          <w:szCs w:val="10"/>
          <w:b w:val="1"/>
          <w:bCs w:val="1"/>
          <w:color w:val="auto"/>
        </w:rPr>
        <w:t>(650) 516-4310</w:t>
      </w:r>
    </w:p>
    <w:p>
      <w:pPr>
        <w:jc w:val="center"/>
        <w:ind w:right="-1120"/>
        <w:spacing w:after="0" w:line="237" w:lineRule="auto"/>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67945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i w:val="1"/>
          <w:iCs w:val="1"/>
          <w:color w:val="auto"/>
        </w:rPr>
        <w:t>Copies to:</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Jeffrey T. Hartlin, Esq.</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Elizabeth A. Razzano, Esq.</w:t>
      </w:r>
    </w:p>
    <w:p>
      <w:pPr>
        <w:jc w:val="center"/>
        <w:ind w:right="-1120"/>
        <w:spacing w:after="0" w:line="207" w:lineRule="auto"/>
        <w:rPr>
          <w:sz w:val="20"/>
          <w:szCs w:val="20"/>
          <w:color w:val="auto"/>
        </w:rPr>
      </w:pPr>
      <w:r>
        <w:rPr>
          <w:rFonts w:ascii="Times New Roman" w:cs="Times New Roman" w:eastAsia="Times New Roman" w:hAnsi="Times New Roman"/>
          <w:sz w:val="10"/>
          <w:szCs w:val="10"/>
          <w:b w:val="1"/>
          <w:bCs w:val="1"/>
          <w:color w:val="auto"/>
        </w:rPr>
        <w:t>Paul Hastings LLP</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1117 S. California Avenue</w:t>
      </w:r>
    </w:p>
    <w:p>
      <w:pPr>
        <w:jc w:val="center"/>
        <w:ind w:right="-1120"/>
        <w:spacing w:after="0" w:line="207" w:lineRule="auto"/>
        <w:rPr>
          <w:sz w:val="20"/>
          <w:szCs w:val="20"/>
          <w:color w:val="auto"/>
        </w:rPr>
      </w:pPr>
      <w:r>
        <w:rPr>
          <w:rFonts w:ascii="Times New Roman" w:cs="Times New Roman" w:eastAsia="Times New Roman" w:hAnsi="Times New Roman"/>
          <w:sz w:val="10"/>
          <w:szCs w:val="10"/>
          <w:b w:val="1"/>
          <w:bCs w:val="1"/>
          <w:color w:val="auto"/>
        </w:rPr>
        <w:t>Palo Alto, CA 94304</w:t>
      </w:r>
    </w:p>
    <w:p>
      <w:pPr>
        <w:jc w:val="center"/>
        <w:ind w:right="-1120"/>
        <w:spacing w:after="0" w:line="237" w:lineRule="auto"/>
        <w:rPr>
          <w:sz w:val="20"/>
          <w:szCs w:val="20"/>
          <w:color w:val="auto"/>
        </w:rPr>
      </w:pPr>
      <w:r>
        <w:rPr>
          <w:rFonts w:ascii="Times New Roman" w:cs="Times New Roman" w:eastAsia="Times New Roman" w:hAnsi="Times New Roman"/>
          <w:sz w:val="10"/>
          <w:szCs w:val="10"/>
          <w:b w:val="1"/>
          <w:bCs w:val="1"/>
          <w:color w:val="auto"/>
        </w:rPr>
        <w:t>(650) 320-1800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73660</wp:posOffset>
            </wp:positionV>
            <wp:extent cx="9829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25" w:lineRule="exact"/>
        <w:rPr>
          <w:sz w:val="24"/>
          <w:szCs w:val="24"/>
          <w:color w:val="auto"/>
        </w:rPr>
      </w:pPr>
    </w:p>
    <w:p>
      <w:pPr>
        <w:jc w:val="both"/>
        <w:ind w:left="1980" w:right="1179" w:firstLine="294"/>
        <w:spacing w:after="0" w:line="125" w:lineRule="exact"/>
        <w:rPr>
          <w:sz w:val="20"/>
          <w:szCs w:val="20"/>
          <w:color w:val="auto"/>
        </w:rPr>
      </w:pPr>
      <w:r>
        <w:rPr>
          <w:rFonts w:ascii="Times New Roman" w:cs="Times New Roman" w:eastAsia="Times New Roman" w:hAnsi="Times New Roman"/>
          <w:sz w:val="10"/>
          <w:szCs w:val="10"/>
          <w:b w:val="1"/>
          <w:bCs w:val="1"/>
          <w:color w:val="auto"/>
        </w:rPr>
        <w:t>Approximate date of commencement of proposed sale to the public</w:t>
      </w:r>
      <w:r>
        <w:rPr>
          <w:rFonts w:ascii="Times New Roman" w:cs="Times New Roman" w:eastAsia="Times New Roman" w:hAnsi="Times New Roman"/>
          <w:sz w:val="10"/>
          <w:szCs w:val="10"/>
          <w:color w:val="auto"/>
        </w:rPr>
        <w:t>: As soon as practicable after this registration statement becomes effective. If any of the securities being</w:t>
      </w: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0"/>
          <w:szCs w:val="10"/>
          <w:color w:val="auto"/>
        </w:rPr>
        <w:t xml:space="preserve">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5" w:lineRule="exact"/>
        <w:rPr>
          <w:sz w:val="24"/>
          <w:szCs w:val="24"/>
          <w:color w:val="auto"/>
        </w:rPr>
      </w:pPr>
    </w:p>
    <w:p>
      <w:pPr>
        <w:ind w:left="1980" w:right="1219" w:firstLine="294"/>
        <w:spacing w:after="0" w:line="124" w:lineRule="exact"/>
        <w:rPr>
          <w:sz w:val="20"/>
          <w:szCs w:val="20"/>
          <w:color w:val="auto"/>
        </w:rPr>
      </w:pPr>
      <w:r>
        <w:rPr>
          <w:rFonts w:ascii="Times New Roman" w:cs="Times New Roman" w:eastAsia="Times New Roman" w:hAnsi="Times New Roman"/>
          <w:sz w:val="10"/>
          <w:szCs w:val="10"/>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5" w:lineRule="exact"/>
        <w:rPr>
          <w:sz w:val="24"/>
          <w:szCs w:val="24"/>
          <w:color w:val="auto"/>
        </w:rPr>
      </w:pPr>
    </w:p>
    <w:p>
      <w:pPr>
        <w:ind w:left="1980" w:right="919" w:firstLine="294"/>
        <w:spacing w:after="0" w:line="124"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5" w:lineRule="exact"/>
        <w:rPr>
          <w:sz w:val="24"/>
          <w:szCs w:val="24"/>
          <w:color w:val="auto"/>
        </w:rPr>
      </w:pPr>
    </w:p>
    <w:p>
      <w:pPr>
        <w:ind w:left="1980" w:right="919" w:firstLine="294"/>
        <w:spacing w:after="0" w:line="124" w:lineRule="exact"/>
        <w:rPr>
          <w:sz w:val="20"/>
          <w:szCs w:val="20"/>
          <w:color w:val="auto"/>
        </w:rPr>
      </w:pPr>
      <w:r>
        <w:rPr>
          <w:rFonts w:ascii="Times New Roman" w:cs="Times New Roman" w:eastAsia="Times New Roman" w:hAnsi="Times New Roman"/>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5" w:lineRule="exact"/>
        <w:rPr>
          <w:sz w:val="24"/>
          <w:szCs w:val="24"/>
          <w:color w:val="auto"/>
        </w:rPr>
      </w:pPr>
    </w:p>
    <w:p>
      <w:pPr>
        <w:ind w:left="1980" w:right="899" w:firstLine="294"/>
        <w:spacing w:after="0" w:line="23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980" w:type="dxa"/>
        <w:tblCellMar>
          <w:top w:w="0" w:type="dxa"/>
          <w:left w:w="0" w:type="dxa"/>
          <w:bottom w:w="0" w:type="dxa"/>
          <w:right w:w="0" w:type="dxa"/>
        </w:tblCellMar>
      </w:tblPr>
      <w:tr>
        <w:trPr>
          <w:trHeight w:val="126"/>
        </w:trPr>
        <w:tc>
          <w:tcPr>
            <w:tcW w:w="940" w:type="dxa"/>
            <w:vAlign w:val="bottom"/>
          </w:tcPr>
          <w:p>
            <w:pPr>
              <w:spacing w:after="0"/>
              <w:rPr>
                <w:sz w:val="20"/>
                <w:szCs w:val="20"/>
                <w:color w:val="auto"/>
              </w:rPr>
            </w:pPr>
            <w:r>
              <w:rPr>
                <w:rFonts w:ascii="Times New Roman" w:cs="Times New Roman" w:eastAsia="Times New Roman" w:hAnsi="Times New Roman"/>
                <w:sz w:val="10"/>
                <w:szCs w:val="10"/>
                <w:color w:val="auto"/>
              </w:rPr>
              <w:t>Large accelerated filer</w:t>
            </w:r>
          </w:p>
        </w:tc>
        <w:tc>
          <w:tcPr>
            <w:tcW w:w="2620" w:type="dxa"/>
            <w:vAlign w:val="bottom"/>
          </w:tcPr>
          <w:p>
            <w:pPr>
              <w:ind w:left="80"/>
              <w:spacing w:after="0" w:line="101" w:lineRule="exact"/>
              <w:rPr>
                <w:sz w:val="20"/>
                <w:szCs w:val="20"/>
                <w:color w:val="auto"/>
              </w:rPr>
            </w:pPr>
            <w:r>
              <w:rPr>
                <w:rFonts w:ascii="MS PGothic" w:cs="MS PGothic" w:eastAsia="MS PGothic" w:hAnsi="MS PGothic"/>
                <w:sz w:val="10"/>
                <w:szCs w:val="10"/>
                <w:color w:val="auto"/>
              </w:rPr>
              <w:t>☐</w:t>
            </w:r>
          </w:p>
        </w:tc>
        <w:tc>
          <w:tcPr>
            <w:tcW w:w="35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Accelerated filer</w:t>
            </w:r>
          </w:p>
        </w:tc>
        <w:tc>
          <w:tcPr>
            <w:tcW w:w="200" w:type="dxa"/>
            <w:vAlign w:val="bottom"/>
          </w:tcPr>
          <w:p>
            <w:pPr>
              <w:ind w:left="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26"/>
        </w:trPr>
        <w:tc>
          <w:tcPr>
            <w:tcW w:w="940" w:type="dxa"/>
            <w:vAlign w:val="bottom"/>
          </w:tcPr>
          <w:p>
            <w:pPr>
              <w:spacing w:after="0"/>
              <w:rPr>
                <w:sz w:val="20"/>
                <w:szCs w:val="20"/>
                <w:color w:val="auto"/>
              </w:rPr>
            </w:pPr>
            <w:r>
              <w:rPr>
                <w:rFonts w:ascii="Times New Roman" w:cs="Times New Roman" w:eastAsia="Times New Roman" w:hAnsi="Times New Roman"/>
                <w:sz w:val="10"/>
                <w:szCs w:val="10"/>
                <w:color w:val="auto"/>
              </w:rPr>
              <w:t>Non-accelerated filer</w:t>
            </w:r>
          </w:p>
        </w:tc>
        <w:tc>
          <w:tcPr>
            <w:tcW w:w="2620" w:type="dxa"/>
            <w:vAlign w:val="bottom"/>
          </w:tcPr>
          <w:p>
            <w:pPr>
              <w:ind w:left="80"/>
              <w:spacing w:after="0" w:line="101" w:lineRule="exact"/>
              <w:rPr>
                <w:sz w:val="20"/>
                <w:szCs w:val="20"/>
                <w:color w:val="auto"/>
              </w:rPr>
            </w:pPr>
            <w:r>
              <w:rPr>
                <w:rFonts w:ascii="MS PGothic" w:cs="MS PGothic" w:eastAsia="MS PGothic" w:hAnsi="MS PGothic"/>
                <w:sz w:val="10"/>
                <w:szCs w:val="10"/>
                <w:color w:val="auto"/>
              </w:rPr>
              <w:t>☒</w:t>
            </w:r>
          </w:p>
        </w:tc>
        <w:tc>
          <w:tcPr>
            <w:tcW w:w="35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Smaller reporting company</w:t>
            </w:r>
          </w:p>
        </w:tc>
        <w:tc>
          <w:tcPr>
            <w:tcW w:w="200" w:type="dxa"/>
            <w:vAlign w:val="bottom"/>
          </w:tcPr>
          <w:p>
            <w:pPr>
              <w:ind w:left="1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61"/>
        </w:trPr>
        <w:tc>
          <w:tcPr>
            <w:tcW w:w="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580" w:type="dxa"/>
            <w:vAlign w:val="bottom"/>
          </w:tcPr>
          <w:p>
            <w:pPr>
              <w:ind w:left="2440"/>
              <w:spacing w:after="0"/>
              <w:rPr>
                <w:sz w:val="20"/>
                <w:szCs w:val="20"/>
                <w:color w:val="auto"/>
              </w:rPr>
            </w:pPr>
            <w:r>
              <w:rPr>
                <w:rFonts w:ascii="Times New Roman" w:cs="Times New Roman" w:eastAsia="Times New Roman" w:hAnsi="Times New Roman"/>
                <w:sz w:val="10"/>
                <w:szCs w:val="10"/>
                <w:color w:val="auto"/>
              </w:rPr>
              <w:t>Emerging growth company</w:t>
            </w:r>
          </w:p>
        </w:tc>
        <w:tc>
          <w:tcPr>
            <w:tcW w:w="200" w:type="dxa"/>
            <w:vAlign w:val="bottom"/>
          </w:tcPr>
          <w:p>
            <w:pPr>
              <w:ind w:left="1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4" w:lineRule="exact"/>
        <w:rPr>
          <w:sz w:val="24"/>
          <w:szCs w:val="24"/>
          <w:color w:val="auto"/>
        </w:rPr>
      </w:pPr>
    </w:p>
    <w:p>
      <w:pPr>
        <w:ind w:left="1980" w:right="1079"/>
        <w:spacing w:after="0" w:line="124"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0"/>
          <w:szCs w:val="10"/>
          <w:color w:val="auto"/>
        </w:rPr>
        <w:t>☒</w:t>
      </w:r>
    </w:p>
    <w:p>
      <w:pPr>
        <w:spacing w:after="0" w:line="5" w:lineRule="exact"/>
        <w:rPr>
          <w:sz w:val="24"/>
          <w:szCs w:val="24"/>
          <w:color w:val="auto"/>
        </w:rPr>
      </w:pPr>
    </w:p>
    <w:p>
      <w:pPr>
        <w:ind w:left="1980" w:right="879"/>
        <w:spacing w:after="0" w:line="216" w:lineRule="auto"/>
        <w:rPr>
          <w:sz w:val="20"/>
          <w:szCs w:val="20"/>
          <w:color w:val="auto"/>
        </w:rPr>
      </w:pPr>
      <w:r>
        <w:rPr>
          <w:rFonts w:ascii="Times New Roman" w:cs="Times New Roman" w:eastAsia="Times New Roman" w:hAnsi="Times New Roman"/>
          <w:sz w:val="10"/>
          <w:szCs w:val="10"/>
          <w:color w:val="auto"/>
        </w:rPr>
        <w:t>Pursuant to Rule 429 under the Securities Act of 1933, as amended, and as further described below under the heading “</w:t>
      </w:r>
      <w:r>
        <w:rPr>
          <w:rFonts w:ascii="Times New Roman" w:cs="Times New Roman" w:eastAsia="Times New Roman" w:hAnsi="Times New Roman"/>
          <w:sz w:val="10"/>
          <w:szCs w:val="10"/>
          <w:u w:val="single" w:color="auto"/>
          <w:color w:val="auto"/>
        </w:rPr>
        <w:t>Explanatory Note</w:t>
      </w:r>
      <w:r>
        <w:rPr>
          <w:rFonts w:ascii="Times New Roman" w:cs="Times New Roman" w:eastAsia="Times New Roman" w:hAnsi="Times New Roman"/>
          <w:sz w:val="10"/>
          <w:szCs w:val="10"/>
          <w:color w:val="auto"/>
        </w:rPr>
        <w:t>”, the prospectus contained in this Post-Effective Amendment No. 1 to Form S-3 on Form S-1, which constitutes a post-effective amendment to the registrant’s Registration Statement on Form S-3 (File No. 333-280882) originally declared effective on July 25, 2024, will be used as a combined prospectus in connection with the registrant’s earlier Registration Statement on Form S-1 (File No. 333-276245) originally declared effective on January 11, 2024. Accordingly, upon effectiveness, this Post-Effective Amendment No. 1 to Form S-3 on Form S-1 will also constitute a post-effective amendment to such earlier registration statement.</w:t>
      </w:r>
    </w:p>
    <w:p>
      <w:pPr>
        <w:spacing w:after="0" w:line="12" w:lineRule="exact"/>
        <w:rPr>
          <w:sz w:val="24"/>
          <w:szCs w:val="24"/>
          <w:color w:val="auto"/>
        </w:rPr>
      </w:pPr>
    </w:p>
    <w:p>
      <w:pPr>
        <w:jc w:val="both"/>
        <w:ind w:left="1980" w:right="1019"/>
        <w:spacing w:after="0" w:line="301" w:lineRule="auto"/>
        <w:rPr>
          <w:sz w:val="20"/>
          <w:szCs w:val="20"/>
          <w:color w:val="auto"/>
        </w:rPr>
      </w:pPr>
      <w:r>
        <w:rPr>
          <w:rFonts w:ascii="Times New Roman" w:cs="Times New Roman" w:eastAsia="Times New Roman" w:hAnsi="Times New Roman"/>
          <w:sz w:val="8"/>
          <w:szCs w:val="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19050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47625</wp:posOffset>
            </wp:positionV>
            <wp:extent cx="46634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4" w:lineRule="exact"/>
        <w:rPr>
          <w:sz w:val="24"/>
          <w:szCs w:val="24"/>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Scilex Holding Company (the “Company”) filed a shelf registration statement on Form S-3 (No. 333-276245) with the Securities and Exchange Commission (the “SEC”) on December 22, 2022, which registration statement was initially declared effective by the SEC on January 11, 2024 (the “Shelf Registration Statement”). The Shelf Registration Statement registered up to $500,000,000 in aggregate principal amount of common stock, preferred stock, warrants, debt securities, rights and units.</w:t>
      </w:r>
    </w:p>
    <w:p>
      <w:pPr>
        <w:spacing w:after="0" w:line="122" w:lineRule="exact"/>
        <w:rPr>
          <w:sz w:val="24"/>
          <w:szCs w:val="24"/>
          <w:color w:val="auto"/>
        </w:rPr>
      </w:pPr>
    </w:p>
    <w:p>
      <w:pPr>
        <w:jc w:val="both"/>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Company also filed a registration statement on Form S-3 (No. 333-280882) with the SEC on July 18, 2024, which registration statement was declared effective by the SEC on July 25, 2024 (the “Resale Registration Statement” and, together with the Shelf Registration Statement, the “Original Registration Statements”).</w:t>
      </w:r>
    </w:p>
    <w:p>
      <w:pPr>
        <w:spacing w:after="0" w:line="119" w:lineRule="exact"/>
        <w:rPr>
          <w:sz w:val="24"/>
          <w:szCs w:val="24"/>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Company is not currently eligible to use the Original Registration Statements as a result of its failure to timely file its Quarterly Report on Form 10-Q for the period ended September 30, 2024. Accordingly, the Company is filing this Post-Effective Amendment No. 1 to Form S-3 on Form S-1 (this “Post-Effective Amendment No. 1”) (i) pursuant to Rule 429 under the Securities Act of 1933, as amended (the “Securities Act”), to combine the prospectuses included in the Original Registration Statements, (ii) to convert each of the Original Registration Statements into a Registration Statement on Form S-1, (iii) to update the section entitled “Selling Securityholder” contained in the accompanying prospectus to reflect, among other things, earlier sales or dispositions of securities made by the Selling Securityholder, and (iv) to serve as a Section 10(a)(3) update to each of the Original Registration Statements and to make certain other updates to the prospectus that forms a part of this Post-Effective Amendment No. 1. No additional securities are being registered under this Post-Effective Amendment.</w:t>
      </w:r>
    </w:p>
    <w:p>
      <w:pPr>
        <w:spacing w:after="0" w:line="128" w:lineRule="exact"/>
        <w:rPr>
          <w:sz w:val="24"/>
          <w:szCs w:val="24"/>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The Company completed a l-for-35 reverse stock split on April 15, 2025. Unless indicated otherwise, all share and per share information presented in the prospectus forming a part of this Post-Effective Amendment No. 1 reflects the completion of the reverse stock split. The Company’s historical financial statements included in this prospectus do not reflect the reverse stock split.</w:t>
      </w:r>
    </w:p>
    <w:p>
      <w:pPr>
        <w:spacing w:after="0" w:line="119"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Shelf Registration Statement initially registered the following securities:</w:t>
      </w:r>
    </w:p>
    <w:p>
      <w:pPr>
        <w:spacing w:after="0" w:line="87" w:lineRule="exact"/>
        <w:rPr>
          <w:sz w:val="24"/>
          <w:szCs w:val="24"/>
          <w:color w:val="auto"/>
        </w:rPr>
      </w:pPr>
    </w:p>
    <w:p>
      <w:pPr>
        <w:ind w:left="2620" w:right="859" w:hanging="288"/>
        <w:spacing w:after="0" w:line="257" w:lineRule="auto"/>
        <w:tabs>
          <w:tab w:leader="none" w:pos="26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168,068 shares of the Company’s common stock, par value $0.0001 per share (the “Common Stock”), (ii) common warrants to purchase up to 168,068 shares of Common Stock, (iii) up to 168,068 shares of Common Stock issuable from time to time upon exercise of such common warrants, (iv) representative warrants to purchase up to 13,446 shares of Common Stock, (v) up to 13,446 shares of Common Stock issuable from time to time upon exercise of such representative warrants, in each case issued pursuant to the Prospectus Supplement dated February 29, 2024 (the “February 2024 Prospectus Supplement”) filed with the SEC on March 4, 2024;</w:t>
      </w:r>
    </w:p>
    <w:p>
      <w:pPr>
        <w:spacing w:after="0" w:line="62" w:lineRule="exact"/>
        <w:rPr>
          <w:rFonts w:ascii="Times New Roman" w:cs="Times New Roman" w:eastAsia="Times New Roman" w:hAnsi="Times New Roman"/>
          <w:sz w:val="12"/>
          <w:szCs w:val="12"/>
          <w:color w:val="auto"/>
        </w:rPr>
      </w:pPr>
    </w:p>
    <w:p>
      <w:pPr>
        <w:ind w:left="2620" w:right="879" w:hanging="288"/>
        <w:spacing w:after="0" w:line="257" w:lineRule="auto"/>
        <w:tabs>
          <w:tab w:leader="none" w:pos="26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428,572 shares of Common Stock, (ii) common warrants to purchase up to 428,572 shares of Common Stock, (iii) up to 428,572 shares of Common Stock issuable from time to time upon exercise of such common warrants, (iv) placement agent warrants to purchase up to 34,286 shares of Common Stock, (v) up to 34,286 shares of Common Stock issuable from time to time upon exercise of such placement agent warrants, in each case issued pursuant to the Prospectus Supplement dated April 23, 2024 (the “April 2024 Prospectus Supplement”) filed with the SEC on April 25, 2024;</w:t>
      </w:r>
    </w:p>
    <w:p>
      <w:pPr>
        <w:spacing w:after="0" w:line="62" w:lineRule="exact"/>
        <w:rPr>
          <w:rFonts w:ascii="Times New Roman" w:cs="Times New Roman" w:eastAsia="Times New Roman" w:hAnsi="Times New Roman"/>
          <w:sz w:val="12"/>
          <w:szCs w:val="12"/>
          <w:color w:val="auto"/>
        </w:rPr>
      </w:pPr>
    </w:p>
    <w:p>
      <w:pPr>
        <w:ind w:left="2620" w:right="839" w:hanging="288"/>
        <w:spacing w:after="0" w:line="256" w:lineRule="auto"/>
        <w:tabs>
          <w:tab w:leader="none" w:pos="26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common warrants to purchase up to 214,284 shares of Common Stock, (ii) up to 214,284 shares of Common Stock issuable from time to time upon exercise of such common warrants, (iii) placement agent warrants to purchase up to 104,848 shares of Common Stock, (iv) up to 104,848 shares of Common Stock issuable from time to time upon exercise of such placement agent warrants, (v) 62,794 shares of Common Stock and (vi) $50,000,000 aggregate principal amount of Tranche B senior secured convertible notes, in each case issued pursuant to the Prospectus Supplement dated October 7, 2024 (the “October 2024 Prospectus Supplement”) filed with the SEC on October 7, 2024; and</w:t>
      </w:r>
    </w:p>
    <w:p>
      <w:pPr>
        <w:spacing w:after="0" w:line="61"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753,009 shares of Common Stock, (ii) pre-funded warrants to purchase up to 68,604 shares of Common Stock, (iii) up to 68,604 shares of Common Stock issuable from time to time upon exercise of</w:t>
      </w:r>
    </w:p>
    <w:p>
      <w:pPr>
        <w:sectPr>
          <w:pgSz w:w="11900" w:h="16838" w:orient="portrait"/>
          <w:cols w:equalWidth="0" w:num="1">
            <w:col w:w="10159"/>
          </w:cols>
          <w:pgMar w:left="300" w:top="197" w:right="1440" w:bottom="29"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1380" cy="41275"/>
                    </a:xfrm>
                    <a:prstGeom prst="rect">
                      <a:avLst/>
                    </a:prstGeom>
                    <a:noFill/>
                  </pic:spPr>
                </pic:pic>
              </a:graphicData>
            </a:graphic>
          </wp:anchor>
        </w:drawing>
        <w:t>Table of Contents</w:t>
      </w:r>
    </w:p>
    <w:p>
      <w:pPr>
        <w:spacing w:after="0" w:line="217" w:lineRule="exact"/>
        <w:rPr>
          <w:sz w:val="20"/>
          <w:szCs w:val="20"/>
          <w:color w:val="auto"/>
        </w:rPr>
      </w:pPr>
    </w:p>
    <w:p>
      <w:pPr>
        <w:ind w:left="2620" w:right="979"/>
        <w:spacing w:after="0" w:line="257" w:lineRule="auto"/>
        <w:rPr>
          <w:sz w:val="20"/>
          <w:szCs w:val="20"/>
          <w:color w:val="auto"/>
        </w:rPr>
      </w:pPr>
      <w:r>
        <w:rPr>
          <w:rFonts w:ascii="Times New Roman" w:cs="Times New Roman" w:eastAsia="Times New Roman" w:hAnsi="Times New Roman"/>
          <w:sz w:val="12"/>
          <w:szCs w:val="12"/>
          <w:color w:val="auto"/>
        </w:rPr>
        <w:t>such pre-funded warrants, (iv) common warrants to purchase up to 1,642,871 shares of Common Stock, (v) up to 1,642,871 shares of Common Stock issuable from time to time upon exercise of such common warrants, (vi) StockBlock warrants to purchase up to 131,472 shares of Common Stock and (vii) up to 131,472 shares of Common Stock issuable from time to time upon exercise of such StockBlock warrants, in each case issued pursuant to the Prospectus Supplement dated December 11, 2024 (the “December 2024 Prospectus Supplement”) filed with the SEC on December 13, 2024.</w:t>
      </w:r>
    </w:p>
    <w:p>
      <w:pPr>
        <w:spacing w:after="0" w:line="125"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The Resale Registration Statement initially registered the resale of up to 3,500,000 shares of Common Stock issuable from time to time upon exercise of certain warrants to purchase an aggregate of 3,500,000 shares of Common Stock issued by the Company to FSF 33433 LLC (“FSF” or the “Selling Securityholder) and IVI 66766 LLC (“IVI”).</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This Post-Effective Amendment No. 1 is being filed to:</w:t>
      </w:r>
    </w:p>
    <w:p>
      <w:pPr>
        <w:spacing w:after="0" w:line="150" w:lineRule="exact"/>
        <w:rPr>
          <w:sz w:val="20"/>
          <w:szCs w:val="20"/>
          <w:color w:val="auto"/>
        </w:rPr>
      </w:pPr>
    </w:p>
    <w:p>
      <w:pPr>
        <w:ind w:left="2420" w:hanging="154"/>
        <w:spacing w:after="0"/>
        <w:tabs>
          <w:tab w:leader="none" w:pos="2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the registration of the issuance by us the following securities:</w:t>
      </w:r>
    </w:p>
    <w:p>
      <w:pPr>
        <w:spacing w:after="0" w:line="87" w:lineRule="exact"/>
        <w:rPr>
          <w:rFonts w:ascii="Times New Roman" w:cs="Times New Roman" w:eastAsia="Times New Roman" w:hAnsi="Times New Roman"/>
          <w:sz w:val="12"/>
          <w:szCs w:val="12"/>
          <w:color w:val="auto"/>
        </w:rPr>
      </w:pPr>
    </w:p>
    <w:p>
      <w:pPr>
        <w:ind w:left="2920" w:right="859" w:hanging="291"/>
        <w:spacing w:after="0" w:line="279" w:lineRule="auto"/>
        <w:tabs>
          <w:tab w:leader="none" w:pos="29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122,132 shares of Common Stock issuable upon exercise of the warrants to purchase shares of Common Stock issued pursuant to the February 2024 Prospectus Supplement;</w:t>
      </w:r>
    </w:p>
    <w:p>
      <w:pPr>
        <w:spacing w:after="0" w:line="48" w:lineRule="exact"/>
        <w:rPr>
          <w:rFonts w:ascii="Times New Roman" w:cs="Times New Roman" w:eastAsia="Times New Roman" w:hAnsi="Times New Roman"/>
          <w:sz w:val="12"/>
          <w:szCs w:val="12"/>
          <w:color w:val="auto"/>
        </w:rPr>
      </w:pPr>
    </w:p>
    <w:p>
      <w:pPr>
        <w:ind w:left="2920" w:right="859" w:hanging="291"/>
        <w:spacing w:after="0" w:line="279" w:lineRule="auto"/>
        <w:tabs>
          <w:tab w:leader="none" w:pos="29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462,858 shares of Common Stock issuable upon exercise of the warrants to purchase shares of Common Stock issued pursuant to the April 2024 Prospectus Supplement;</w:t>
      </w:r>
    </w:p>
    <w:p>
      <w:pPr>
        <w:spacing w:after="0" w:line="48" w:lineRule="exact"/>
        <w:rPr>
          <w:rFonts w:ascii="Times New Roman" w:cs="Times New Roman" w:eastAsia="Times New Roman" w:hAnsi="Times New Roman"/>
          <w:sz w:val="12"/>
          <w:szCs w:val="12"/>
          <w:color w:val="auto"/>
        </w:rPr>
      </w:pPr>
    </w:p>
    <w:p>
      <w:pPr>
        <w:ind w:left="2920" w:right="859" w:hanging="291"/>
        <w:spacing w:after="0" w:line="279" w:lineRule="auto"/>
        <w:tabs>
          <w:tab w:leader="none" w:pos="29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319,132 shares of Common Stock issuable upon exercise of the warrants to purchase shares of Common Stock issued pursuant to the October 2024 Prospectus Supplement;</w:t>
      </w:r>
    </w:p>
    <w:p>
      <w:pPr>
        <w:spacing w:after="0" w:line="48" w:lineRule="exact"/>
        <w:rPr>
          <w:rFonts w:ascii="Times New Roman" w:cs="Times New Roman" w:eastAsia="Times New Roman" w:hAnsi="Times New Roman"/>
          <w:sz w:val="12"/>
          <w:szCs w:val="12"/>
          <w:color w:val="auto"/>
        </w:rPr>
      </w:pPr>
    </w:p>
    <w:p>
      <w:pPr>
        <w:ind w:left="2920" w:right="899" w:hanging="291"/>
        <w:spacing w:after="0" w:line="279" w:lineRule="auto"/>
        <w:tabs>
          <w:tab w:leader="none" w:pos="29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914,823 shares of Common Stock issuable upon conversion of the Tranche B senior secured convertible notes issued pursuant to the October 2024 Prospectus Supplement; and</w:t>
      </w:r>
    </w:p>
    <w:p>
      <w:pPr>
        <w:spacing w:after="0" w:line="48" w:lineRule="exact"/>
        <w:rPr>
          <w:rFonts w:ascii="Times New Roman" w:cs="Times New Roman" w:eastAsia="Times New Roman" w:hAnsi="Times New Roman"/>
          <w:sz w:val="12"/>
          <w:szCs w:val="12"/>
          <w:color w:val="auto"/>
        </w:rPr>
      </w:pPr>
    </w:p>
    <w:p>
      <w:pPr>
        <w:ind w:left="2920" w:right="939" w:hanging="291"/>
        <w:spacing w:after="0" w:line="279" w:lineRule="auto"/>
        <w:tabs>
          <w:tab w:leader="none" w:pos="292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1,774,343 shares of Common Stock issuable upon exercise of the warrants to purchase shares of Common Stock issued pursuant to the December 2024 Prospectus Supplement; and</w:t>
      </w:r>
    </w:p>
    <w:p>
      <w:pPr>
        <w:spacing w:after="0" w:line="48" w:lineRule="exact"/>
        <w:rPr>
          <w:rFonts w:ascii="Times New Roman" w:cs="Times New Roman" w:eastAsia="Times New Roman" w:hAnsi="Times New Roman"/>
          <w:sz w:val="12"/>
          <w:szCs w:val="12"/>
          <w:color w:val="auto"/>
        </w:rPr>
      </w:pPr>
    </w:p>
    <w:p>
      <w:pPr>
        <w:ind w:left="2620" w:right="859" w:hanging="360"/>
        <w:spacing w:after="0" w:line="279" w:lineRule="auto"/>
        <w:tabs>
          <w:tab w:leader="none" w:pos="26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the registration of the resale by the Selling Securityholder of up to 3,250,000 shares of Common Stock issuable upon exercise of a warrant to purchase 3,250,000 shares of Common Stock issued by the Company to the Selling Securityholder in June 2024.</w:t>
      </w:r>
    </w:p>
    <w:p>
      <w:pPr>
        <w:spacing w:after="0" w:line="111"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All filing fees payable in connection with the registration of these securities were previously paid in connection with the filing of the Original Registration Statements.</w:t>
      </w:r>
    </w:p>
    <w:p>
      <w:pPr>
        <w:sectPr>
          <w:pgSz w:w="11900" w:h="16838" w:orient="portrait"/>
          <w:cols w:equalWidth="0" w:num="1">
            <w:col w:w="10159"/>
          </w:cols>
          <w:pgMar w:left="300" w:top="36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0" w:lineRule="exact"/>
        <w:rPr>
          <w:sz w:val="20"/>
          <w:szCs w:val="20"/>
          <w:color w:val="auto"/>
        </w:rPr>
      </w:pPr>
    </w:p>
    <w:p>
      <w:pPr>
        <w:spacing w:after="0" w:line="232" w:lineRule="exact"/>
        <w:rPr>
          <w:sz w:val="20"/>
          <w:szCs w:val="20"/>
          <w:color w:val="auto"/>
        </w:rPr>
      </w:pPr>
    </w:p>
    <w:tbl>
      <w:tblPr>
        <w:tblLayout w:type="fixed"/>
        <w:tblInd w:w="1980" w:type="dxa"/>
        <w:tblCellMar>
          <w:top w:w="0" w:type="dxa"/>
          <w:left w:w="0" w:type="dxa"/>
          <w:bottom w:w="0" w:type="dxa"/>
          <w:right w:w="0" w:type="dxa"/>
        </w:tblCellMar>
      </w:tblPr>
      <w:tr>
        <w:trPr>
          <w:trHeight w:val="1588"/>
        </w:trPr>
        <w:tc>
          <w:tcPr>
            <w:tcW w:w="120" w:type="dxa"/>
            <w:vAlign w:val="bottom"/>
            <w:textDirection w:val="btLr"/>
          </w:tcPr>
          <w:p>
            <w:pPr>
              <w:spacing w:after="0"/>
              <w:rPr>
                <w:sz w:val="20"/>
                <w:szCs w:val="20"/>
                <w:color w:val="auto"/>
              </w:rPr>
            </w:pPr>
            <w:r>
              <w:rPr>
                <w:rFonts w:ascii="Times New Roman" w:cs="Times New Roman" w:eastAsia="Times New Roman" w:hAnsi="Times New Roman"/>
                <w:sz w:val="12"/>
                <w:szCs w:val="12"/>
                <w:b w:val="1"/>
                <w:bCs w:val="1"/>
                <w:color w:val="FF4338"/>
                <w:w w:val="99"/>
              </w:rPr>
              <w:t>until the registration statement</w:t>
            </w:r>
          </w:p>
        </w:tc>
        <w:tc>
          <w:tcPr>
            <w:tcW w:w="260" w:type="dxa"/>
            <w:vAlign w:val="bottom"/>
            <w:textDirection w:val="btLr"/>
          </w:tcPr>
          <w:p>
            <w:pPr>
              <w:ind w:left="22"/>
              <w:spacing w:after="0"/>
              <w:rPr>
                <w:sz w:val="20"/>
                <w:szCs w:val="20"/>
                <w:color w:val="auto"/>
              </w:rPr>
            </w:pPr>
            <w:r>
              <w:rPr>
                <w:rFonts w:ascii="Times New Roman" w:cs="Times New Roman" w:eastAsia="Times New Roman" w:hAnsi="Times New Roman"/>
                <w:sz w:val="12"/>
                <w:szCs w:val="12"/>
                <w:b w:val="1"/>
                <w:bCs w:val="1"/>
                <w:color w:val="FF4338"/>
                <w:w w:val="99"/>
              </w:rPr>
              <w:t>these securities and it is not</w:t>
            </w:r>
          </w:p>
        </w:tc>
      </w:tr>
      <w:tr>
        <w:trPr>
          <w:trHeight w:val="590"/>
        </w:trPr>
        <w:tc>
          <w:tcPr>
            <w:tcW w:w="120" w:type="dxa"/>
            <w:vAlign w:val="bottom"/>
            <w:textDirection w:val="btLr"/>
          </w:tcPr>
          <w:p>
            <w:pPr>
              <w:spacing w:after="0"/>
              <w:rPr>
                <w:sz w:val="20"/>
                <w:szCs w:val="20"/>
                <w:color w:val="auto"/>
              </w:rPr>
            </w:pPr>
            <w:r>
              <w:rPr>
                <w:rFonts w:ascii="Times New Roman" w:cs="Times New Roman" w:eastAsia="Times New Roman" w:hAnsi="Times New Roman"/>
                <w:sz w:val="12"/>
                <w:szCs w:val="12"/>
                <w:b w:val="1"/>
                <w:bCs w:val="1"/>
                <w:color w:val="FF4338"/>
              </w:rPr>
              <w:t>not be sold</w:t>
            </w:r>
          </w:p>
        </w:tc>
        <w:tc>
          <w:tcPr>
            <w:tcW w:w="260" w:type="dxa"/>
            <w:vAlign w:val="bottom"/>
            <w:textDirection w:val="btLr"/>
          </w:tcPr>
          <w:p>
            <w:pPr>
              <w:ind w:left="22"/>
              <w:spacing w:after="0"/>
              <w:rPr>
                <w:sz w:val="20"/>
                <w:szCs w:val="20"/>
                <w:color w:val="auto"/>
              </w:rPr>
            </w:pPr>
            <w:r>
              <w:rPr>
                <w:rFonts w:ascii="Times New Roman" w:cs="Times New Roman" w:eastAsia="Times New Roman" w:hAnsi="Times New Roman"/>
                <w:sz w:val="12"/>
                <w:szCs w:val="12"/>
                <w:b w:val="1"/>
                <w:bCs w:val="1"/>
                <w:color w:val="FF4338"/>
              </w:rPr>
              <w:t>offer to sell</w:t>
            </w:r>
          </w:p>
        </w:tc>
      </w:tr>
      <w:tr>
        <w:trPr>
          <w:trHeight w:val="5430"/>
        </w:trPr>
        <w:tc>
          <w:tcPr>
            <w:tcW w:w="120" w:type="dxa"/>
            <w:vAlign w:val="bottom"/>
            <w:textDirection w:val="btLr"/>
          </w:tcPr>
          <w:p>
            <w:pPr>
              <w:spacing w:after="0"/>
              <w:rPr>
                <w:sz w:val="20"/>
                <w:szCs w:val="20"/>
                <w:color w:val="auto"/>
              </w:rPr>
            </w:pPr>
            <w:r>
              <w:rPr>
                <w:rFonts w:ascii="Times New Roman" w:cs="Times New Roman" w:eastAsia="Times New Roman" w:hAnsi="Times New Roman"/>
                <w:sz w:val="12"/>
                <w:szCs w:val="12"/>
                <w:b w:val="1"/>
                <w:bCs w:val="1"/>
                <w:color w:val="FF4338"/>
                <w:w w:val="99"/>
              </w:rPr>
              <w:t>The information in this preliminary prospectus is not complete and may be changed. These securities may</w:t>
            </w:r>
          </w:p>
        </w:tc>
        <w:tc>
          <w:tcPr>
            <w:tcW w:w="260" w:type="dxa"/>
            <w:vAlign w:val="bottom"/>
            <w:textDirection w:val="btLr"/>
          </w:tcPr>
          <w:p>
            <w:pPr>
              <w:ind w:left="168"/>
              <w:spacing w:after="0"/>
              <w:rPr>
                <w:sz w:val="20"/>
                <w:szCs w:val="20"/>
                <w:color w:val="auto"/>
              </w:rPr>
            </w:pPr>
            <w:r>
              <w:rPr>
                <w:rFonts w:ascii="Times New Roman" w:cs="Times New Roman" w:eastAsia="Times New Roman" w:hAnsi="Times New Roman"/>
                <w:sz w:val="8"/>
                <w:szCs w:val="8"/>
                <w:b w:val="1"/>
                <w:bCs w:val="1"/>
                <w:color w:val="FF4338"/>
                <w:w w:val="81"/>
              </w:rPr>
              <w:t>filed with the U.S. Securities and Exchange Commission is effective. This preliminary prospectus is not ansolicitinganoffertobuythesesecuritiesinanyjurisdictionwheretheofferorsaleisnotpermitted.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right="2599" w:firstLine="1189"/>
        <w:spacing w:after="0" w:line="412" w:lineRule="auto"/>
        <w:rPr>
          <w:sz w:val="20"/>
          <w:szCs w:val="20"/>
          <w:color w:val="auto"/>
        </w:rPr>
      </w:pPr>
      <w:r>
        <w:rPr>
          <w:rFonts w:ascii="Times New Roman" w:cs="Times New Roman" w:eastAsia="Times New Roman" w:hAnsi="Times New Roman"/>
          <w:sz w:val="12"/>
          <w:szCs w:val="12"/>
          <w:b w:val="1"/>
          <w:bCs w:val="1"/>
          <w:color w:val="FF4338"/>
        </w:rPr>
        <w:t>PRELIMINARY — SUBJECT TO COMPLETION, DATED MAY 7, 2025 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-1630045</wp:posOffset>
            </wp:positionH>
            <wp:positionV relativeFrom="paragraph">
              <wp:posOffset>-730885</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r>
    </w:p>
    <w:p>
      <w:pPr>
        <w:jc w:val="center"/>
        <w:ind w:right="1399"/>
        <w:spacing w:after="0"/>
        <w:rPr>
          <w:sz w:val="20"/>
          <w:szCs w:val="20"/>
          <w:color w:val="auto"/>
        </w:rPr>
      </w:pPr>
      <w:r>
        <w:rPr>
          <w:rFonts w:ascii="Times New Roman" w:cs="Times New Roman" w:eastAsia="Times New Roman" w:hAnsi="Times New Roman"/>
          <w:sz w:val="29"/>
          <w:szCs w:val="29"/>
          <w:b w:val="1"/>
          <w:bCs w:val="1"/>
          <w:color w:val="auto"/>
        </w:rPr>
        <w:t>SCILEX HOLDING COMPANY</w:t>
      </w:r>
    </w:p>
    <w:p>
      <w:pPr>
        <w:spacing w:after="0" w:line="158"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Up to 3,593,288 Shares of Common Stock</w:t>
      </w:r>
    </w:p>
    <w:p>
      <w:pPr>
        <w:spacing w:after="0" w:line="147" w:lineRule="exact"/>
        <w:rPr>
          <w:sz w:val="20"/>
          <w:szCs w:val="20"/>
          <w:color w:val="auto"/>
        </w:rPr>
      </w:pPr>
    </w:p>
    <w:p>
      <w:pPr>
        <w:jc w:val="center"/>
        <w:ind w:right="1399"/>
        <w:spacing w:after="0"/>
        <w:rPr>
          <w:sz w:val="20"/>
          <w:szCs w:val="20"/>
          <w:color w:val="auto"/>
        </w:rPr>
      </w:pPr>
      <w:r>
        <w:rPr>
          <w:rFonts w:ascii="Times New Roman" w:cs="Times New Roman" w:eastAsia="Times New Roman" w:hAnsi="Times New Roman"/>
          <w:sz w:val="17"/>
          <w:szCs w:val="17"/>
          <w:b w:val="1"/>
          <w:bCs w:val="1"/>
          <w:color w:val="auto"/>
        </w:rPr>
        <w:t>Up to 3,250,000 Shares of Common Stock offered by the Selling Securityholder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161925</wp:posOffset>
            </wp:positionV>
            <wp:extent cx="82296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5715"/>
                    </a:xfrm>
                    <a:prstGeom prst="rect">
                      <a:avLst/>
                    </a:prstGeom>
                    <a:noFill/>
                  </pic:spPr>
                </pic:pic>
              </a:graphicData>
            </a:graphic>
          </wp:anchor>
        </w:drawing>
      </w:r>
    </w:p>
    <w:p>
      <w:pPr>
        <w:spacing w:after="0" w:line="377" w:lineRule="exact"/>
        <w:rPr>
          <w:sz w:val="20"/>
          <w:szCs w:val="20"/>
          <w:color w:val="auto"/>
        </w:rPr>
      </w:pPr>
    </w:p>
    <w:p>
      <w:pPr>
        <w:ind w:right="1579" w:firstLine="248"/>
        <w:spacing w:after="0" w:line="279" w:lineRule="auto"/>
        <w:rPr>
          <w:sz w:val="20"/>
          <w:szCs w:val="20"/>
          <w:color w:val="auto"/>
        </w:rPr>
      </w:pPr>
      <w:r>
        <w:rPr>
          <w:rFonts w:ascii="Times New Roman" w:cs="Times New Roman" w:eastAsia="Times New Roman" w:hAnsi="Times New Roman"/>
          <w:sz w:val="12"/>
          <w:szCs w:val="12"/>
          <w:color w:val="auto"/>
        </w:rPr>
        <w:t>This prospectus relates to the issuance by us of up to an aggregate of 3,593,288 shares of our Common Stock issuable as follows:</w:t>
      </w:r>
    </w:p>
    <w:p>
      <w:pPr>
        <w:spacing w:after="0" w:line="129" w:lineRule="exact"/>
        <w:rPr>
          <w:sz w:val="20"/>
          <w:szCs w:val="20"/>
          <w:color w:val="auto"/>
        </w:rPr>
      </w:pPr>
    </w:p>
    <w:p>
      <w:pPr>
        <w:ind w:left="560" w:right="1419" w:hanging="309"/>
        <w:spacing w:after="0" w:line="260"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122,132 shares of Common Stock issuable upon exercise of the warrants to purchase shares of Common Stock issued in an underwritten offering consummated in March 2024, consisting of (a) 108,686 shares having an exercise price of $59.50 per share and (b) 13,446 shares having an exercise price of $74.38 per share ((a) and (b) collectively, the “February 2024 BDO Warrants”);</w:t>
      </w:r>
    </w:p>
    <w:p>
      <w:pPr>
        <w:spacing w:after="0" w:line="140" w:lineRule="exact"/>
        <w:rPr>
          <w:rFonts w:ascii="Times New Roman" w:cs="Times New Roman" w:eastAsia="Times New Roman" w:hAnsi="Times New Roman"/>
          <w:sz w:val="12"/>
          <w:szCs w:val="12"/>
          <w:color w:val="auto"/>
        </w:rPr>
      </w:pPr>
    </w:p>
    <w:p>
      <w:pPr>
        <w:ind w:left="560" w:right="1419" w:hanging="309"/>
        <w:spacing w:after="0" w:line="260"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462,858 shares of Common Stock issuable upon exercise of the warrants to purchase shares of Common Stock issued in a registered direct offering consummated in April 2024, consisting of (a) 428,572 shares having an exercise price of $38.50 per share and (b) 34,286 shares having an exercise price of $43.75 per share ((a) and (b) collectively, the “April 2024 RDO Warrants”);</w:t>
      </w:r>
    </w:p>
    <w:p>
      <w:pPr>
        <w:spacing w:after="0" w:line="140" w:lineRule="exact"/>
        <w:rPr>
          <w:rFonts w:ascii="Times New Roman" w:cs="Times New Roman" w:eastAsia="Times New Roman" w:hAnsi="Times New Roman"/>
          <w:sz w:val="12"/>
          <w:szCs w:val="12"/>
          <w:color w:val="auto"/>
        </w:rPr>
      </w:pPr>
    </w:p>
    <w:p>
      <w:pPr>
        <w:jc w:val="both"/>
        <w:ind w:left="560" w:right="1419" w:hanging="309"/>
        <w:spacing w:after="0" w:line="265"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319,132 shares of Common Stock issuable upon exercise of the warrants to purchase shares of Common Stock issued pursuant to a securities purchase agreement (the “Tranche B Securities Purchase Agreement”), dated as of October 7, 2024, having a current exercise price of $36.40 per share (collectively, the “October 2024 Warrants”);</w:t>
      </w:r>
    </w:p>
    <w:p>
      <w:pPr>
        <w:spacing w:after="0" w:line="136" w:lineRule="exact"/>
        <w:rPr>
          <w:rFonts w:ascii="Times New Roman" w:cs="Times New Roman" w:eastAsia="Times New Roman" w:hAnsi="Times New Roman"/>
          <w:sz w:val="12"/>
          <w:szCs w:val="12"/>
          <w:color w:val="auto"/>
        </w:rPr>
      </w:pPr>
    </w:p>
    <w:p>
      <w:pPr>
        <w:ind w:left="560" w:right="1579" w:hanging="309"/>
        <w:spacing w:after="0" w:line="265"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914,823 shares of Common Stock issuable upon conversion of the senior convertible notes issued pursuant to the Tranche B Securities Purchase Agreement, having a current conversion price of $36.40 per share (collectively, the “Tranche B Notes”); and</w:t>
      </w:r>
    </w:p>
    <w:p>
      <w:pPr>
        <w:spacing w:after="0" w:line="136" w:lineRule="exact"/>
        <w:rPr>
          <w:rFonts w:ascii="Times New Roman" w:cs="Times New Roman" w:eastAsia="Times New Roman" w:hAnsi="Times New Roman"/>
          <w:sz w:val="12"/>
          <w:szCs w:val="12"/>
          <w:color w:val="auto"/>
        </w:rPr>
      </w:pPr>
    </w:p>
    <w:p>
      <w:pPr>
        <w:ind w:left="560" w:right="1479" w:hanging="309"/>
        <w:spacing w:after="0" w:line="257" w:lineRule="auto"/>
        <w:tabs>
          <w:tab w:leader="none" w:pos="5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1,774,343 shares of Common Stock issuable upon exercise of the warrants to purchase shares of Common Stock issued in a registered direct offering consummated in December 2024 (the “December RDO”), consisting of (a) 1,642,871 shares having an exercise price of $22.72 per share and (b) 131,472 shares having an exercise price of $25.81 per share ((a) and (b) collectively, the “December 2024 Warrants” and together with the February 2024 BDO Warrants, the April 2024 RDO Warrants, and the October 2024 Warrants, the “2024 Warrants”).</w:t>
      </w:r>
    </w:p>
    <w:p>
      <w:pPr>
        <w:spacing w:after="0" w:line="125" w:lineRule="exact"/>
        <w:rPr>
          <w:sz w:val="20"/>
          <w:szCs w:val="20"/>
          <w:color w:val="auto"/>
        </w:rPr>
      </w:pPr>
    </w:p>
    <w:p>
      <w:pPr>
        <w:ind w:right="1579" w:firstLine="248"/>
        <w:spacing w:after="0" w:line="291" w:lineRule="auto"/>
        <w:rPr>
          <w:sz w:val="20"/>
          <w:szCs w:val="20"/>
          <w:color w:val="auto"/>
        </w:rPr>
      </w:pPr>
      <w:r>
        <w:rPr>
          <w:rFonts w:ascii="Times New Roman" w:cs="Times New Roman" w:eastAsia="Times New Roman" w:hAnsi="Times New Roman"/>
          <w:sz w:val="11"/>
          <w:szCs w:val="11"/>
          <w:color w:val="auto"/>
        </w:rPr>
        <w:t>The shares of Common Stock issuable upon exercise of the 2024 Warrants are referred to herein as the 2024 Warrant Shares. The shares of Common Stock issuable upon conversion of the October 2024 Notes are referred to herein as the 2024 Conversion Shares. The October 2024 Notes together with the 2024 Warrants are referred to herein as the 2024 Securities and the shares of Common Stock issuable upon exercise or conversion of such securities are referred to herein as the 2024 Shares.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We will receive proceeds from any exercise of the 2024 Warrants to the extent the exercise prices therefor are paid in cash.</w:t>
      </w:r>
    </w:p>
    <w:p>
      <w:pPr>
        <w:spacing w:after="0" w:line="150" w:lineRule="exact"/>
        <w:rPr>
          <w:sz w:val="20"/>
          <w:szCs w:val="20"/>
          <w:color w:val="auto"/>
        </w:rPr>
      </w:pPr>
    </w:p>
    <w:p>
      <w:pPr>
        <w:ind w:right="1499" w:firstLine="248"/>
        <w:spacing w:after="0" w:line="257" w:lineRule="auto"/>
        <w:rPr>
          <w:sz w:val="20"/>
          <w:szCs w:val="20"/>
          <w:color w:val="auto"/>
        </w:rPr>
      </w:pPr>
      <w:r>
        <w:rPr>
          <w:rFonts w:ascii="Times New Roman" w:cs="Times New Roman" w:eastAsia="Times New Roman" w:hAnsi="Times New Roman"/>
          <w:sz w:val="12"/>
          <w:szCs w:val="12"/>
          <w:color w:val="auto"/>
        </w:rPr>
        <w:t>This prospectus also relates to the offer and sale from time to time by FSF (including its permitted transferees, donees, pledgees and other successors-in-interest) (the “Selling Securityholder”) of up to an aggregate of 3,250,000 shares (the “Resale Shares”) of Common Stock issuable upon exercise of a warrant to purchase 3,250,000 shares of Common Stock issued by us to the Selling Securityholder (the “Deposit Warrant”) pursuant to a Commitment Side Letter, dated June 11, 2024 between us and the Selling Securityholder (the “Commitment Letter”), having an exercise price of $1.20 per share.</w:t>
      </w:r>
    </w:p>
    <w:p>
      <w:pPr>
        <w:sectPr>
          <w:pgSz w:w="11900" w:h="16838" w:orient="portrait"/>
          <w:cols w:equalWidth="0" w:num="2">
            <w:col w:w="2360" w:space="180"/>
            <w:col w:w="7619"/>
          </w:cols>
          <w:pgMar w:left="300" w:top="36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Our registration of the Resale Shares covered by this prospectus does not mean that the Selling Securityholder will offer or sell any of the Resale Shares. The Selling Securityholder may sell the Resale Shares covered by this prospectus in a number of different ways and at varying prices. For additional information on the possible methods of sale that may be used by the Selling Securityholder, you should refer to the section of this prospectus titled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beginning on page 258 of this prospectus. We will not receive any proceeds from the resale of any of the Resale Shares being registered hereby sold by the Selling Securityholder. We will, however, receive the proceeds from the exercise of the Deposit Warrant. No underwriter or other person has been engaged to facilitate the sale of the shares of the Resale Shares. The Selling Securityholder may be deemed to be an “underwriter” within the meaning of the Securities Act, of the Resale Shares that it is offering pursuant to this prospectus. We will bear all costs, expenses and fees in connection with the registration of the Resale Shares. The Selling Securityholder will bear all commissions and discounts, if any, attributable to its sales of the Resale Shares.</w:t>
      </w:r>
    </w:p>
    <w:p>
      <w:pPr>
        <w:spacing w:after="0" w:line="126"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Our Common Stock is listed on the Nasdaq Capital Market under the symbol “SCLX”. On May 5, 2025, the last reported sales price per share of our Common Stock was $5.43.</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On April 15, 2025, we effected a reverse stock split of our Common Stock at a ratio of 1-for-35 (the “Reverse Stock Split”). Unless otherwise noted, the share and per share information in this prospectus reflects the effect of the Reverse Stock Split. The Company’s historical financial statements included in this prospectus do not reflect the Reverse Stock Split.</w:t>
      </w:r>
    </w:p>
    <w:p>
      <w:pPr>
        <w:spacing w:after="0" w:line="119"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are an “emerging growth company” as that term is used in the Jumpstart Our Business Startups Act of 2012 (the “JOBS Act”) and, as such, we have elected to comply with certain reduced public company reporting requirements for this prospectus and future filings with the Securities and Exchange Commission.</w:t>
      </w:r>
    </w:p>
    <w:p>
      <w:pPr>
        <w:spacing w:after="0" w:line="119" w:lineRule="exact"/>
        <w:rPr>
          <w:sz w:val="20"/>
          <w:szCs w:val="20"/>
          <w:color w:val="auto"/>
        </w:rPr>
      </w:pPr>
    </w:p>
    <w:p>
      <w:pPr>
        <w:ind w:left="1980" w:right="1259" w:firstLine="294"/>
        <w:spacing w:after="0" w:line="265" w:lineRule="auto"/>
        <w:rPr>
          <w:sz w:val="20"/>
          <w:szCs w:val="20"/>
          <w:color w:val="auto"/>
        </w:rPr>
      </w:pPr>
      <w:r>
        <w:rPr>
          <w:rFonts w:ascii="Times New Roman" w:cs="Times New Roman" w:eastAsia="Times New Roman" w:hAnsi="Times New Roman"/>
          <w:sz w:val="12"/>
          <w:szCs w:val="12"/>
          <w:color w:val="auto"/>
        </w:rPr>
        <w:t>We may amend or supplement this prospectus from time to time by filing amendments or supplements as required. You should read this prospectus, together with additional information described under the heading “</w:t>
      </w:r>
      <w:r>
        <w:rPr>
          <w:rFonts w:ascii="Times New Roman" w:cs="Times New Roman" w:eastAsia="Times New Roman" w:hAnsi="Times New Roman"/>
          <w:sz w:val="12"/>
          <w:szCs w:val="12"/>
          <w:i w:val="1"/>
          <w:iCs w:val="1"/>
          <w:color w:val="auto"/>
        </w:rPr>
        <w:t>Where You Can Find More Information</w:t>
      </w:r>
      <w:r>
        <w:rPr>
          <w:rFonts w:ascii="Times New Roman" w:cs="Times New Roman" w:eastAsia="Times New Roman" w:hAnsi="Times New Roman"/>
          <w:sz w:val="12"/>
          <w:szCs w:val="12"/>
          <w:color w:val="auto"/>
        </w:rPr>
        <w:t>”, and any amendments or supplements carefully before you invest in any of our securities.</w:t>
      </w:r>
    </w:p>
    <w:p>
      <w:pPr>
        <w:spacing w:after="0" w:line="10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INVESTING IN OUR COMMON STOCK INVOLVES SUBSTANTIAL RISKS. YOU SHOULD REVIEW</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CAREFULLY THE RISKS AND UNCERTAINTIES DESCRIBED UNDER THE HEADING “</w:t>
      </w:r>
      <w:r>
        <w:rPr>
          <w:rFonts w:ascii="Times New Roman" w:cs="Times New Roman" w:eastAsia="Times New Roman" w:hAnsi="Times New Roman"/>
          <w:sz w:val="14"/>
          <w:szCs w:val="14"/>
          <w:b w:val="1"/>
          <w:bCs w:val="1"/>
          <w:i w:val="1"/>
          <w:iCs w:val="1"/>
          <w:u w:val="single" w:color="auto"/>
          <w:color w:val="0000EE"/>
        </w:rPr>
        <w:t>RISK FACTORS</w:t>
      </w:r>
      <w:r>
        <w:rPr>
          <w:rFonts w:ascii="Times New Roman" w:cs="Times New Roman" w:eastAsia="Times New Roman" w:hAnsi="Times New Roman"/>
          <w:sz w:val="14"/>
          <w:szCs w:val="14"/>
          <w:b w:val="1"/>
          <w:bCs w:val="1"/>
          <w:color w:val="auto"/>
        </w:rPr>
        <w:t>”</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4"/>
          <w:szCs w:val="14"/>
          <w:b w:val="1"/>
          <w:bCs w:val="1"/>
          <w:color w:val="auto"/>
        </w:rPr>
        <w:t>BEGINNING ON PAGE 23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150495</wp:posOffset>
            </wp:positionV>
            <wp:extent cx="9829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5" w:lineRule="exact"/>
        <w:rPr>
          <w:sz w:val="20"/>
          <w:szCs w:val="20"/>
          <w:color w:val="auto"/>
        </w:rPr>
      </w:pPr>
    </w:p>
    <w:p>
      <w:pPr>
        <w:ind w:left="1980" w:right="93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The date of this prospectus is             , 2025.</w:t>
      </w:r>
    </w:p>
    <w:p>
      <w:pPr>
        <w:sectPr>
          <w:pgSz w:w="11900" w:h="16838" w:orient="portrait"/>
          <w:cols w:equalWidth="0" w:num="1">
            <w:col w:w="10159"/>
          </w:cols>
          <w:pgMar w:left="300" w:top="36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6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80" w:type="dxa"/>
            <w:vAlign w:val="bottom"/>
            <w:gridSpan w:val="11"/>
            <w:vMerge w:val="restart"/>
          </w:tcPr>
          <w:p>
            <w:pPr>
              <w:spacing w:after="0"/>
              <w:rPr>
                <w:sz w:val="20"/>
                <w:szCs w:val="20"/>
                <w:color w:val="auto"/>
              </w:rPr>
            </w:pPr>
            <w:r>
              <w:rPr>
                <w:rFonts w:ascii="Times New Roman" w:cs="Times New Roman" w:eastAsia="Times New Roman" w:hAnsi="Times New Roman"/>
                <w:sz w:val="12"/>
                <w:szCs w:val="12"/>
                <w:color w:val="0000EE"/>
                <w:w w:val="98"/>
              </w:rPr>
              <w:t>ABOUT THIS PROSPECTUS</w:t>
            </w:r>
          </w:p>
        </w:tc>
        <w:tc>
          <w:tcPr>
            <w:tcW w:w="5600" w:type="dxa"/>
            <w:vAlign w:val="bottom"/>
            <w:gridSpan w:val="14"/>
            <w:vMerge w:val="restart"/>
          </w:tcPr>
          <w:p>
            <w:pPr>
              <w:spacing w:after="0"/>
              <w:rPr>
                <w:sz w:val="10"/>
                <w:szCs w:val="1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7"/>
              </w:rPr>
              <w:t>Page</w:t>
            </w:r>
          </w:p>
        </w:tc>
        <w:tc>
          <w:tcPr>
            <w:tcW w:w="0" w:type="dxa"/>
            <w:vAlign w:val="bottom"/>
          </w:tcPr>
          <w:p>
            <w:pPr>
              <w:spacing w:after="0"/>
              <w:rPr>
                <w:sz w:val="1"/>
                <w:szCs w:val="1"/>
                <w:color w:val="auto"/>
              </w:rPr>
            </w:pPr>
          </w:p>
        </w:tc>
      </w:tr>
      <w:tr>
        <w:trPr>
          <w:trHeight w:val="111"/>
        </w:trPr>
        <w:tc>
          <w:tcPr>
            <w:tcW w:w="1480" w:type="dxa"/>
            <w:vAlign w:val="bottom"/>
            <w:tcBorders>
              <w:bottom w:val="single" w:sz="8" w:color="0000EE"/>
            </w:tcBorders>
            <w:gridSpan w:val="11"/>
            <w:vMerge w:val="continue"/>
          </w:tcPr>
          <w:p>
            <w:pPr>
              <w:spacing w:after="0"/>
              <w:rPr>
                <w:sz w:val="9"/>
                <w:szCs w:val="9"/>
                <w:color w:val="auto"/>
              </w:rPr>
            </w:pPr>
          </w:p>
        </w:tc>
        <w:tc>
          <w:tcPr>
            <w:tcW w:w="5600" w:type="dxa"/>
            <w:vAlign w:val="bottom"/>
            <w:gridSpan w:val="14"/>
            <w:vMerge w:val="continue"/>
          </w:tcPr>
          <w:p>
            <w:pPr>
              <w:spacing w:after="0"/>
              <w:rPr>
                <w:sz w:val="9"/>
                <w:szCs w:val="9"/>
                <w:color w:val="auto"/>
              </w:rPr>
            </w:pPr>
          </w:p>
        </w:tc>
        <w:tc>
          <w:tcPr>
            <w:tcW w:w="22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708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CAUTIONARY NOTE REGARDING FORWARD-LOOKING STATEMENTS</w:t>
            </w: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24"/>
        </w:trPr>
        <w:tc>
          <w:tcPr>
            <w:tcW w:w="3840" w:type="dxa"/>
            <w:vAlign w:val="bottom"/>
            <w:tcBorders>
              <w:top w:val="single" w:sz="8" w:color="0000EE"/>
            </w:tcBorders>
            <w:gridSpan w:val="23"/>
          </w:tcPr>
          <w:p>
            <w:pPr>
              <w:spacing w:after="0" w:line="124" w:lineRule="exact"/>
              <w:rPr>
                <w:sz w:val="20"/>
                <w:szCs w:val="20"/>
                <w:color w:val="auto"/>
              </w:rPr>
            </w:pPr>
            <w:r>
              <w:rPr>
                <w:rFonts w:ascii="Times New Roman" w:cs="Times New Roman" w:eastAsia="Times New Roman" w:hAnsi="Times New Roman"/>
                <w:sz w:val="12"/>
                <w:szCs w:val="12"/>
                <w:color w:val="0000EE"/>
              </w:rPr>
              <w:t>CERTAIN DEFINED TERMS</w:t>
            </w:r>
          </w:p>
        </w:tc>
        <w:tc>
          <w:tcPr>
            <w:tcW w:w="3240" w:type="dxa"/>
            <w:vAlign w:val="bottom"/>
            <w:gridSpan w:val="2"/>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24"/>
        </w:trPr>
        <w:tc>
          <w:tcPr>
            <w:tcW w:w="1460" w:type="dxa"/>
            <w:vAlign w:val="bottom"/>
            <w:tcBorders>
              <w:top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PROSPECTUS SUMMARY</w:t>
            </w:r>
          </w:p>
        </w:tc>
        <w:tc>
          <w:tcPr>
            <w:tcW w:w="5620" w:type="dxa"/>
            <w:vAlign w:val="bottom"/>
            <w:gridSpan w:val="1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4"/>
        </w:trPr>
        <w:tc>
          <w:tcPr>
            <w:tcW w:w="1380" w:type="dxa"/>
            <w:vAlign w:val="bottom"/>
            <w:tcBorders>
              <w:top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THE OFFERING</w:t>
            </w:r>
          </w:p>
        </w:tc>
        <w:tc>
          <w:tcPr>
            <w:tcW w:w="5700" w:type="dxa"/>
            <w:vAlign w:val="bottom"/>
            <w:gridSpan w:val="1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24"/>
        </w:trPr>
        <w:tc>
          <w:tcPr>
            <w:tcW w:w="840" w:type="dxa"/>
            <w:vAlign w:val="bottom"/>
            <w:tcBorders>
              <w:top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7"/>
              </w:rPr>
              <w:t>RISK FACTORS</w:t>
            </w:r>
          </w:p>
        </w:tc>
        <w:tc>
          <w:tcPr>
            <w:tcW w:w="6240" w:type="dxa"/>
            <w:vAlign w:val="bottom"/>
            <w:gridSpan w:val="21"/>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60" w:type="dxa"/>
            <w:vAlign w:val="bottom"/>
            <w:tcBorders>
              <w:bottom w:val="single" w:sz="8" w:color="0000EE"/>
            </w:tcBorders>
            <w:gridSpan w:val="13"/>
          </w:tcPr>
          <w:p>
            <w:pPr>
              <w:spacing w:after="0" w:line="124" w:lineRule="exact"/>
              <w:rPr>
                <w:sz w:val="20"/>
                <w:szCs w:val="20"/>
                <w:color w:val="auto"/>
              </w:rPr>
            </w:pPr>
            <w:r>
              <w:rPr>
                <w:rFonts w:ascii="Times New Roman" w:cs="Times New Roman" w:eastAsia="Times New Roman" w:hAnsi="Times New Roman"/>
                <w:sz w:val="12"/>
                <w:szCs w:val="12"/>
                <w:color w:val="0000EE"/>
                <w:w w:val="96"/>
              </w:rPr>
              <w:t>MARKET AND INDUSTRY DATA</w:t>
            </w:r>
          </w:p>
        </w:tc>
        <w:tc>
          <w:tcPr>
            <w:tcW w:w="5320" w:type="dxa"/>
            <w:vAlign w:val="bottom"/>
            <w:gridSpan w:val="12"/>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24"/>
        </w:trPr>
        <w:tc>
          <w:tcPr>
            <w:tcW w:w="708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USE OF PROCEEDS</w:t>
            </w: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DETERMINATION OF OFFERING PRICE</w:t>
            </w: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tcBorders>
              <w:bottom w:val="single" w:sz="8" w:color="0000EE"/>
            </w:tcBorders>
            <w:gridSpan w:val="22"/>
          </w:tcPr>
          <w:p>
            <w:pPr>
              <w:spacing w:after="0" w:line="124" w:lineRule="exact"/>
              <w:rPr>
                <w:sz w:val="20"/>
                <w:szCs w:val="20"/>
                <w:color w:val="auto"/>
              </w:rPr>
            </w:pPr>
            <w:r>
              <w:rPr>
                <w:rFonts w:ascii="Times New Roman" w:cs="Times New Roman" w:eastAsia="Times New Roman" w:hAnsi="Times New Roman"/>
                <w:sz w:val="12"/>
                <w:szCs w:val="12"/>
                <w:color w:val="0000EE"/>
                <w:w w:val="98"/>
              </w:rPr>
              <w:t>MARKET INFORMATION FOR SECURITIES AND DIVIDEND POLICY</w:t>
            </w:r>
          </w:p>
        </w:tc>
        <w:tc>
          <w:tcPr>
            <w:tcW w:w="3380" w:type="dxa"/>
            <w:vAlign w:val="bottom"/>
            <w:gridSpan w:val="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24"/>
        </w:trPr>
        <w:tc>
          <w:tcPr>
            <w:tcW w:w="708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SELECTED HISTORICAL FINANCIAL DATA</w:t>
            </w: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108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940" w:type="dxa"/>
            <w:vAlign w:val="bottom"/>
            <w:tcBorders>
              <w:bottom w:val="single" w:sz="8" w:color="0000EE"/>
            </w:tcBorders>
            <w:gridSpan w:val="24"/>
          </w:tcPr>
          <w:p>
            <w:pPr>
              <w:spacing w:after="0" w:line="124" w:lineRule="exact"/>
              <w:rPr>
                <w:sz w:val="20"/>
                <w:szCs w:val="20"/>
                <w:color w:val="auto"/>
              </w:rPr>
            </w:pPr>
            <w:r>
              <w:rPr>
                <w:rFonts w:ascii="Times New Roman" w:cs="Times New Roman" w:eastAsia="Times New Roman" w:hAnsi="Times New Roman"/>
                <w:sz w:val="12"/>
                <w:szCs w:val="12"/>
                <w:color w:val="0000EE"/>
                <w:w w:val="98"/>
              </w:rPr>
              <w:t>MANAGEMENT’S DISCUSSION AND ANALYSIS OF FINANCIAL CONDITION AND RESULTS OF OPERATIONS</w:t>
            </w:r>
          </w:p>
        </w:tc>
        <w:tc>
          <w:tcPr>
            <w:tcW w:w="1140" w:type="dxa"/>
            <w:vAlign w:val="bottom"/>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24"/>
        </w:trPr>
        <w:tc>
          <w:tcPr>
            <w:tcW w:w="56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5"/>
              </w:rPr>
              <w:t>BUSINESS</w:t>
            </w:r>
          </w:p>
        </w:tc>
        <w:tc>
          <w:tcPr>
            <w:tcW w:w="6520" w:type="dxa"/>
            <w:vAlign w:val="bottom"/>
            <w:gridSpan w:val="2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136</w:t>
            </w:r>
          </w:p>
        </w:tc>
        <w:tc>
          <w:tcPr>
            <w:tcW w:w="0" w:type="dxa"/>
            <w:vAlign w:val="bottom"/>
          </w:tcPr>
          <w:p>
            <w:pPr>
              <w:spacing w:after="0"/>
              <w:rPr>
                <w:sz w:val="1"/>
                <w:szCs w:val="1"/>
                <w:color w:val="auto"/>
              </w:rPr>
            </w:pPr>
          </w:p>
        </w:tc>
      </w:tr>
      <w:tr>
        <w:trPr>
          <w:trHeight w:val="124"/>
        </w:trPr>
        <w:tc>
          <w:tcPr>
            <w:tcW w:w="86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6"/>
              </w:rPr>
              <w:t>MANAGEMENT</w:t>
            </w:r>
          </w:p>
        </w:tc>
        <w:tc>
          <w:tcPr>
            <w:tcW w:w="6220" w:type="dxa"/>
            <w:vAlign w:val="bottom"/>
            <w:gridSpan w:val="20"/>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24"/>
        </w:trPr>
        <w:tc>
          <w:tcPr>
            <w:tcW w:w="2560" w:type="dxa"/>
            <w:vAlign w:val="bottom"/>
            <w:tcBorders>
              <w:bottom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w w:val="99"/>
              </w:rPr>
              <w:t>EXECUTIVE AND DIRECTOR COMPENSATION</w:t>
            </w:r>
          </w:p>
        </w:tc>
        <w:tc>
          <w:tcPr>
            <w:tcW w:w="4520" w:type="dxa"/>
            <w:vAlign w:val="bottom"/>
            <w:gridSpan w:val="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212</w:t>
            </w:r>
          </w:p>
        </w:tc>
        <w:tc>
          <w:tcPr>
            <w:tcW w:w="0" w:type="dxa"/>
            <w:vAlign w:val="bottom"/>
          </w:tcPr>
          <w:p>
            <w:pPr>
              <w:spacing w:after="0"/>
              <w:rPr>
                <w:sz w:val="1"/>
                <w:szCs w:val="1"/>
                <w:color w:val="auto"/>
              </w:rPr>
            </w:pPr>
          </w:p>
        </w:tc>
      </w:tr>
      <w:tr>
        <w:trPr>
          <w:trHeight w:val="124"/>
        </w:trPr>
        <w:tc>
          <w:tcPr>
            <w:tcW w:w="3640" w:type="dxa"/>
            <w:vAlign w:val="bottom"/>
            <w:tcBorders>
              <w:bottom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w w:val="97"/>
              </w:rPr>
              <w:t>CERTAIN RELATIONSHIPS AND RELATED PARTY TRANSACTIONS</w:t>
            </w:r>
          </w:p>
        </w:tc>
        <w:tc>
          <w:tcPr>
            <w:tcW w:w="3440" w:type="dxa"/>
            <w:vAlign w:val="bottom"/>
            <w:gridSpan w:val="4"/>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238</w:t>
            </w:r>
          </w:p>
        </w:tc>
        <w:tc>
          <w:tcPr>
            <w:tcW w:w="0" w:type="dxa"/>
            <w:vAlign w:val="bottom"/>
          </w:tcPr>
          <w:p>
            <w:pPr>
              <w:spacing w:after="0"/>
              <w:rPr>
                <w:sz w:val="1"/>
                <w:szCs w:val="1"/>
                <w:color w:val="auto"/>
              </w:rPr>
            </w:pPr>
          </w:p>
        </w:tc>
      </w:tr>
      <w:tr>
        <w:trPr>
          <w:trHeight w:val="124"/>
        </w:trPr>
        <w:tc>
          <w:tcPr>
            <w:tcW w:w="1780" w:type="dxa"/>
            <w:vAlign w:val="bottom"/>
            <w:tcBorders>
              <w:bottom w:val="single" w:sz="8" w:color="0000EE"/>
            </w:tcBorders>
            <w:gridSpan w:val="14"/>
          </w:tcPr>
          <w:p>
            <w:pPr>
              <w:spacing w:after="0" w:line="124" w:lineRule="exact"/>
              <w:rPr>
                <w:sz w:val="20"/>
                <w:szCs w:val="20"/>
                <w:color w:val="auto"/>
              </w:rPr>
            </w:pPr>
            <w:r>
              <w:rPr>
                <w:rFonts w:ascii="Times New Roman" w:cs="Times New Roman" w:eastAsia="Times New Roman" w:hAnsi="Times New Roman"/>
                <w:sz w:val="12"/>
                <w:szCs w:val="12"/>
                <w:color w:val="0000EE"/>
                <w:w w:val="98"/>
              </w:rPr>
              <w:t>PRINCIPAL SECURITYHOLDERS</w:t>
            </w:r>
          </w:p>
        </w:tc>
        <w:tc>
          <w:tcPr>
            <w:tcW w:w="5300" w:type="dxa"/>
            <w:vAlign w:val="bottom"/>
            <w:gridSpan w:val="11"/>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254</w:t>
            </w:r>
          </w:p>
        </w:tc>
        <w:tc>
          <w:tcPr>
            <w:tcW w:w="0" w:type="dxa"/>
            <w:vAlign w:val="bottom"/>
          </w:tcPr>
          <w:p>
            <w:pPr>
              <w:spacing w:after="0"/>
              <w:rPr>
                <w:sz w:val="1"/>
                <w:szCs w:val="1"/>
                <w:color w:val="auto"/>
              </w:rPr>
            </w:pPr>
          </w:p>
        </w:tc>
      </w:tr>
      <w:tr>
        <w:trPr>
          <w:trHeight w:val="124"/>
        </w:trPr>
        <w:tc>
          <w:tcPr>
            <w:tcW w:w="1600" w:type="dxa"/>
            <w:vAlign w:val="bottom"/>
            <w:tcBorders>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8"/>
              </w:rPr>
              <w:t>SELLING SECURITYHOLDER</w:t>
            </w:r>
          </w:p>
        </w:tc>
        <w:tc>
          <w:tcPr>
            <w:tcW w:w="5480" w:type="dxa"/>
            <w:vAlign w:val="bottom"/>
            <w:gridSpan w:val="1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256</w:t>
            </w:r>
          </w:p>
        </w:tc>
        <w:tc>
          <w:tcPr>
            <w:tcW w:w="0" w:type="dxa"/>
            <w:vAlign w:val="bottom"/>
          </w:tcPr>
          <w:p>
            <w:pPr>
              <w:spacing w:after="0"/>
              <w:rPr>
                <w:sz w:val="1"/>
                <w:szCs w:val="1"/>
                <w:color w:val="auto"/>
              </w:rPr>
            </w:pPr>
          </w:p>
        </w:tc>
      </w:tr>
      <w:tr>
        <w:trPr>
          <w:trHeight w:val="124"/>
        </w:trPr>
        <w:tc>
          <w:tcPr>
            <w:tcW w:w="1360" w:type="dxa"/>
            <w:vAlign w:val="bottom"/>
            <w:tcBorders>
              <w:bottom w:val="single" w:sz="8" w:color="0000EE"/>
            </w:tcBorders>
            <w:gridSpan w:val="8"/>
          </w:tcPr>
          <w:p>
            <w:pPr>
              <w:spacing w:after="0" w:line="124" w:lineRule="exact"/>
              <w:rPr>
                <w:sz w:val="20"/>
                <w:szCs w:val="20"/>
                <w:color w:val="auto"/>
              </w:rPr>
            </w:pPr>
            <w:r>
              <w:rPr>
                <w:rFonts w:ascii="Times New Roman" w:cs="Times New Roman" w:eastAsia="Times New Roman" w:hAnsi="Times New Roman"/>
                <w:sz w:val="12"/>
                <w:szCs w:val="12"/>
                <w:color w:val="0000EE"/>
                <w:w w:val="98"/>
              </w:rPr>
              <w:t>PLAN OF DISTRIBUTION</w:t>
            </w:r>
          </w:p>
        </w:tc>
        <w:tc>
          <w:tcPr>
            <w:tcW w:w="5720" w:type="dxa"/>
            <w:vAlign w:val="bottom"/>
            <w:gridSpan w:val="17"/>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258</w:t>
            </w:r>
          </w:p>
        </w:tc>
        <w:tc>
          <w:tcPr>
            <w:tcW w:w="0" w:type="dxa"/>
            <w:vAlign w:val="bottom"/>
          </w:tcPr>
          <w:p>
            <w:pPr>
              <w:spacing w:after="0"/>
              <w:rPr>
                <w:sz w:val="1"/>
                <w:szCs w:val="1"/>
                <w:color w:val="auto"/>
              </w:rPr>
            </w:pPr>
          </w:p>
        </w:tc>
      </w:tr>
      <w:tr>
        <w:trPr>
          <w:trHeight w:val="124"/>
        </w:trPr>
        <w:tc>
          <w:tcPr>
            <w:tcW w:w="7080" w:type="dxa"/>
            <w:vAlign w:val="bottom"/>
            <w:gridSpan w:val="25"/>
          </w:tcPr>
          <w:p>
            <w:pPr>
              <w:spacing w:after="0" w:line="124" w:lineRule="exact"/>
              <w:rPr>
                <w:sz w:val="20"/>
                <w:szCs w:val="20"/>
                <w:color w:val="auto"/>
              </w:rPr>
            </w:pPr>
            <w:r>
              <w:rPr>
                <w:rFonts w:ascii="Times New Roman" w:cs="Times New Roman" w:eastAsia="Times New Roman" w:hAnsi="Times New Roman"/>
                <w:sz w:val="12"/>
                <w:szCs w:val="12"/>
                <w:color w:val="0000EE"/>
              </w:rPr>
              <w:t>DESCRIPTION OF OUR SECURITIES</w:t>
            </w: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261</w:t>
            </w:r>
          </w:p>
        </w:tc>
        <w:tc>
          <w:tcPr>
            <w:tcW w:w="0" w:type="dxa"/>
            <w:vAlign w:val="bottom"/>
          </w:tcPr>
          <w:p>
            <w:pPr>
              <w:spacing w:after="0"/>
              <w:rPr>
                <w:sz w:val="1"/>
                <w:szCs w:val="1"/>
                <w:color w:val="auto"/>
              </w:rPr>
            </w:pPr>
          </w:p>
        </w:tc>
      </w:tr>
      <w:tr>
        <w:trPr>
          <w:trHeight w:val="124"/>
        </w:trPr>
        <w:tc>
          <w:tcPr>
            <w:tcW w:w="1940" w:type="dxa"/>
            <w:vAlign w:val="bottom"/>
            <w:tcBorders>
              <w:top w:val="single" w:sz="8" w:color="0000EE"/>
            </w:tcBorders>
            <w:gridSpan w:val="15"/>
          </w:tcPr>
          <w:p>
            <w:pPr>
              <w:spacing w:after="0" w:line="124" w:lineRule="exact"/>
              <w:rPr>
                <w:sz w:val="20"/>
                <w:szCs w:val="20"/>
                <w:color w:val="auto"/>
              </w:rPr>
            </w:pPr>
            <w:r>
              <w:rPr>
                <w:rFonts w:ascii="Times New Roman" w:cs="Times New Roman" w:eastAsia="Times New Roman" w:hAnsi="Times New Roman"/>
                <w:sz w:val="12"/>
                <w:szCs w:val="12"/>
                <w:color w:val="0000EE"/>
              </w:rPr>
              <w:t>LEGAL MATTERS</w:t>
            </w:r>
          </w:p>
        </w:tc>
        <w:tc>
          <w:tcPr>
            <w:tcW w:w="5140" w:type="dxa"/>
            <w:vAlign w:val="bottom"/>
            <w:gridSpan w:val="10"/>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277</w:t>
            </w:r>
          </w:p>
        </w:tc>
        <w:tc>
          <w:tcPr>
            <w:tcW w:w="0" w:type="dxa"/>
            <w:vAlign w:val="bottom"/>
          </w:tcPr>
          <w:p>
            <w:pPr>
              <w:spacing w:after="0"/>
              <w:rPr>
                <w:sz w:val="1"/>
                <w:szCs w:val="1"/>
                <w:color w:val="auto"/>
              </w:rPr>
            </w:pPr>
          </w:p>
        </w:tc>
      </w:tr>
      <w:tr>
        <w:trPr>
          <w:trHeight w:val="124"/>
        </w:trPr>
        <w:tc>
          <w:tcPr>
            <w:tcW w:w="96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EXPERTS</w:t>
            </w:r>
          </w:p>
        </w:tc>
        <w:tc>
          <w:tcPr>
            <w:tcW w:w="6120" w:type="dxa"/>
            <w:vAlign w:val="bottom"/>
            <w:gridSpan w:val="19"/>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277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40" w:type="dxa"/>
            <w:vAlign w:val="bottom"/>
            <w:gridSpan w:val="1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40" w:type="dxa"/>
            <w:vAlign w:val="bottom"/>
            <w:tcBorders>
              <w:bottom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w w:val="98"/>
              </w:rPr>
              <w:t>WHERE YOU CAN FIND MORE INFORMATION</w:t>
            </w:r>
          </w:p>
        </w:tc>
        <w:tc>
          <w:tcPr>
            <w:tcW w:w="4540" w:type="dxa"/>
            <w:vAlign w:val="bottom"/>
            <w:gridSpan w:val="7"/>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277</w:t>
            </w:r>
          </w:p>
        </w:tc>
        <w:tc>
          <w:tcPr>
            <w:tcW w:w="0" w:type="dxa"/>
            <w:vAlign w:val="bottom"/>
          </w:tcPr>
          <w:p>
            <w:pPr>
              <w:spacing w:after="0"/>
              <w:rPr>
                <w:sz w:val="1"/>
                <w:szCs w:val="1"/>
                <w:color w:val="auto"/>
              </w:rPr>
            </w:pPr>
          </w:p>
        </w:tc>
      </w:tr>
      <w:tr>
        <w:trPr>
          <w:trHeight w:val="124"/>
        </w:trPr>
        <w:tc>
          <w:tcPr>
            <w:tcW w:w="2960" w:type="dxa"/>
            <w:vAlign w:val="bottom"/>
            <w:tcBorders>
              <w:bottom w:val="single" w:sz="8" w:color="0000EE"/>
            </w:tcBorders>
            <w:gridSpan w:val="20"/>
          </w:tcPr>
          <w:p>
            <w:pPr>
              <w:spacing w:after="0" w:line="124" w:lineRule="exact"/>
              <w:rPr>
                <w:sz w:val="20"/>
                <w:szCs w:val="20"/>
                <w:color w:val="auto"/>
              </w:rPr>
            </w:pPr>
            <w:r>
              <w:rPr>
                <w:rFonts w:ascii="Times New Roman" w:cs="Times New Roman" w:eastAsia="Times New Roman" w:hAnsi="Times New Roman"/>
                <w:sz w:val="12"/>
                <w:szCs w:val="12"/>
                <w:color w:val="0000EE"/>
                <w:w w:val="97"/>
              </w:rPr>
              <w:t>INDEX TO CONSOLIDATED FINANCIAL STATEMENTS</w:t>
            </w:r>
          </w:p>
        </w:tc>
        <w:tc>
          <w:tcPr>
            <w:tcW w:w="4120" w:type="dxa"/>
            <w:vAlign w:val="bottom"/>
            <w:gridSpan w:val="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F-1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-i-</w:t>
      </w:r>
    </w:p>
    <w:p>
      <w:pPr>
        <w:sectPr>
          <w:pgSz w:w="11900" w:h="16838" w:orient="portrait"/>
          <w:cols w:equalWidth="0" w:num="1">
            <w:col w:w="10159"/>
          </w:cols>
          <w:pgMar w:left="300" w:top="36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ABOUT THIS PROSPECTUS</w:t>
      </w:r>
    </w:p>
    <w:p>
      <w:pPr>
        <w:spacing w:after="0" w:line="154"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You should rely only on the information we have provided in this prospectus, any applicable prospectus supplement and any related free writing prospectus. Neither we nor the Selling Securityholder have authorized anyone to provide you with information different from that contained in this prospectus, any applicable prospectus supplement or any related free writing prospectus. Neither we nor the Selling Securityholder take any responsibility for, and can provide no assurance as to the reliability of, any other information that others may give you. No dealer, salesperson or other person is authorized to give any information or to represent anything not contained in this prospectus, any applicable prospectus supplement or any related free writing prospectus. You must not rely on any unauthorized information or representation.</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This prospectus is an offer to sell only the securities offered hereby, but only under circumstances and in jurisdictions where it is lawful to do so. You should assume that the information in this prospectus, any applicable prospectus supplement or any related free writing prospectus is accurate only as of the date on the front of the applicable document, regardless of the time of delivery of this prospectus, the applicable prospectus supplement or any related free writing prospectus, or any sale of a security. Since the date of this prospectus and the documents incorporated by reference into this prospectus, our business, financial condition, results of operations and prospects may have changed.</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distribution of this prospectus and the issuance of the securities in certain jurisdictions may be restricted by law. Persons outside the United States who come into possession of this prospectus must inform themselves about, and observe any restrictions relating to, the issuance of the securities and the distribution of this prospectus outside the United States. This prospectus does not constitute, and may not be used in connection with, an offer to sell, or a solicitation of an offer to buy, the securities offered by this prospectus by any person in any jurisdiction in which it is unlawful for such person to make such an offer or solicitation.</w:t>
      </w:r>
    </w:p>
    <w:p>
      <w:pPr>
        <w:spacing w:after="0" w:line="12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This prospectus is part of a registration statement that we filed with the SEC. please carefully read both this prospectus, any prospectus supplement and any free writing prospectus prepared by or on behalf of us, together with the additional information described under the heading “</w:t>
      </w:r>
      <w:r>
        <w:rPr>
          <w:rFonts w:ascii="Times New Roman" w:cs="Times New Roman" w:eastAsia="Times New Roman" w:hAnsi="Times New Roman"/>
          <w:sz w:val="12"/>
          <w:szCs w:val="12"/>
          <w:i w:val="1"/>
          <w:iCs w:val="1"/>
          <w:color w:val="auto"/>
        </w:rPr>
        <w:t>Where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You Can Find More Information</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On November 10, 2022, we consummated the business combination (the “Business Combination”) pursuant to that certain Agreement and Plan of Merger, dated as of March 17, 2022 (as amended, restated or supplemented from time to time, including by Amendment No. 1 to Agreement and Plan of Merger, dated as of September 12, 2022) (the “Merger Agreement”), by and among us, Vantage Merger Sub Inc., our then-wholly owned subsidiary (the “Merger Sub”), and the pre-Business Combination Scilex Holding Company (“Legacy Scilex”). Pursuant to the terms of the Merger Agreement, we effected a deregistration under the Cayman Islands Companies Act (as revised) and a domestication under Section 388 of the Delaware General Corporation Law, as amended (the “DGCL”), pursuant to which our jurisdiction of incorporation was changed from the Cayman Islands to the State of Delaware (the “Domestication”), and, on the terms and subject to the conditions set forth in the Merger Agreement and in accordance with the DGCL, Merger Sub merged with and into Legacy Scilex (the “Merger”), with Legacy Scilex surviving as our wholly owned subsidiary. In connection with the Business Combination, we changed our name from Vickers Vantage Corp. I to Scilex Holding Company.</w:t>
      </w:r>
    </w:p>
    <w:p>
      <w:pPr>
        <w:spacing w:after="0" w:line="126"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Unless the context indicates otherwise, references in this prospectus to the “Company,” “Scilex,” “we,” “us,” “our,” and similar terms refer to Scilex Holding Company, a Delaware corporation formerly known as Vickers Vantage Corp. I, and its consolidated subsidiaries. References to “Legacy Scilex” refer to the private Delaware corporation that is now our wholly owned subsidiary, named Scilex, Inc. (formerly known as Scilex Holding Company).</w:t>
      </w:r>
    </w:p>
    <w:p>
      <w:pPr>
        <w:spacing w:after="0" w:line="12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2"/>
          <w:szCs w:val="12"/>
          <w:i w:val="1"/>
          <w:iCs w:val="1"/>
          <w:color w:val="auto"/>
        </w:rPr>
        <w:t>Where You Can Find More Information</w:t>
      </w:r>
      <w:r>
        <w:rPr>
          <w:rFonts w:ascii="Times New Roman" w:cs="Times New Roman" w:eastAsia="Times New Roman" w:hAnsi="Times New Roman"/>
          <w:sz w:val="12"/>
          <w:szCs w:val="12"/>
          <w:color w:val="auto"/>
        </w:rPr>
        <w:t>.”</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0159"/>
          </w:cols>
          <w:pgMar w:left="300" w:top="36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Certain statements contained in this prospectus may constitute “forward-looking statements” for purposes of federal securities laws. Such statements can be identified by the fact that they do not relate strictly to historical or current facts. Forward-looking statements appear in a number of places in this prospectus including, without limitation, in the sections of this prospectus titled “</w:t>
      </w:r>
      <w:r>
        <w:rPr>
          <w:rFonts w:ascii="Times New Roman" w:cs="Times New Roman" w:eastAsia="Times New Roman" w:hAnsi="Times New Roman"/>
          <w:sz w:val="12"/>
          <w:szCs w:val="12"/>
          <w:i w:val="1"/>
          <w:iCs w:val="1"/>
          <w:color w:val="auto"/>
        </w:rPr>
        <w:t>Business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Management’s Discussion and Analysis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Financial Condition and Results of Operations</w:t>
      </w:r>
      <w:r>
        <w:rPr>
          <w:rFonts w:ascii="Times New Roman" w:cs="Times New Roman" w:eastAsia="Times New Roman" w:hAnsi="Times New Roman"/>
          <w:sz w:val="12"/>
          <w:szCs w:val="12"/>
          <w:color w:val="auto"/>
        </w:rPr>
        <w:t>.” In addition, any statements that refer to projections, forecasts or other characterizations of future events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These forward-looking statements are based on information available as of the date of this prospectus and our management’s current expectations, forecasts and assumptions, and involve a number of judgments, known and unknown risks and uncertainties and other factors, many of which are outside the control of the Company and our directors, officers and affiliates,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this prospectus. There can be no assurance that future developments will be those that have been anticipated. Accordingly, forward-looking statements should not be relied upon as representing our views as of any subsequent date.</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Forward-looking statements in this prospectus may include, but are not limited to, statements about:</w:t>
      </w:r>
    </w:p>
    <w:p>
      <w:pPr>
        <w:spacing w:after="0" w:line="87" w:lineRule="exact"/>
        <w:rPr>
          <w:sz w:val="20"/>
          <w:szCs w:val="20"/>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the listing of our Common Stock on the Nasdaq Capital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public securities’ liquidity and trading;</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raise financing in the future;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expected use of proceeds from future issuances of equity or convertible debt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financial performance, including our revenue, costs of revenue and operating expenses;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future use of equity or debt financings to execute our business strategy;</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use cash on hand to meet current and future financial obligations, including funding our operations, debt service requirements and capital expenditures;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of any legal proceedings that may be instituted against us;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attract and retain qualified directors, officers, employees and key personnel;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compete effectively in a highly competitive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competition from larger biotechnology companies that have greater resources, technology, relationships and/or expertise;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to protect and enhance our corporate reputation and brand;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from future regulatory, judicial and legislative changes in our industry;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maintain regulatory approval of any of our products and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research, discover and develop additional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grow and manage growth profitably;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obtain and maintain intellectual property protection and not infringe on the rights of others;</w:t>
      </w:r>
    </w:p>
    <w:p>
      <w:pPr>
        <w:spacing w:after="0" w:line="1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0159"/>
          </w:cols>
          <w:pgMar w:left="300" w:top="36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our business plans and strategy;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prevent, respond to, and recover from a cybersecurity incident;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global economic and political developments, including the conflicts in Ukraine and Israel; and</w:t>
      </w:r>
    </w:p>
    <w:p>
      <w:pPr>
        <w:spacing w:after="0" w:line="8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factors detailed under the section of this prospectus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to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w:t>
      </w:r>
    </w:p>
    <w:p>
      <w:pPr>
        <w:spacing w:after="0" w:line="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36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CERTAIN DEFINED TERMS</w:t>
      </w:r>
    </w:p>
    <w:p>
      <w:pPr>
        <w:spacing w:after="0" w:line="170" w:lineRule="exact"/>
        <w:rPr>
          <w:sz w:val="20"/>
          <w:szCs w:val="20"/>
          <w:color w:val="auto"/>
        </w:rPr>
      </w:pPr>
    </w:p>
    <w:p>
      <w:pPr>
        <w:ind w:left="2620" w:right="101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April 2024 RDO Common Warrants</w:t>
      </w:r>
      <w:r>
        <w:rPr>
          <w:rFonts w:ascii="Times New Roman" w:cs="Times New Roman" w:eastAsia="Times New Roman" w:hAnsi="Times New Roman"/>
          <w:sz w:val="12"/>
          <w:szCs w:val="12"/>
          <w:color w:val="auto"/>
        </w:rPr>
        <w:t>” means the warrants to purchase up to an aggregate of 428,572 shares of our Common Stock at an exercise price of $38.50 per share, issued to the investor named in and pursuant to the April 2024 RDO Purchase Agreement.</w:t>
      </w:r>
    </w:p>
    <w:p>
      <w:pPr>
        <w:spacing w:after="0" w:line="43" w:lineRule="exact"/>
        <w:rPr>
          <w:rFonts w:ascii="Times New Roman" w:cs="Times New Roman" w:eastAsia="Times New Roman" w:hAnsi="Times New Roman"/>
          <w:sz w:val="12"/>
          <w:szCs w:val="12"/>
          <w:color w:val="auto"/>
        </w:rPr>
      </w:pPr>
    </w:p>
    <w:p>
      <w:pPr>
        <w:ind w:left="2620" w:right="95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April 2024 RDO Placement Agent Warrants</w:t>
      </w:r>
      <w:r>
        <w:rPr>
          <w:rFonts w:ascii="Times New Roman" w:cs="Times New Roman" w:eastAsia="Times New Roman" w:hAnsi="Times New Roman"/>
          <w:sz w:val="12"/>
          <w:szCs w:val="12"/>
          <w:color w:val="auto"/>
        </w:rPr>
        <w:t>” means the warrants to purchase up to an aggregate of 34,286 shares of our Common Stock at an exercise price of $43.75 per share, issued to the Placement Agents pursuant to the April 2024 RDO Purchase Agreement.</w:t>
      </w:r>
    </w:p>
    <w:p>
      <w:pPr>
        <w:spacing w:after="0" w:line="43"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April 2024 RDO Purchase Agreement</w:t>
      </w:r>
      <w:r>
        <w:rPr>
          <w:rFonts w:ascii="Times New Roman" w:cs="Times New Roman" w:eastAsia="Times New Roman" w:hAnsi="Times New Roman"/>
          <w:sz w:val="12"/>
          <w:szCs w:val="12"/>
          <w:color w:val="auto"/>
        </w:rPr>
        <w:t>” means that certain securities purchase agreement, dated as of April 23, 2024, entered into between us and the investor named therein.</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April 2024 RDO Warrants</w:t>
      </w:r>
      <w:r>
        <w:rPr>
          <w:rFonts w:ascii="Times New Roman" w:cs="Times New Roman" w:eastAsia="Times New Roman" w:hAnsi="Times New Roman"/>
          <w:sz w:val="12"/>
          <w:szCs w:val="12"/>
          <w:color w:val="auto"/>
        </w:rPr>
        <w:t>” means the April 2024 RDO Common Warrants and the April 2024 RDO Placement Agent Warrants.</w:t>
      </w:r>
    </w:p>
    <w:p>
      <w:pPr>
        <w:spacing w:after="0" w:line="87" w:lineRule="exact"/>
        <w:rPr>
          <w:rFonts w:ascii="Times New Roman" w:cs="Times New Roman" w:eastAsia="Times New Roman" w:hAnsi="Times New Roman"/>
          <w:sz w:val="12"/>
          <w:szCs w:val="12"/>
          <w:color w:val="auto"/>
        </w:rPr>
      </w:pPr>
    </w:p>
    <w:p>
      <w:pPr>
        <w:ind w:left="2620" w:right="999" w:hanging="288"/>
        <w:spacing w:after="0" w:line="266"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A&amp;R Yorkville Purchase Agreement</w:t>
      </w:r>
      <w:r>
        <w:rPr>
          <w:rFonts w:ascii="Times New Roman" w:cs="Times New Roman" w:eastAsia="Times New Roman" w:hAnsi="Times New Roman"/>
          <w:sz w:val="12"/>
          <w:szCs w:val="12"/>
          <w:color w:val="auto"/>
        </w:rPr>
        <w:t>” means the Amended and Restated Standby Equity Purchase Agreement, dated February 8, 2023, between the Company and Yorkville, amending, restating and superseding the Standby Equity Purchase Agreement dated November 17, 2022 between the Company and Yorkville.</w:t>
      </w:r>
    </w:p>
    <w:p>
      <w:pPr>
        <w:spacing w:after="0" w:line="54"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 Riley</w:t>
      </w:r>
      <w:r>
        <w:rPr>
          <w:rFonts w:ascii="Times New Roman" w:cs="Times New Roman" w:eastAsia="Times New Roman" w:hAnsi="Times New Roman"/>
          <w:sz w:val="12"/>
          <w:szCs w:val="12"/>
          <w:color w:val="auto"/>
        </w:rPr>
        <w:t>” means B. Riley Principal Capital II, LLC.</w:t>
      </w:r>
    </w:p>
    <w:p>
      <w:pPr>
        <w:spacing w:after="0" w:line="87" w:lineRule="exact"/>
        <w:rPr>
          <w:rFonts w:ascii="Times New Roman" w:cs="Times New Roman" w:eastAsia="Times New Roman" w:hAnsi="Times New Roman"/>
          <w:sz w:val="12"/>
          <w:szCs w:val="12"/>
          <w:color w:val="auto"/>
        </w:rPr>
      </w:pPr>
    </w:p>
    <w:p>
      <w:pPr>
        <w:ind w:left="2620" w:right="113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 Riley Purchase Agreement</w:t>
      </w:r>
      <w:r>
        <w:rPr>
          <w:rFonts w:ascii="Times New Roman" w:cs="Times New Roman" w:eastAsia="Times New Roman" w:hAnsi="Times New Roman"/>
          <w:sz w:val="12"/>
          <w:szCs w:val="12"/>
          <w:color w:val="auto"/>
        </w:rPr>
        <w:t>” means the Standby Equity Purchase Agreement, dated January 8, 2023, between the Company and B. Riley.</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Board</w:t>
      </w:r>
      <w:r>
        <w:rPr>
          <w:rFonts w:ascii="Times New Roman" w:cs="Times New Roman" w:eastAsia="Times New Roman" w:hAnsi="Times New Roman"/>
          <w:sz w:val="12"/>
          <w:szCs w:val="12"/>
          <w:color w:val="auto"/>
        </w:rPr>
        <w:t>” means the board of directors of the Company.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Business Combination</w:t>
      </w:r>
      <w:r>
        <w:rPr>
          <w:rFonts w:ascii="Times New Roman" w:cs="Times New Roman" w:eastAsia="Times New Roman" w:hAnsi="Times New Roman"/>
          <w:sz w:val="12"/>
          <w:szCs w:val="12"/>
          <w:color w:val="auto"/>
        </w:rPr>
        <w:t>” means the merger contemplated by the Merger Agreement.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Bylaws</w:t>
      </w:r>
      <w:r>
        <w:rPr>
          <w:rFonts w:ascii="Times New Roman" w:cs="Times New Roman" w:eastAsia="Times New Roman" w:hAnsi="Times New Roman"/>
          <w:sz w:val="12"/>
          <w:szCs w:val="12"/>
          <w:color w:val="auto"/>
        </w:rPr>
        <w:t>” means the Bylaws of Scilex Holding Company, effective as of November 10, 2022.</w:t>
      </w:r>
    </w:p>
    <w:p>
      <w:pPr>
        <w:spacing w:after="0" w:line="87" w:lineRule="exact"/>
        <w:rPr>
          <w:rFonts w:ascii="Times New Roman" w:cs="Times New Roman" w:eastAsia="Times New Roman" w:hAnsi="Times New Roman"/>
          <w:sz w:val="12"/>
          <w:szCs w:val="12"/>
          <w:color w:val="auto"/>
        </w:rPr>
      </w:pPr>
    </w:p>
    <w:p>
      <w:pPr>
        <w:ind w:left="2620" w:right="109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Certificate of Incorporation</w:t>
      </w:r>
      <w:r>
        <w:rPr>
          <w:rFonts w:ascii="Times New Roman" w:cs="Times New Roman" w:eastAsia="Times New Roman" w:hAnsi="Times New Roman"/>
          <w:sz w:val="12"/>
          <w:szCs w:val="12"/>
          <w:color w:val="auto"/>
        </w:rPr>
        <w:t>” means the Restated Certificate of Incorporation of Scilex Holding Company, filed with the Secretary of State of the State of Delaware on November 10, 2022, as amended.</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Closing</w:t>
      </w:r>
      <w:r>
        <w:rPr>
          <w:rFonts w:ascii="Times New Roman" w:cs="Times New Roman" w:eastAsia="Times New Roman" w:hAnsi="Times New Roman"/>
          <w:sz w:val="12"/>
          <w:szCs w:val="12"/>
          <w:color w:val="auto"/>
        </w:rPr>
        <w:t>” means the closing of the Business Combination.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Code</w:t>
      </w:r>
      <w:r>
        <w:rPr>
          <w:rFonts w:ascii="Times New Roman" w:cs="Times New Roman" w:eastAsia="Times New Roman" w:hAnsi="Times New Roman"/>
          <w:sz w:val="12"/>
          <w:szCs w:val="12"/>
          <w:color w:val="auto"/>
        </w:rPr>
        <w:t>” means the Internal Revenue Code of 1986, as amended.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Commitment Letter</w:t>
      </w:r>
      <w:r>
        <w:rPr>
          <w:rFonts w:ascii="Times New Roman" w:cs="Times New Roman" w:eastAsia="Times New Roman" w:hAnsi="Times New Roman"/>
          <w:sz w:val="12"/>
          <w:szCs w:val="12"/>
          <w:color w:val="auto"/>
        </w:rPr>
        <w:t>” means that certain Commitment Side Letter, dated as of June 11, 2024, entered into between us and FSF.</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Common Stock</w:t>
      </w:r>
      <w:r>
        <w:rPr>
          <w:rFonts w:ascii="Times New Roman" w:cs="Times New Roman" w:eastAsia="Times New Roman" w:hAnsi="Times New Roman"/>
          <w:sz w:val="12"/>
          <w:szCs w:val="12"/>
          <w:color w:val="auto"/>
        </w:rPr>
        <w:t>” means the common stock, par value $0.0001 per share, of Scilex.</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Continental</w:t>
      </w:r>
      <w:r>
        <w:rPr>
          <w:rFonts w:ascii="Times New Roman" w:cs="Times New Roman" w:eastAsia="Times New Roman" w:hAnsi="Times New Roman"/>
          <w:sz w:val="12"/>
          <w:szCs w:val="12"/>
          <w:color w:val="auto"/>
        </w:rPr>
        <w:t>” means Continental Stock Transfer &amp; Trust Company, our transfer agent.</w:t>
      </w:r>
    </w:p>
    <w:p>
      <w:pPr>
        <w:spacing w:after="0" w:line="87" w:lineRule="exact"/>
        <w:rPr>
          <w:rFonts w:ascii="Times New Roman" w:cs="Times New Roman" w:eastAsia="Times New Roman" w:hAnsi="Times New Roman"/>
          <w:sz w:val="12"/>
          <w:szCs w:val="12"/>
          <w:color w:val="auto"/>
        </w:rPr>
      </w:pPr>
    </w:p>
    <w:p>
      <w:pPr>
        <w:ind w:left="2620" w:right="97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Convertible Debentures</w:t>
      </w:r>
      <w:r>
        <w:rPr>
          <w:rFonts w:ascii="Times New Roman" w:cs="Times New Roman" w:eastAsia="Times New Roman" w:hAnsi="Times New Roman"/>
          <w:sz w:val="12"/>
          <w:szCs w:val="12"/>
          <w:color w:val="auto"/>
        </w:rPr>
        <w:t>” means certain convertible debentures in an aggregate amount of $20,000,000 issued to Yorkville pursuant to a securities purchase agreement dated March 21, 2023 between the Company and Yorkville.</w:t>
      </w:r>
    </w:p>
    <w:p>
      <w:pPr>
        <w:spacing w:after="0" w:line="43" w:lineRule="exact"/>
        <w:rPr>
          <w:rFonts w:ascii="Times New Roman" w:cs="Times New Roman" w:eastAsia="Times New Roman" w:hAnsi="Times New Roman"/>
          <w:sz w:val="12"/>
          <w:szCs w:val="12"/>
          <w:color w:val="auto"/>
        </w:rPr>
      </w:pPr>
    </w:p>
    <w:p>
      <w:pPr>
        <w:ind w:left="2620" w:right="899" w:hanging="288"/>
        <w:spacing w:after="0" w:line="283"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Debt Exchange Agreement</w:t>
      </w:r>
      <w:r>
        <w:rPr>
          <w:rFonts w:ascii="Times New Roman" w:cs="Times New Roman" w:eastAsia="Times New Roman" w:hAnsi="Times New Roman"/>
          <w:sz w:val="12"/>
          <w:szCs w:val="12"/>
          <w:color w:val="auto"/>
        </w:rPr>
        <w:t>” means the Contribution and Satisfaction of Indebtedness Agreement, dated as of September 12, 2022, by and among Sorrento, Legacy Scilex and Scilex Pharmaceuticals, Inc.</w:t>
      </w:r>
    </w:p>
    <w:p>
      <w:pPr>
        <w:spacing w:after="0" w:line="43" w:lineRule="exact"/>
        <w:rPr>
          <w:rFonts w:ascii="Times New Roman" w:cs="Times New Roman" w:eastAsia="Times New Roman" w:hAnsi="Times New Roman"/>
          <w:sz w:val="12"/>
          <w:szCs w:val="12"/>
          <w:color w:val="auto"/>
        </w:rPr>
      </w:pPr>
    </w:p>
    <w:p>
      <w:pPr>
        <w:ind w:left="2620" w:right="859" w:hanging="288"/>
        <w:spacing w:after="0" w:line="330" w:lineRule="auto"/>
        <w:tabs>
          <w:tab w:leader="none" w:pos="262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December 2024 RDO Common Warrants</w:t>
      </w:r>
      <w:r>
        <w:rPr>
          <w:rFonts w:ascii="Times New Roman" w:cs="Times New Roman" w:eastAsia="Times New Roman" w:hAnsi="Times New Roman"/>
          <w:sz w:val="11"/>
          <w:szCs w:val="11"/>
          <w:color w:val="auto"/>
        </w:rPr>
        <w:t>” means the warrants to purchase up to an aggregate of 1,642,871 shares of our Common Stock, with an exercise price of $22.72 per share, issued to the investors named in and pursuant to the December 2024 RDO Purchase Agreement.</w:t>
      </w:r>
    </w:p>
    <w:p>
      <w:pPr>
        <w:spacing w:after="0" w:line="21" w:lineRule="exact"/>
        <w:rPr>
          <w:rFonts w:ascii="Times New Roman" w:cs="Times New Roman" w:eastAsia="Times New Roman" w:hAnsi="Times New Roman"/>
          <w:sz w:val="11"/>
          <w:szCs w:val="11"/>
          <w:color w:val="auto"/>
        </w:rPr>
      </w:pPr>
    </w:p>
    <w:p>
      <w:pPr>
        <w:ind w:left="2620" w:right="919" w:hanging="288"/>
        <w:spacing w:after="0" w:line="266" w:lineRule="auto"/>
        <w:tabs>
          <w:tab w:leader="none" w:pos="26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December 2024 RDO Pre-Funded Warrants</w:t>
      </w:r>
      <w:r>
        <w:rPr>
          <w:rFonts w:ascii="Times New Roman" w:cs="Times New Roman" w:eastAsia="Times New Roman" w:hAnsi="Times New Roman"/>
          <w:sz w:val="12"/>
          <w:szCs w:val="12"/>
          <w:color w:val="auto"/>
        </w:rPr>
        <w:t>” means the warrants to purchase up to an aggregate of 68,604 shares of our Common Stock, with an exercise price of $0.0001 per share, issued to the investors named in and pursuant to the December 2024 RDO Purchase Agreement.</w:t>
      </w:r>
    </w:p>
    <w:p>
      <w:pPr>
        <w:spacing w:after="0" w:line="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0159"/>
          </w:cols>
          <w:pgMar w:left="300" w:top="36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620" w:right="103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December 2024 RDO Purchase Agreement</w:t>
      </w:r>
      <w:r>
        <w:rPr>
          <w:rFonts w:ascii="Times New Roman" w:cs="Times New Roman" w:eastAsia="Times New Roman" w:hAnsi="Times New Roman"/>
          <w:sz w:val="12"/>
          <w:szCs w:val="12"/>
          <w:color w:val="auto"/>
        </w:rPr>
        <w:t>” means that certain securities purchase agreement, dated as of December 11, 2024, entered into among us and the investors named therein.</w:t>
      </w:r>
    </w:p>
    <w:p>
      <w:pPr>
        <w:spacing w:after="0" w:line="43" w:lineRule="exact"/>
        <w:rPr>
          <w:rFonts w:ascii="Times New Roman" w:cs="Times New Roman" w:eastAsia="Times New Roman" w:hAnsi="Times New Roman"/>
          <w:sz w:val="12"/>
          <w:szCs w:val="12"/>
          <w:color w:val="auto"/>
        </w:rPr>
      </w:pPr>
    </w:p>
    <w:p>
      <w:pPr>
        <w:ind w:left="2620" w:right="85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December 2024 RDO Warrants</w:t>
      </w:r>
      <w:r>
        <w:rPr>
          <w:rFonts w:ascii="Times New Roman" w:cs="Times New Roman" w:eastAsia="Times New Roman" w:hAnsi="Times New Roman"/>
          <w:sz w:val="12"/>
          <w:szCs w:val="12"/>
          <w:color w:val="auto"/>
        </w:rPr>
        <w:t>” means the December 2024 RDO Pre-Funded Warrants, the December 2024 RDO Common Warrants and the StockBlock Warrants.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December 2024 Warrants</w:t>
      </w:r>
      <w:r>
        <w:rPr>
          <w:rFonts w:ascii="Times New Roman" w:cs="Times New Roman" w:eastAsia="Times New Roman" w:hAnsi="Times New Roman"/>
          <w:sz w:val="12"/>
          <w:szCs w:val="12"/>
          <w:color w:val="auto"/>
        </w:rPr>
        <w:t>” means the December 2024 RDO Common Warrants and the StockBlock Warrants.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Deposit Warrant</w:t>
      </w:r>
      <w:r>
        <w:rPr>
          <w:rFonts w:ascii="Times New Roman" w:cs="Times New Roman" w:eastAsia="Times New Roman" w:hAnsi="Times New Roman"/>
          <w:sz w:val="12"/>
          <w:szCs w:val="12"/>
          <w:color w:val="auto"/>
        </w:rPr>
        <w:t>” means the warrant to purchase up to an aggregate of 3,250,000 shares of our Common Stock, with an exercise price of $1.20 per share, issued to FSF pursuant to the Commitment Letter.</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DGCL</w:t>
      </w:r>
      <w:r>
        <w:rPr>
          <w:rFonts w:ascii="Times New Roman" w:cs="Times New Roman" w:eastAsia="Times New Roman" w:hAnsi="Times New Roman"/>
          <w:sz w:val="12"/>
          <w:szCs w:val="12"/>
          <w:color w:val="auto"/>
        </w:rPr>
        <w:t>” means the General Corporation Law of the State of Delaware, as amended.</w:t>
      </w:r>
    </w:p>
    <w:p>
      <w:pPr>
        <w:spacing w:after="0" w:line="87" w:lineRule="exact"/>
        <w:rPr>
          <w:rFonts w:ascii="Times New Roman" w:cs="Times New Roman" w:eastAsia="Times New Roman" w:hAnsi="Times New Roman"/>
          <w:sz w:val="12"/>
          <w:szCs w:val="12"/>
          <w:color w:val="auto"/>
        </w:rPr>
      </w:pPr>
    </w:p>
    <w:p>
      <w:pPr>
        <w:ind w:left="2620" w:right="115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Domestication</w:t>
      </w:r>
      <w:r>
        <w:rPr>
          <w:rFonts w:ascii="Times New Roman" w:cs="Times New Roman" w:eastAsia="Times New Roman" w:hAnsi="Times New Roman"/>
          <w:sz w:val="12"/>
          <w:szCs w:val="12"/>
          <w:color w:val="auto"/>
        </w:rPr>
        <w:t>” means the change of our domicile pursuant to a transfer by way of continuation of an exempted company out of the Cayman Islands and a domestication into the State of Delaware as a corporation, and our de-registration in the Cayman Islands.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Effective Time</w:t>
      </w:r>
      <w:r>
        <w:rPr>
          <w:rFonts w:ascii="Times New Roman" w:cs="Times New Roman" w:eastAsia="Times New Roman" w:hAnsi="Times New Roman"/>
          <w:sz w:val="12"/>
          <w:szCs w:val="12"/>
          <w:color w:val="auto"/>
        </w:rPr>
        <w:t>” means the time at which the Business Combination became effective.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Equity Incentive Plan</w:t>
      </w:r>
      <w:r>
        <w:rPr>
          <w:rFonts w:ascii="Times New Roman" w:cs="Times New Roman" w:eastAsia="Times New Roman" w:hAnsi="Times New Roman"/>
          <w:sz w:val="12"/>
          <w:szCs w:val="12"/>
          <w:color w:val="auto"/>
        </w:rPr>
        <w:t>” means the Scilex Holding Company 2022 Equity Incentive Plan, as amended.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ESPP</w:t>
      </w:r>
      <w:r>
        <w:rPr>
          <w:rFonts w:ascii="Times New Roman" w:cs="Times New Roman" w:eastAsia="Times New Roman" w:hAnsi="Times New Roman"/>
          <w:sz w:val="12"/>
          <w:szCs w:val="12"/>
          <w:color w:val="auto"/>
        </w:rPr>
        <w:t>” means the Scilex Holding Company 2022 Employee Stock Purchase Plan.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February 2024 BDO Common Warrants</w:t>
      </w:r>
      <w:r>
        <w:rPr>
          <w:rFonts w:ascii="Times New Roman" w:cs="Times New Roman" w:eastAsia="Times New Roman" w:hAnsi="Times New Roman"/>
          <w:sz w:val="12"/>
          <w:szCs w:val="12"/>
          <w:color w:val="auto"/>
        </w:rPr>
        <w:t>” means the February 2024 BDO Firm Warrants and the February 2024 BDO Optional Warrants.</w:t>
      </w:r>
    </w:p>
    <w:p>
      <w:pPr>
        <w:spacing w:after="0" w:line="87" w:lineRule="exact"/>
        <w:rPr>
          <w:rFonts w:ascii="Times New Roman" w:cs="Times New Roman" w:eastAsia="Times New Roman" w:hAnsi="Times New Roman"/>
          <w:sz w:val="12"/>
          <w:szCs w:val="12"/>
          <w:color w:val="auto"/>
        </w:rPr>
      </w:pPr>
    </w:p>
    <w:p>
      <w:pPr>
        <w:ind w:left="2620" w:right="83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February 2024 BDO Firm Warrants</w:t>
      </w:r>
      <w:r>
        <w:rPr>
          <w:rFonts w:ascii="Times New Roman" w:cs="Times New Roman" w:eastAsia="Times New Roman" w:hAnsi="Times New Roman"/>
          <w:sz w:val="12"/>
          <w:szCs w:val="12"/>
          <w:color w:val="auto"/>
        </w:rPr>
        <w:t>” means the warrants to purchase up to an aggregate of 168,068 shares of our Common Stock, with an exercise price of $59.50 per share, issued to the Underwriters pursuant to the February 2024 BDO Underwriting Agreement.</w:t>
      </w:r>
    </w:p>
    <w:p>
      <w:pPr>
        <w:spacing w:after="0" w:line="43" w:lineRule="exact"/>
        <w:rPr>
          <w:rFonts w:ascii="Times New Roman" w:cs="Times New Roman" w:eastAsia="Times New Roman" w:hAnsi="Times New Roman"/>
          <w:sz w:val="12"/>
          <w:szCs w:val="12"/>
          <w:color w:val="auto"/>
        </w:rPr>
      </w:pPr>
    </w:p>
    <w:p>
      <w:pPr>
        <w:ind w:left="2620" w:right="959" w:hanging="288"/>
        <w:spacing w:after="0" w:line="258"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February 2024 BDO Optional Warrants</w:t>
      </w:r>
      <w:r>
        <w:rPr>
          <w:rFonts w:ascii="Times New Roman" w:cs="Times New Roman" w:eastAsia="Times New Roman" w:hAnsi="Times New Roman"/>
          <w:sz w:val="12"/>
          <w:szCs w:val="12"/>
          <w:color w:val="auto"/>
        </w:rPr>
        <w:t>” means the warrants to purchase up to an aggregate of 882,352 shares of our Common Stock, with an exercise price of $0.0092 per share, to which Underwriters had an option to purchase for a period of 30 days from the date of and pursuant to the February 2024 BDO Underwriting Agreement (which option expired unexercised). The number of shares subject to, and the exercise price of, the February 2024 BDO Optional Warrants is reflected on a pre-Reverse Stock Split basis as such warrants were never issued.</w:t>
      </w:r>
    </w:p>
    <w:p>
      <w:pPr>
        <w:spacing w:after="0" w:line="59" w:lineRule="exact"/>
        <w:rPr>
          <w:rFonts w:ascii="Times New Roman" w:cs="Times New Roman" w:eastAsia="Times New Roman" w:hAnsi="Times New Roman"/>
          <w:sz w:val="12"/>
          <w:szCs w:val="12"/>
          <w:color w:val="auto"/>
        </w:rPr>
      </w:pPr>
    </w:p>
    <w:p>
      <w:pPr>
        <w:ind w:left="2620" w:right="859" w:hanging="288"/>
        <w:spacing w:after="0" w:line="266"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February 2024 BDO Representative Warrants</w:t>
      </w:r>
      <w:r>
        <w:rPr>
          <w:rFonts w:ascii="Times New Roman" w:cs="Times New Roman" w:eastAsia="Times New Roman" w:hAnsi="Times New Roman"/>
          <w:sz w:val="12"/>
          <w:szCs w:val="12"/>
          <w:color w:val="auto"/>
        </w:rPr>
        <w:t>” means the warrants to purchase up to an aggregate of 13,446 shares of our Common Stock, with an exercise price of $74.38 per share, issued to StockBlock and Rodman &amp; Renshaw LLC, pursuant to the February 2024 BDO Underwriting Agreement.</w:t>
      </w:r>
    </w:p>
    <w:p>
      <w:pPr>
        <w:spacing w:after="0" w:line="54" w:lineRule="exact"/>
        <w:rPr>
          <w:rFonts w:ascii="Times New Roman" w:cs="Times New Roman" w:eastAsia="Times New Roman" w:hAnsi="Times New Roman"/>
          <w:sz w:val="12"/>
          <w:szCs w:val="12"/>
          <w:color w:val="auto"/>
        </w:rPr>
      </w:pPr>
    </w:p>
    <w:p>
      <w:pPr>
        <w:ind w:left="2620" w:right="99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February 2024 BDO Underwriting Agreement</w:t>
      </w:r>
      <w:r>
        <w:rPr>
          <w:rFonts w:ascii="Times New Roman" w:cs="Times New Roman" w:eastAsia="Times New Roman" w:hAnsi="Times New Roman"/>
          <w:sz w:val="12"/>
          <w:szCs w:val="12"/>
          <w:color w:val="auto"/>
        </w:rPr>
        <w:t>” means that certain underwriting agreement, dated as of February 29, 2024, entered into among us, StockBlock and Rodman &amp; Renshaw LLC, as the representatives of the Underwriters.</w:t>
      </w:r>
    </w:p>
    <w:p>
      <w:pPr>
        <w:spacing w:after="0" w:line="43" w:lineRule="exact"/>
        <w:rPr>
          <w:rFonts w:ascii="Times New Roman" w:cs="Times New Roman" w:eastAsia="Times New Roman" w:hAnsi="Times New Roman"/>
          <w:sz w:val="12"/>
          <w:szCs w:val="12"/>
          <w:color w:val="auto"/>
        </w:rPr>
      </w:pPr>
    </w:p>
    <w:p>
      <w:pPr>
        <w:ind w:left="2620" w:right="959" w:hanging="288"/>
        <w:spacing w:after="0" w:line="266"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Fee Warrant</w:t>
      </w:r>
      <w:r>
        <w:rPr>
          <w:rFonts w:ascii="Times New Roman" w:cs="Times New Roman" w:eastAsia="Times New Roman" w:hAnsi="Times New Roman"/>
          <w:sz w:val="12"/>
          <w:szCs w:val="12"/>
          <w:color w:val="auto"/>
        </w:rPr>
        <w:t>” means the warrants to purchase up to an aggregate of 250,000 shares (on a pre-Reverse Stock Split basis) of our Common Stock, with an exercise price of $1.20 per share (on a pre-Reverse Stock Split basis), issued to IVI pursuant to a letter agreement, dated July 16, 2024, entered into among us, FSF and IVI.</w:t>
      </w:r>
    </w:p>
    <w:p>
      <w:pPr>
        <w:spacing w:after="0" w:line="54"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FSF</w:t>
      </w:r>
      <w:r>
        <w:rPr>
          <w:rFonts w:ascii="Times New Roman" w:cs="Times New Roman" w:eastAsia="Times New Roman" w:hAnsi="Times New Roman"/>
          <w:sz w:val="12"/>
          <w:szCs w:val="12"/>
          <w:color w:val="auto"/>
        </w:rPr>
        <w:t>” means FSF 33433 LLC.</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Inducement Plan</w:t>
      </w:r>
      <w:r>
        <w:rPr>
          <w:rFonts w:ascii="Times New Roman" w:cs="Times New Roman" w:eastAsia="Times New Roman" w:hAnsi="Times New Roman"/>
          <w:sz w:val="12"/>
          <w:szCs w:val="12"/>
          <w:color w:val="auto"/>
        </w:rPr>
        <w:t>” means the Scilex Holding Company 2023 Inducement Plan.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Initial Shareholders</w:t>
      </w:r>
      <w:r>
        <w:rPr>
          <w:rFonts w:ascii="Times New Roman" w:cs="Times New Roman" w:eastAsia="Times New Roman" w:hAnsi="Times New Roman"/>
          <w:sz w:val="12"/>
          <w:szCs w:val="12"/>
          <w:color w:val="auto"/>
        </w:rPr>
        <w:t>” means the Sponsors, Pei Wei Woo, Suneel Kaji and Steve Myint.</w:t>
      </w:r>
    </w:p>
    <w:p>
      <w:pPr>
        <w:spacing w:after="0" w:line="87"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IPO</w:t>
      </w:r>
      <w:r>
        <w:rPr>
          <w:rFonts w:ascii="Times New Roman" w:cs="Times New Roman" w:eastAsia="Times New Roman" w:hAnsi="Times New Roman"/>
          <w:sz w:val="12"/>
          <w:szCs w:val="12"/>
          <w:color w:val="auto"/>
        </w:rPr>
        <w:t>” refers to the initial public offering of 13,800,000 Units (on a pre-Reverse Stock Split basis) of Vickers consummated on January 11, 2021.</w:t>
      </w:r>
    </w:p>
    <w:p>
      <w:pPr>
        <w:spacing w:after="0" w:line="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0159"/>
          </w:cols>
          <w:pgMar w:left="300" w:top="36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IRS</w:t>
      </w:r>
      <w:r>
        <w:rPr>
          <w:rFonts w:ascii="Times New Roman" w:cs="Times New Roman" w:eastAsia="Times New Roman" w:hAnsi="Times New Roman"/>
          <w:sz w:val="12"/>
          <w:szCs w:val="12"/>
          <w:color w:val="auto"/>
        </w:rPr>
        <w:t>” means the United States Internal Revenue Service.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IVI</w:t>
      </w:r>
      <w:r>
        <w:rPr>
          <w:rFonts w:ascii="Times New Roman" w:cs="Times New Roman" w:eastAsia="Times New Roman" w:hAnsi="Times New Roman"/>
          <w:sz w:val="12"/>
          <w:szCs w:val="12"/>
          <w:color w:val="auto"/>
        </w:rPr>
        <w:t>” means IVI 66766 LLC.</w:t>
      </w:r>
    </w:p>
    <w:p>
      <w:pPr>
        <w:spacing w:after="0" w:line="87" w:lineRule="exact"/>
        <w:rPr>
          <w:rFonts w:ascii="Times New Roman" w:cs="Times New Roman" w:eastAsia="Times New Roman" w:hAnsi="Times New Roman"/>
          <w:sz w:val="12"/>
          <w:szCs w:val="12"/>
          <w:color w:val="auto"/>
        </w:rPr>
      </w:pPr>
    </w:p>
    <w:p>
      <w:pPr>
        <w:ind w:left="2620" w:right="91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Legacy Scilex</w:t>
      </w:r>
      <w:r>
        <w:rPr>
          <w:rFonts w:ascii="Times New Roman" w:cs="Times New Roman" w:eastAsia="Times New Roman" w:hAnsi="Times New Roman"/>
          <w:sz w:val="12"/>
          <w:szCs w:val="12"/>
          <w:color w:val="auto"/>
        </w:rPr>
        <w:t>” means the private Delaware corporation that is now our wholly owned subsidiary, named Scilex, Inc. (formerly known as Scilex Holding Company).</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Legacy Scilex Common Stock</w:t>
      </w:r>
      <w:r>
        <w:rPr>
          <w:rFonts w:ascii="Times New Roman" w:cs="Times New Roman" w:eastAsia="Times New Roman" w:hAnsi="Times New Roman"/>
          <w:sz w:val="12"/>
          <w:szCs w:val="12"/>
          <w:color w:val="auto"/>
        </w:rPr>
        <w:t>” means the common stock of Legacy Scilex, par value $0.0001 per share, prior to the Effective Time.</w:t>
      </w:r>
    </w:p>
    <w:p>
      <w:pPr>
        <w:spacing w:after="0" w:line="87" w:lineRule="exact"/>
        <w:rPr>
          <w:rFonts w:ascii="Times New Roman" w:cs="Times New Roman" w:eastAsia="Times New Roman" w:hAnsi="Times New Roman"/>
          <w:sz w:val="12"/>
          <w:szCs w:val="12"/>
          <w:color w:val="auto"/>
        </w:rPr>
      </w:pPr>
    </w:p>
    <w:p>
      <w:pPr>
        <w:ind w:left="2620" w:right="109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Legacy Scilex Preferred Stock</w:t>
      </w:r>
      <w:r>
        <w:rPr>
          <w:rFonts w:ascii="Times New Roman" w:cs="Times New Roman" w:eastAsia="Times New Roman" w:hAnsi="Times New Roman"/>
          <w:sz w:val="12"/>
          <w:szCs w:val="12"/>
          <w:color w:val="auto"/>
        </w:rPr>
        <w:t>” means the Series A Preferred Stock, par value $0.0001 per share, of Legacy Scilex issued to Sorrento prior to the Effective Time pursuant to the Debt Exchange Agreement.</w:t>
      </w:r>
    </w:p>
    <w:p>
      <w:pPr>
        <w:spacing w:after="0" w:line="43" w:lineRule="exact"/>
        <w:rPr>
          <w:rFonts w:ascii="Times New Roman" w:cs="Times New Roman" w:eastAsia="Times New Roman" w:hAnsi="Times New Roman"/>
          <w:sz w:val="12"/>
          <w:szCs w:val="12"/>
          <w:color w:val="auto"/>
        </w:rPr>
      </w:pPr>
    </w:p>
    <w:p>
      <w:pPr>
        <w:ind w:left="2620" w:right="103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Merger Agreement</w:t>
      </w:r>
      <w:r>
        <w:rPr>
          <w:rFonts w:ascii="Times New Roman" w:cs="Times New Roman" w:eastAsia="Times New Roman" w:hAnsi="Times New Roman"/>
          <w:sz w:val="12"/>
          <w:szCs w:val="12"/>
          <w:color w:val="auto"/>
        </w:rPr>
        <w:t>” means that certain Agreement and Plan of Merger, dated as of March 17, 2022, by and among us, Merger Sub and Legacy Scilex, as it may be amended or restated from time to time, including by the Merger Agreement Amendment.</w:t>
      </w:r>
    </w:p>
    <w:p>
      <w:pPr>
        <w:spacing w:after="0" w:line="43"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Merger Agreement Amendment</w:t>
      </w:r>
      <w:r>
        <w:rPr>
          <w:rFonts w:ascii="Times New Roman" w:cs="Times New Roman" w:eastAsia="Times New Roman" w:hAnsi="Times New Roman"/>
          <w:sz w:val="12"/>
          <w:szCs w:val="12"/>
          <w:color w:val="auto"/>
        </w:rPr>
        <w:t>” means that Amendment No. 1 to Agreement and Plan of Merger, dated as of September 12, 2022, by and among us, Merger Sub and Legacy Scilex.</w:t>
      </w:r>
    </w:p>
    <w:p>
      <w:pPr>
        <w:spacing w:after="0" w:line="43" w:lineRule="exact"/>
        <w:rPr>
          <w:rFonts w:ascii="Times New Roman" w:cs="Times New Roman" w:eastAsia="Times New Roman" w:hAnsi="Times New Roman"/>
          <w:sz w:val="12"/>
          <w:szCs w:val="12"/>
          <w:color w:val="auto"/>
        </w:rPr>
      </w:pPr>
    </w:p>
    <w:p>
      <w:pPr>
        <w:ind w:left="2620" w:right="879" w:hanging="288"/>
        <w:spacing w:after="0" w:line="266"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Merger Sub</w:t>
      </w:r>
      <w:r>
        <w:rPr>
          <w:rFonts w:ascii="Times New Roman" w:cs="Times New Roman" w:eastAsia="Times New Roman" w:hAnsi="Times New Roman"/>
          <w:sz w:val="12"/>
          <w:szCs w:val="12"/>
          <w:color w:val="auto"/>
        </w:rPr>
        <w:t>” means Vantage Merger Sub Inc., a Delaware corporation that was a wholly owned subsidiary of Vickers prior to the Closing and that, pursuant to the Business Combination, was merged with and into Legacy Scilex, with Legacy Scilex continuing as our wholly owned subsidiary.</w:t>
      </w:r>
    </w:p>
    <w:p>
      <w:pPr>
        <w:spacing w:after="0" w:line="54"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Nasdaq</w:t>
      </w:r>
      <w:r>
        <w:rPr>
          <w:rFonts w:ascii="Times New Roman" w:cs="Times New Roman" w:eastAsia="Times New Roman" w:hAnsi="Times New Roman"/>
          <w:sz w:val="12"/>
          <w:szCs w:val="12"/>
          <w:color w:val="auto"/>
        </w:rPr>
        <w:t>” means The Nasdaq Stock Market LLC.</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Nasdaq Listing Rules</w:t>
      </w:r>
      <w:r>
        <w:rPr>
          <w:rFonts w:ascii="Times New Roman" w:cs="Times New Roman" w:eastAsia="Times New Roman" w:hAnsi="Times New Roman"/>
          <w:sz w:val="12"/>
          <w:szCs w:val="12"/>
          <w:color w:val="auto"/>
        </w:rPr>
        <w:t>” means the rules and listing standards of Nasdaq.</w:t>
      </w:r>
    </w:p>
    <w:p>
      <w:pPr>
        <w:spacing w:after="0" w:line="87" w:lineRule="exact"/>
        <w:rPr>
          <w:rFonts w:ascii="Times New Roman" w:cs="Times New Roman" w:eastAsia="Times New Roman" w:hAnsi="Times New Roman"/>
          <w:sz w:val="12"/>
          <w:szCs w:val="12"/>
          <w:color w:val="auto"/>
        </w:rPr>
      </w:pPr>
    </w:p>
    <w:p>
      <w:pPr>
        <w:ind w:left="2620" w:right="93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October 2024 Noteholder Warrants</w:t>
      </w:r>
      <w:r>
        <w:rPr>
          <w:rFonts w:ascii="Times New Roman" w:cs="Times New Roman" w:eastAsia="Times New Roman" w:hAnsi="Times New Roman"/>
          <w:sz w:val="12"/>
          <w:szCs w:val="12"/>
          <w:color w:val="auto"/>
        </w:rPr>
        <w:t>” means the warrants to purchase up to an aggregate of 214,284 shares of our Common Stock, with a current exercise price of $36.40 per share, issued to the Tranche B Noteholders.</w:t>
      </w:r>
    </w:p>
    <w:p>
      <w:pPr>
        <w:spacing w:after="0" w:line="43" w:lineRule="exact"/>
        <w:rPr>
          <w:rFonts w:ascii="Times New Roman" w:cs="Times New Roman" w:eastAsia="Times New Roman" w:hAnsi="Times New Roman"/>
          <w:sz w:val="12"/>
          <w:szCs w:val="12"/>
          <w:color w:val="auto"/>
        </w:rPr>
      </w:pPr>
    </w:p>
    <w:p>
      <w:pPr>
        <w:jc w:val="both"/>
        <w:ind w:left="2620" w:right="859" w:hanging="288"/>
        <w:spacing w:after="0" w:line="266"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October 2024 Placement Agent Warrants</w:t>
      </w:r>
      <w:r>
        <w:rPr>
          <w:rFonts w:ascii="Times New Roman" w:cs="Times New Roman" w:eastAsia="Times New Roman" w:hAnsi="Times New Roman"/>
          <w:sz w:val="12"/>
          <w:szCs w:val="12"/>
          <w:color w:val="auto"/>
        </w:rPr>
        <w:t>” means the warrants to purchase up to an aggregate of 104,848 shares of Common Stock, with a current exercise price of $36.40 per share, issued to StockBlock and Rodman &amp; Renshaw LLC in connection with the Tranche B Securities Purchase Agreement.</w:t>
      </w:r>
    </w:p>
    <w:p>
      <w:pPr>
        <w:spacing w:after="0" w:line="54"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October 2024 Warrants</w:t>
      </w:r>
      <w:r>
        <w:rPr>
          <w:rFonts w:ascii="Times New Roman" w:cs="Times New Roman" w:eastAsia="Times New Roman" w:hAnsi="Times New Roman"/>
          <w:sz w:val="12"/>
          <w:szCs w:val="12"/>
          <w:color w:val="auto"/>
        </w:rPr>
        <w:t>” means the October 2024 Noteholder Warrants and the October 2024 Placement Agent Warrants.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Oramed</w:t>
      </w:r>
      <w:r>
        <w:rPr>
          <w:rFonts w:ascii="Times New Roman" w:cs="Times New Roman" w:eastAsia="Times New Roman" w:hAnsi="Times New Roman"/>
          <w:sz w:val="12"/>
          <w:szCs w:val="12"/>
          <w:color w:val="auto"/>
        </w:rPr>
        <w:t>” means Oramed Pharmaceuticals Inc., a Delaware corporation.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Oramed Amendment</w:t>
      </w:r>
      <w:r>
        <w:rPr>
          <w:rFonts w:ascii="Times New Roman" w:cs="Times New Roman" w:eastAsia="Times New Roman" w:hAnsi="Times New Roman"/>
          <w:sz w:val="12"/>
          <w:szCs w:val="12"/>
          <w:color w:val="auto"/>
        </w:rPr>
        <w:t>” means that certain amendment letter, dated as of January 21, 2025, entered into between us and Oramed.</w:t>
      </w:r>
    </w:p>
    <w:p>
      <w:pPr>
        <w:spacing w:after="0" w:line="87"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Oramed Note</w:t>
      </w:r>
      <w:r>
        <w:rPr>
          <w:rFonts w:ascii="Times New Roman" w:cs="Times New Roman" w:eastAsia="Times New Roman" w:hAnsi="Times New Roman"/>
          <w:sz w:val="12"/>
          <w:szCs w:val="12"/>
          <w:color w:val="auto"/>
        </w:rPr>
        <w:t>” means that certain senior secured promissory note issued by us on September 21, 2023 to Oramed due 18 months from the date of issuance in the principal amount of $101,875,000.</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Oramed RRA”</w:t>
      </w:r>
      <w:r>
        <w:rPr>
          <w:rFonts w:ascii="Times New Roman" w:cs="Times New Roman" w:eastAsia="Times New Roman" w:hAnsi="Times New Roman"/>
          <w:sz w:val="12"/>
          <w:szCs w:val="12"/>
          <w:color w:val="auto"/>
        </w:rPr>
        <w:t xml:space="preserve"> means that certain Registration Rights Agreement, dated as of September 21, 2023, entered into between us and Oramed.</w:t>
      </w:r>
    </w:p>
    <w:p>
      <w:pPr>
        <w:spacing w:after="0" w:line="87" w:lineRule="exact"/>
        <w:rPr>
          <w:rFonts w:ascii="Times New Roman" w:cs="Times New Roman" w:eastAsia="Times New Roman" w:hAnsi="Times New Roman"/>
          <w:sz w:val="12"/>
          <w:szCs w:val="12"/>
          <w:color w:val="auto"/>
        </w:rPr>
      </w:pPr>
    </w:p>
    <w:p>
      <w:pPr>
        <w:ind w:left="2620" w:right="999" w:hanging="288"/>
        <w:spacing w:after="0" w:line="283"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Penny Warrants</w:t>
      </w:r>
      <w:r>
        <w:rPr>
          <w:rFonts w:ascii="Times New Roman" w:cs="Times New Roman" w:eastAsia="Times New Roman" w:hAnsi="Times New Roman"/>
          <w:sz w:val="12"/>
          <w:szCs w:val="12"/>
          <w:color w:val="auto"/>
        </w:rPr>
        <w:t>” means the warrants to purchase up to an aggregate of 13,000,000 shares of our Common Stock, each with an exercise price of $0.01 per share, issued to Oramed pursuant to the Scilex-Oramed SPA.</w:t>
      </w:r>
    </w:p>
    <w:p>
      <w:pPr>
        <w:spacing w:after="0" w:line="43" w:lineRule="exact"/>
        <w:rPr>
          <w:rFonts w:ascii="Times New Roman" w:cs="Times New Roman" w:eastAsia="Times New Roman" w:hAnsi="Times New Roman"/>
          <w:sz w:val="12"/>
          <w:szCs w:val="12"/>
          <w:color w:val="auto"/>
        </w:rPr>
      </w:pPr>
    </w:p>
    <w:p>
      <w:pPr>
        <w:ind w:left="2620" w:right="899" w:hanging="288"/>
        <w:spacing w:after="0" w:line="261" w:lineRule="auto"/>
        <w:tabs>
          <w:tab w:leader="none" w:pos="26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Private Warrants</w:t>
      </w:r>
      <w:r>
        <w:rPr>
          <w:rFonts w:ascii="Times New Roman" w:cs="Times New Roman" w:eastAsia="Times New Roman" w:hAnsi="Times New Roman"/>
          <w:sz w:val="12"/>
          <w:szCs w:val="12"/>
          <w:color w:val="auto"/>
        </w:rPr>
        <w:t>” means the 6,840,000 warrants sold in a private placement to Vickers Venture Fund VI Pte Ltd and Vickers Venture Fund VI (Plan) Pte Ltd consummated on January 11, 2021 (of which 2,736,000 were forfeited pursuant to the Sponsor Support Agreement and 3,104,000 were transferred to Sorrento pursuant to the Warrant Transfer Agreement, in each case in connection with the Business Combination).</w:t>
      </w:r>
    </w:p>
    <w:p>
      <w:pPr>
        <w:spacing w:after="0" w:line="7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0159"/>
          </w:cols>
          <w:pgMar w:left="300" w:top="368"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public shareholders</w:t>
      </w:r>
      <w:r>
        <w:rPr>
          <w:rFonts w:ascii="Times New Roman" w:cs="Times New Roman" w:eastAsia="Times New Roman" w:hAnsi="Times New Roman"/>
          <w:sz w:val="12"/>
          <w:szCs w:val="12"/>
          <w:color w:val="auto"/>
        </w:rPr>
        <w:t>” means the holders of the public shares.</w:t>
      </w:r>
    </w:p>
    <w:p>
      <w:pPr>
        <w:spacing w:after="0" w:line="87" w:lineRule="exact"/>
        <w:rPr>
          <w:rFonts w:ascii="Times New Roman" w:cs="Times New Roman" w:eastAsia="Times New Roman" w:hAnsi="Times New Roman"/>
          <w:sz w:val="12"/>
          <w:szCs w:val="12"/>
          <w:color w:val="auto"/>
        </w:rPr>
      </w:pPr>
    </w:p>
    <w:p>
      <w:pPr>
        <w:ind w:left="2620" w:right="959" w:hanging="288"/>
        <w:spacing w:after="0" w:line="266"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public shares</w:t>
      </w:r>
      <w:r>
        <w:rPr>
          <w:rFonts w:ascii="Times New Roman" w:cs="Times New Roman" w:eastAsia="Times New Roman" w:hAnsi="Times New Roman"/>
          <w:sz w:val="12"/>
          <w:szCs w:val="12"/>
          <w:color w:val="auto"/>
        </w:rPr>
        <w:t>” means the Vickers Ordinary Shares which were sold as part of the IPO, whether they were purchased in the IPO or in the aftermarket, including any of our Initial Shareholders to the extent that they purchase such public shares (except that our Initial Shareholders will not have conversion or tender rights with respect to any public shares they own).</w:t>
      </w:r>
    </w:p>
    <w:p>
      <w:pPr>
        <w:spacing w:after="0" w:line="54"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Public Warrants</w:t>
      </w:r>
      <w:r>
        <w:rPr>
          <w:rFonts w:ascii="Times New Roman" w:cs="Times New Roman" w:eastAsia="Times New Roman" w:hAnsi="Times New Roman"/>
          <w:sz w:val="12"/>
          <w:szCs w:val="12"/>
          <w:color w:val="auto"/>
        </w:rPr>
        <w:t>” means the redeemable warrants that were included in the Units that entitle the holder of each whole warrant to purchase one Vickers Ordinary Share at a price of $402.50 per whole share.</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Reverse Stock Split</w:t>
      </w:r>
      <w:r>
        <w:rPr>
          <w:rFonts w:ascii="Times New Roman" w:cs="Times New Roman" w:eastAsia="Times New Roman" w:hAnsi="Times New Roman"/>
          <w:sz w:val="12"/>
          <w:szCs w:val="12"/>
          <w:color w:val="auto"/>
        </w:rPr>
        <w:t>” means the reverse stock split of our Common Stock at a ratio of 1-for-35, which became effective on April 15, 2025.</w:t>
      </w:r>
    </w:p>
    <w:p>
      <w:pPr>
        <w:spacing w:after="0" w:line="87"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Scilex-Oramed SPA</w:t>
      </w:r>
      <w:r>
        <w:rPr>
          <w:rFonts w:ascii="Times New Roman" w:cs="Times New Roman" w:eastAsia="Times New Roman" w:hAnsi="Times New Roman"/>
          <w:sz w:val="12"/>
          <w:szCs w:val="12"/>
          <w:color w:val="auto"/>
        </w:rPr>
        <w:t>” means the Securities Purchase Agreement, dated as of September 21, 2023, by and among us, Oramed and Acquiom Agency Services LLC, as the collateral agent.</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SCLX JV</w:t>
      </w:r>
      <w:r>
        <w:rPr>
          <w:rFonts w:ascii="Times New Roman" w:cs="Times New Roman" w:eastAsia="Times New Roman" w:hAnsi="Times New Roman"/>
          <w:sz w:val="12"/>
          <w:szCs w:val="12"/>
          <w:color w:val="auto"/>
        </w:rPr>
        <w:t>” means SCLX Stock Acquisition JV LLC, our indirect wholly owned subsidiary.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SEC</w:t>
      </w:r>
      <w:r>
        <w:rPr>
          <w:rFonts w:ascii="Times New Roman" w:cs="Times New Roman" w:eastAsia="Times New Roman" w:hAnsi="Times New Roman"/>
          <w:sz w:val="12"/>
          <w:szCs w:val="12"/>
          <w:color w:val="auto"/>
        </w:rPr>
        <w:t>” means the U.S. Securities and Exchange Commission.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Securities Act</w:t>
      </w:r>
      <w:r>
        <w:rPr>
          <w:rFonts w:ascii="Times New Roman" w:cs="Times New Roman" w:eastAsia="Times New Roman" w:hAnsi="Times New Roman"/>
          <w:sz w:val="12"/>
          <w:szCs w:val="12"/>
          <w:color w:val="auto"/>
        </w:rPr>
        <w:t>” means the Securities Act of 1933, as amended.</w:t>
      </w:r>
    </w:p>
    <w:p>
      <w:pPr>
        <w:spacing w:after="0" w:line="87" w:lineRule="exact"/>
        <w:rPr>
          <w:rFonts w:ascii="Times New Roman" w:cs="Times New Roman" w:eastAsia="Times New Roman" w:hAnsi="Times New Roman"/>
          <w:sz w:val="12"/>
          <w:szCs w:val="12"/>
          <w:color w:val="auto"/>
        </w:rPr>
      </w:pPr>
    </w:p>
    <w:p>
      <w:pPr>
        <w:ind w:left="2620" w:right="87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Series A Certificate of Designations</w:t>
      </w:r>
      <w:r>
        <w:rPr>
          <w:rFonts w:ascii="Times New Roman" w:cs="Times New Roman" w:eastAsia="Times New Roman" w:hAnsi="Times New Roman"/>
          <w:sz w:val="12"/>
          <w:szCs w:val="12"/>
          <w:color w:val="auto"/>
        </w:rPr>
        <w:t>” means the Certificate of Designations of the Company, designating the series of preferred stock, par value $0.0001 per share, of the Company as “Series A Preferred Stock”.</w:t>
      </w:r>
    </w:p>
    <w:p>
      <w:pPr>
        <w:spacing w:after="0" w:line="43" w:lineRule="exact"/>
        <w:rPr>
          <w:rFonts w:ascii="Times New Roman" w:cs="Times New Roman" w:eastAsia="Times New Roman" w:hAnsi="Times New Roman"/>
          <w:sz w:val="12"/>
          <w:szCs w:val="12"/>
          <w:color w:val="auto"/>
        </w:rPr>
      </w:pPr>
    </w:p>
    <w:p>
      <w:pPr>
        <w:ind w:left="2620" w:right="85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Series A Preferred Stock</w:t>
      </w:r>
      <w:r>
        <w:rPr>
          <w:rFonts w:ascii="Times New Roman" w:cs="Times New Roman" w:eastAsia="Times New Roman" w:hAnsi="Times New Roman"/>
          <w:sz w:val="12"/>
          <w:szCs w:val="12"/>
          <w:color w:val="auto"/>
        </w:rPr>
        <w:t>” means the preferred stock, par value $0.0001 per share, of the Company, designated as Series A Preferred Stock pursuant to the Series A Certificate of Designations.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Sorrento</w:t>
      </w:r>
      <w:r>
        <w:rPr>
          <w:rFonts w:ascii="Times New Roman" w:cs="Times New Roman" w:eastAsia="Times New Roman" w:hAnsi="Times New Roman"/>
          <w:sz w:val="12"/>
          <w:szCs w:val="12"/>
          <w:color w:val="auto"/>
        </w:rPr>
        <w:t>” means Sorrento Therapeutics, Inc.</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Sorrento Group</w:t>
      </w:r>
      <w:r>
        <w:rPr>
          <w:rFonts w:ascii="Times New Roman" w:cs="Times New Roman" w:eastAsia="Times New Roman" w:hAnsi="Times New Roman"/>
          <w:sz w:val="12"/>
          <w:szCs w:val="12"/>
          <w:color w:val="auto"/>
        </w:rPr>
        <w:t>” means Sorrento together with its affiliates, subsidiaries, successors and assigns (other than us and our subsidiaries).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Sorrento SPA</w:t>
      </w:r>
      <w:r>
        <w:rPr>
          <w:rFonts w:ascii="Times New Roman" w:cs="Times New Roman" w:eastAsia="Times New Roman" w:hAnsi="Times New Roman"/>
          <w:sz w:val="12"/>
          <w:szCs w:val="12"/>
          <w:color w:val="auto"/>
        </w:rPr>
        <w:t>” means that certain Stock Purchase Agreement, dated September 21, 2023, between us and Sorrento.</w:t>
      </w:r>
    </w:p>
    <w:p>
      <w:pPr>
        <w:spacing w:after="0" w:line="87" w:lineRule="exact"/>
        <w:rPr>
          <w:rFonts w:ascii="Times New Roman" w:cs="Times New Roman" w:eastAsia="Times New Roman" w:hAnsi="Times New Roman"/>
          <w:sz w:val="12"/>
          <w:szCs w:val="12"/>
          <w:color w:val="auto"/>
        </w:rPr>
      </w:pPr>
    </w:p>
    <w:p>
      <w:pPr>
        <w:ind w:left="2620" w:right="101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Sorrento Trigger Event</w:t>
      </w:r>
      <w:r>
        <w:rPr>
          <w:rFonts w:ascii="Times New Roman" w:cs="Times New Roman" w:eastAsia="Times New Roman" w:hAnsi="Times New Roman"/>
          <w:sz w:val="12"/>
          <w:szCs w:val="12"/>
          <w:color w:val="auto"/>
        </w:rPr>
        <w:t>” means the time that the Sorrento Group first ceases to beneficially own more than 50% in voting power of the then-outstanding shares of our capital stock entitled to vote generally in the election of directors.</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SPAC Warrants</w:t>
      </w:r>
      <w:r>
        <w:rPr>
          <w:rFonts w:ascii="Times New Roman" w:cs="Times New Roman" w:eastAsia="Times New Roman" w:hAnsi="Times New Roman"/>
          <w:sz w:val="12"/>
          <w:szCs w:val="12"/>
          <w:color w:val="auto"/>
        </w:rPr>
        <w:t>” means the Private Warrants and the Public Warrants.</w:t>
      </w:r>
    </w:p>
    <w:p>
      <w:pPr>
        <w:spacing w:after="0" w:line="87" w:lineRule="exact"/>
        <w:rPr>
          <w:rFonts w:ascii="Times New Roman" w:cs="Times New Roman" w:eastAsia="Times New Roman" w:hAnsi="Times New Roman"/>
          <w:sz w:val="12"/>
          <w:szCs w:val="12"/>
          <w:color w:val="auto"/>
        </w:rPr>
      </w:pPr>
    </w:p>
    <w:p>
      <w:pPr>
        <w:ind w:left="2620" w:right="143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Sponsor Support Agreement</w:t>
      </w:r>
      <w:r>
        <w:rPr>
          <w:rFonts w:ascii="Times New Roman" w:cs="Times New Roman" w:eastAsia="Times New Roman" w:hAnsi="Times New Roman"/>
          <w:sz w:val="12"/>
          <w:szCs w:val="12"/>
          <w:color w:val="auto"/>
        </w:rPr>
        <w:t>” means that certain Sponsor Support Agreement, dated March 17, 2022, by and among the Initial Shareholders and with Scilex, Inc. (f/k/a Scilex Holding Company).</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Sponsors</w:t>
      </w:r>
      <w:r>
        <w:rPr>
          <w:rFonts w:ascii="Times New Roman" w:cs="Times New Roman" w:eastAsia="Times New Roman" w:hAnsi="Times New Roman"/>
          <w:sz w:val="12"/>
          <w:szCs w:val="12"/>
          <w:color w:val="auto"/>
        </w:rPr>
        <w:t>” means Vickers Venture Fund VI Pte Ltd and Vickers Venture Fund VI (Plan) Pte Ltd.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StockBlock</w:t>
      </w:r>
      <w:r>
        <w:rPr>
          <w:rFonts w:ascii="Times New Roman" w:cs="Times New Roman" w:eastAsia="Times New Roman" w:hAnsi="Times New Roman"/>
          <w:sz w:val="12"/>
          <w:szCs w:val="12"/>
          <w:color w:val="auto"/>
        </w:rPr>
        <w:t>” means StockBlock Securities LLC.</w:t>
      </w:r>
    </w:p>
    <w:p>
      <w:pPr>
        <w:spacing w:after="0" w:line="87" w:lineRule="exact"/>
        <w:rPr>
          <w:rFonts w:ascii="Times New Roman" w:cs="Times New Roman" w:eastAsia="Times New Roman" w:hAnsi="Times New Roman"/>
          <w:sz w:val="12"/>
          <w:szCs w:val="12"/>
          <w:color w:val="auto"/>
        </w:rPr>
      </w:pPr>
    </w:p>
    <w:p>
      <w:pPr>
        <w:ind w:left="2620" w:right="899" w:hanging="288"/>
        <w:spacing w:after="0" w:line="283" w:lineRule="auto"/>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StockBlock Warrants</w:t>
      </w:r>
      <w:r>
        <w:rPr>
          <w:rFonts w:ascii="Times New Roman" w:cs="Times New Roman" w:eastAsia="Times New Roman" w:hAnsi="Times New Roman"/>
          <w:sz w:val="12"/>
          <w:szCs w:val="12"/>
          <w:color w:val="auto"/>
        </w:rPr>
        <w:t>” means the warrants to purchase up to an aggregate of 131,472 shares of our Common Stock, with an exercise price of $25.81 per share, issued to StockBlock pursuant to the December 2024 RDO Purchase Agreement.</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Stockholder Agreement</w:t>
      </w:r>
      <w:r>
        <w:rPr>
          <w:rFonts w:ascii="Times New Roman" w:cs="Times New Roman" w:eastAsia="Times New Roman" w:hAnsi="Times New Roman"/>
          <w:sz w:val="12"/>
          <w:szCs w:val="12"/>
          <w:color w:val="auto"/>
        </w:rPr>
        <w:t>” means the Stockholder Agreement, dated as of September 12, 2022, between Vickers and Sorrento.</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Tranche B Investors</w:t>
      </w:r>
      <w:r>
        <w:rPr>
          <w:rFonts w:ascii="Times New Roman" w:cs="Times New Roman" w:eastAsia="Times New Roman" w:hAnsi="Times New Roman"/>
          <w:sz w:val="12"/>
          <w:szCs w:val="12"/>
          <w:color w:val="auto"/>
        </w:rPr>
        <w:t>” means Nomis Bay Ltd., BPY Limited and 3i, LP.</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Tranche B Letter Agreement</w:t>
      </w:r>
      <w:r>
        <w:rPr>
          <w:rFonts w:ascii="Times New Roman" w:cs="Times New Roman" w:eastAsia="Times New Roman" w:hAnsi="Times New Roman"/>
          <w:sz w:val="12"/>
          <w:szCs w:val="12"/>
          <w:color w:val="auto"/>
        </w:rPr>
        <w:t>” means that certain letter agreement, dated as of October 2, 2025, entered into between us and Oramed.</w:t>
      </w:r>
    </w:p>
    <w:p>
      <w:pPr>
        <w:spacing w:after="0" w:line="1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0159"/>
          </w:cols>
          <w:pgMar w:left="300" w:top="36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2620" w:hanging="288"/>
        <w:spacing w:after="0"/>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Tranche B Noteholders</w:t>
      </w:r>
      <w:r>
        <w:rPr>
          <w:rFonts w:ascii="Times New Roman" w:cs="Times New Roman" w:eastAsia="Times New Roman" w:hAnsi="Times New Roman"/>
          <w:sz w:val="12"/>
          <w:szCs w:val="12"/>
          <w:color w:val="auto"/>
        </w:rPr>
        <w:t>” means the Tranche B Investors and Oramed.</w:t>
      </w:r>
    </w:p>
    <w:p>
      <w:pPr>
        <w:spacing w:after="0" w:line="87" w:lineRule="exact"/>
        <w:rPr>
          <w:rFonts w:ascii="Times New Roman" w:cs="Times New Roman" w:eastAsia="Times New Roman" w:hAnsi="Times New Roman"/>
          <w:sz w:val="12"/>
          <w:szCs w:val="12"/>
          <w:color w:val="auto"/>
        </w:rPr>
      </w:pPr>
    </w:p>
    <w:p>
      <w:pPr>
        <w:ind w:left="2620" w:right="1199" w:hanging="288"/>
        <w:spacing w:after="0" w:line="283" w:lineRule="auto"/>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Tranche B Notes</w:t>
      </w:r>
      <w:r>
        <w:rPr>
          <w:rFonts w:ascii="Times New Roman" w:cs="Times New Roman" w:eastAsia="Times New Roman" w:hAnsi="Times New Roman"/>
          <w:sz w:val="12"/>
          <w:szCs w:val="12"/>
          <w:color w:val="auto"/>
        </w:rPr>
        <w:t>” means those certain tranche B senior secured convertible notes issued by us on October 8, 2024 to the Tranche B Noteholders, due on the second anniversary of the issuance date in the principal amount of $50.0 million.</w:t>
      </w:r>
    </w:p>
    <w:p>
      <w:pPr>
        <w:spacing w:after="0" w:line="43" w:lineRule="exact"/>
        <w:rPr>
          <w:rFonts w:ascii="Times New Roman" w:cs="Times New Roman" w:eastAsia="Times New Roman" w:hAnsi="Times New Roman"/>
          <w:sz w:val="12"/>
          <w:szCs w:val="12"/>
          <w:color w:val="auto"/>
        </w:rPr>
      </w:pPr>
    </w:p>
    <w:p>
      <w:pPr>
        <w:ind w:left="2620" w:right="919" w:hanging="288"/>
        <w:spacing w:after="0" w:line="283" w:lineRule="auto"/>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Tranche B Securities Purchase Agreement</w:t>
      </w:r>
      <w:r>
        <w:rPr>
          <w:rFonts w:ascii="Times New Roman" w:cs="Times New Roman" w:eastAsia="Times New Roman" w:hAnsi="Times New Roman"/>
          <w:sz w:val="12"/>
          <w:szCs w:val="12"/>
          <w:color w:val="auto"/>
        </w:rPr>
        <w:t>” means that certain securities purchase agreement, dated as of October 7, 2024, among us, the Tranche B Investors and Oramed.</w:t>
      </w:r>
    </w:p>
    <w:p>
      <w:pPr>
        <w:spacing w:after="0" w:line="43" w:lineRule="exact"/>
        <w:rPr>
          <w:rFonts w:ascii="Times New Roman" w:cs="Times New Roman" w:eastAsia="Times New Roman" w:hAnsi="Times New Roman"/>
          <w:sz w:val="12"/>
          <w:szCs w:val="12"/>
          <w:color w:val="auto"/>
        </w:rPr>
      </w:pPr>
    </w:p>
    <w:p>
      <w:pPr>
        <w:ind w:left="2620" w:right="919" w:hanging="288"/>
        <w:spacing w:after="0" w:line="261" w:lineRule="auto"/>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Units</w:t>
      </w:r>
      <w:r>
        <w:rPr>
          <w:rFonts w:ascii="Times New Roman" w:cs="Times New Roman" w:eastAsia="Times New Roman" w:hAnsi="Times New Roman"/>
          <w:sz w:val="12"/>
          <w:szCs w:val="12"/>
          <w:color w:val="auto"/>
        </w:rPr>
        <w:t>” means the units of Vickers, each of which consisted of one Vickers Ordinary Share and one-half of one redeemable warrant upon the consummation of an initial business combination, which units, if not separated into its component securities as of immediately prior to the Effective Time were, without any action on the part of the holder, separated automatically into its component securities, comprised of one share of Common Stock and one-half of one warrant to purchase one share of Common Stock.</w:t>
      </w:r>
    </w:p>
    <w:p>
      <w:pPr>
        <w:spacing w:after="0" w:line="56"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Vickers</w:t>
      </w:r>
      <w:r>
        <w:rPr>
          <w:rFonts w:ascii="Times New Roman" w:cs="Times New Roman" w:eastAsia="Times New Roman" w:hAnsi="Times New Roman"/>
          <w:sz w:val="12"/>
          <w:szCs w:val="12"/>
          <w:color w:val="auto"/>
        </w:rPr>
        <w:t>” means Vickers Vantage Corp. I, our predecessor company.</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83" w:lineRule="auto"/>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Vickers Ordinary Shares</w:t>
      </w:r>
      <w:r>
        <w:rPr>
          <w:rFonts w:ascii="Times New Roman" w:cs="Times New Roman" w:eastAsia="Times New Roman" w:hAnsi="Times New Roman"/>
          <w:sz w:val="12"/>
          <w:szCs w:val="12"/>
          <w:color w:val="auto"/>
        </w:rPr>
        <w:t>” means (i) the ordinary shares, par value $0.0001 per share, of Vickers prior to the Domestication and (ii) the Common Stock following the Domestication.</w:t>
      </w:r>
    </w:p>
    <w:p>
      <w:pPr>
        <w:spacing w:after="0" w:line="43" w:lineRule="exact"/>
        <w:rPr>
          <w:rFonts w:ascii="Times New Roman" w:cs="Times New Roman" w:eastAsia="Times New Roman" w:hAnsi="Times New Roman"/>
          <w:sz w:val="12"/>
          <w:szCs w:val="12"/>
          <w:color w:val="auto"/>
        </w:rPr>
      </w:pPr>
    </w:p>
    <w:p>
      <w:pPr>
        <w:ind w:left="2620" w:right="919" w:hanging="288"/>
        <w:spacing w:after="0" w:line="283" w:lineRule="auto"/>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Warrant Transfer Agreement</w:t>
      </w:r>
      <w:r>
        <w:rPr>
          <w:rFonts w:ascii="Times New Roman" w:cs="Times New Roman" w:eastAsia="Times New Roman" w:hAnsi="Times New Roman"/>
          <w:sz w:val="12"/>
          <w:szCs w:val="12"/>
          <w:color w:val="auto"/>
        </w:rPr>
        <w:t>” means that certain Warrant Transfer Agreement, dated as of October 17, 2022, by and among Sorrento, the Sponsors, Vickers and Maxim Group LLC.</w:t>
      </w:r>
    </w:p>
    <w:p>
      <w:pPr>
        <w:spacing w:after="0" w:line="43"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Yorkville</w:t>
      </w:r>
      <w:r>
        <w:rPr>
          <w:rFonts w:ascii="Times New Roman" w:cs="Times New Roman" w:eastAsia="Times New Roman" w:hAnsi="Times New Roman"/>
          <w:sz w:val="12"/>
          <w:szCs w:val="12"/>
          <w:color w:val="auto"/>
        </w:rPr>
        <w:t>” means YA II PN, Ltd., a Cayman Islands exempt limited partnership.</w:t>
      </w:r>
    </w:p>
    <w:p>
      <w:pPr>
        <w:spacing w:after="0" w:line="1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0159"/>
          </w:cols>
          <w:pgMar w:left="300" w:top="36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4001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70425" cy="4001770"/>
                    </a:xfrm>
                    <a:prstGeom prst="rect">
                      <a:avLst/>
                    </a:prstGeom>
                    <a:noFill/>
                  </pic:spPr>
                </pic:pic>
              </a:graphicData>
            </a:graphic>
          </wp:anchor>
        </w:drawing>
      </w:r>
    </w:p>
    <w:p>
      <w:pPr>
        <w:spacing w:after="0" w:line="3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PROSPECTUS SUMMARY</w:t>
      </w:r>
    </w:p>
    <w:p>
      <w:pPr>
        <w:spacing w:after="0" w:line="152" w:lineRule="exact"/>
        <w:rPr>
          <w:sz w:val="20"/>
          <w:szCs w:val="20"/>
          <w:color w:val="auto"/>
        </w:rPr>
      </w:pPr>
    </w:p>
    <w:p>
      <w:pPr>
        <w:ind w:left="2100" w:right="979" w:firstLine="284"/>
        <w:spacing w:after="0" w:line="257" w:lineRule="auto"/>
        <w:rPr>
          <w:sz w:val="20"/>
          <w:szCs w:val="20"/>
          <w:color w:val="auto"/>
        </w:rPr>
      </w:pPr>
      <w:r>
        <w:rPr>
          <w:rFonts w:ascii="Times New Roman" w:cs="Times New Roman" w:eastAsia="Times New Roman" w:hAnsi="Times New Roman"/>
          <w:sz w:val="12"/>
          <w:szCs w:val="12"/>
          <w:i w:val="1"/>
          <w:iCs w:val="1"/>
          <w:color w:val="auto"/>
        </w:rPr>
        <w:t>This summary highlights selected information that is presented in greater detail elsewhere in this prospectus. Because it is only a summary, it does not contain all of the information you should consider before investing in our securities and it is qualified in its entirety by, and should be read in conjunction with, the more detailed information included elsewhere in this prospectus. Before you decide whether to purchase our securities, you should read this entire prospectus carefully, including the sections of this prospectus titled “Risk Factors” and “Management’s Discussion and Analysis of Financial Condition and Results of Operations”. You should also carefully read the information in this prospectus, including our financial statements, and the exhibits to the registration statement of which this prospectus is a part.</w:t>
      </w:r>
    </w:p>
    <w:p>
      <w:pPr>
        <w:spacing w:after="0" w:line="19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The Company</w:t>
      </w:r>
    </w:p>
    <w:p>
      <w:pPr>
        <w:spacing w:after="0" w:line="82" w:lineRule="exact"/>
        <w:rPr>
          <w:sz w:val="20"/>
          <w:szCs w:val="20"/>
          <w:color w:val="auto"/>
        </w:rPr>
      </w:pPr>
    </w:p>
    <w:p>
      <w:pPr>
        <w:ind w:left="2100" w:right="1099" w:firstLine="284"/>
        <w:spacing w:after="0" w:line="265" w:lineRule="auto"/>
        <w:rPr>
          <w:sz w:val="20"/>
          <w:szCs w:val="20"/>
          <w:color w:val="auto"/>
        </w:rPr>
      </w:pPr>
      <w:r>
        <w:rPr>
          <w:rFonts w:ascii="Times New Roman" w:cs="Times New Roman" w:eastAsia="Times New Roman" w:hAnsi="Times New Roman"/>
          <w:sz w:val="12"/>
          <w:szCs w:val="12"/>
          <w:color w:val="auto"/>
        </w:rPr>
        <w:t>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w:t>
      </w:r>
    </w:p>
    <w:p>
      <w:pPr>
        <w:spacing w:after="0" w:line="119" w:lineRule="exact"/>
        <w:rPr>
          <w:sz w:val="20"/>
          <w:szCs w:val="20"/>
          <w:color w:val="auto"/>
        </w:rPr>
      </w:pPr>
    </w:p>
    <w:p>
      <w:pPr>
        <w:ind w:left="2100" w:right="1019" w:firstLine="284"/>
        <w:spacing w:after="0" w:line="223" w:lineRule="auto"/>
        <w:rPr>
          <w:sz w:val="20"/>
          <w:szCs w:val="20"/>
          <w:color w:val="auto"/>
        </w:rPr>
      </w:pPr>
      <w:r>
        <w:rPr>
          <w:rFonts w:ascii="Times New Roman" w:cs="Times New Roman" w:eastAsia="Times New Roman" w:hAnsi="Times New Roman"/>
          <w:sz w:val="12"/>
          <w:szCs w:val="12"/>
          <w:color w:val="auto"/>
        </w:rPr>
        <w:t>Our commercial products are: (i) ZTlido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(lidocaine topical system) 1.8%, a prescription lidocaine topical product approved by the U.S. Food and Drug Administration (the “FDA”) for the relief of neuropathic pain associated with postherpetic neuralgia (“PHN”), which is a form of post-shingles nerve pain; (ii)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 potential first-line treatment and the only FDA-approved, ready-to-use oral solution for the acute treatment of migraine, with or without aura, in adults; and (iii)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the first and only liquid oral version of the anti-gout medicine colchicine indicated for the prophylaxis of painful gout flares in adults, which launched in June 2024. In addition, we have three product candidates: (i) SP-102 (10 mg, dexamethasone sodium phosphate viscous gel) (“SEMDEXA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 novel, viscous gel formulation of a widely used corticosteroid for epidural injections to treat lumbosacral radicular pain, or sciatica for which we have completed a Phase 3 study; (ii) SP-103 (lidocaine topical system) 5.4% (“SP-103”), a next-generation, triple-strength formulation of ZTlido, for the treatment of acute pain and for which we have completed a Phase 2 trial in acute low back pain (“LBP”); and (iii) SP-104 (4.5 mg, low-dose naltrexone hydrochloride delayed-release capsules) (“SP-104”), a novel low-dose delayed-release naltrexone hydrochloride being developed for the treatment of fibromyalgia, for which Phase 1 trials were completed. We believe our currently approved products and future product candidates, if approved by the FDA, could uniquely address what we believe are the significant unmet needs of the targeted populations and become the preferred treatment option for their respective indications.</w:t>
      </w:r>
    </w:p>
    <w:p>
      <w:pPr>
        <w:spacing w:after="0" w:line="136" w:lineRule="exact"/>
        <w:rPr>
          <w:sz w:val="20"/>
          <w:szCs w:val="20"/>
          <w:color w:val="auto"/>
        </w:rPr>
      </w:pPr>
    </w:p>
    <w:p>
      <w:pPr>
        <w:ind w:left="2100" w:right="1019" w:firstLine="284"/>
        <w:spacing w:after="0" w:line="257" w:lineRule="auto"/>
        <w:rPr>
          <w:sz w:val="20"/>
          <w:szCs w:val="20"/>
          <w:color w:val="auto"/>
        </w:rPr>
      </w:pPr>
      <w:r>
        <w:rPr>
          <w:rFonts w:ascii="Times New Roman" w:cs="Times New Roman" w:eastAsia="Times New Roman" w:hAnsi="Times New Roman"/>
          <w:sz w:val="12"/>
          <w:szCs w:val="12"/>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w:t>
      </w:r>
    </w:p>
    <w:p>
      <w:pPr>
        <w:spacing w:after="0" w:line="1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Our Products</w:t>
      </w:r>
    </w:p>
    <w:p>
      <w:pPr>
        <w:spacing w:after="0" w:line="82" w:lineRule="exact"/>
        <w:rPr>
          <w:sz w:val="20"/>
          <w:szCs w:val="20"/>
          <w:color w:val="auto"/>
        </w:rPr>
      </w:pPr>
    </w:p>
    <w:p>
      <w:pPr>
        <w:ind w:left="2100" w:right="1139" w:firstLine="284"/>
        <w:spacing w:after="0" w:line="234" w:lineRule="auto"/>
        <w:rPr>
          <w:sz w:val="20"/>
          <w:szCs w:val="20"/>
          <w:color w:val="auto"/>
        </w:rPr>
      </w:pPr>
      <w:r>
        <w:rPr>
          <w:rFonts w:ascii="Times New Roman" w:cs="Times New Roman" w:eastAsia="Times New Roman" w:hAnsi="Times New Roman"/>
          <w:sz w:val="12"/>
          <w:szCs w:val="12"/>
          <w:color w:val="auto"/>
        </w:rPr>
        <w:t>We launched our first commercial product, ZTlido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comprised of an adhesive material containing 36 mg lidocaine, which is applied to a pliable nonwoven cloth backing and covered with a polyethylene terephthalate film release liner. ZTlido is commercially manufactured</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0159"/>
          </w:cols>
          <w:pgMar w:left="300" w:top="36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381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0425" cy="3818890"/>
                    </a:xfrm>
                    <a:prstGeom prst="rect">
                      <a:avLst/>
                    </a:prstGeom>
                    <a:noFill/>
                  </pic:spPr>
                </pic:pic>
              </a:graphicData>
            </a:graphic>
          </wp:anchor>
        </w:drawing>
      </w:r>
    </w:p>
    <w:p>
      <w:pPr>
        <w:spacing w:after="0" w:line="314" w:lineRule="exact"/>
        <w:rPr>
          <w:sz w:val="20"/>
          <w:szCs w:val="20"/>
          <w:color w:val="auto"/>
        </w:rPr>
      </w:pPr>
    </w:p>
    <w:p>
      <w:pPr>
        <w:ind w:left="2100" w:right="1099"/>
        <w:spacing w:after="0" w:line="256" w:lineRule="auto"/>
        <w:rPr>
          <w:sz w:val="20"/>
          <w:szCs w:val="20"/>
          <w:color w:val="auto"/>
        </w:rPr>
      </w:pPr>
      <w:r>
        <w:rPr>
          <w:rFonts w:ascii="Times New Roman" w:cs="Times New Roman" w:eastAsia="Times New Roman" w:hAnsi="Times New Roman"/>
          <w:sz w:val="12"/>
          <w:szCs w:val="12"/>
          <w:color w:val="auto"/>
        </w:rPr>
        <w:t>for us by Oishi Koseido Co., Ltd. (“Oishi”) in Japan. We license the rights to ZTlido from and rely exclusively on Oishi and Itochu Chemical Frontier Corporation (“Itochu”) pursuant to the Product Development Agreement (the “Product Development Agreement”) dated as of May 11, 2011, by and among Scilex Pharmaceuticals Inc., our wholly owned subsidiary (“Scilex Pharma”), Oishi and Itochu, and the Commercial Supply Agreement (the “Commercial Supply Agreement”), dated as of February 16, 2017, by and among Scilex Pharma, Oishi and Itochu. We have exclusive worldwide rights to Oishi’s proprietary formulation and manufacturing technologies except with respect to Japan. In 2024, there were more than 206 million prescription lidocaine patches sold in the United States, according to Symphony Healthcare.</w:t>
      </w:r>
    </w:p>
    <w:p>
      <w:pPr>
        <w:spacing w:after="0" w:line="125" w:lineRule="exact"/>
        <w:rPr>
          <w:sz w:val="20"/>
          <w:szCs w:val="20"/>
          <w:color w:val="auto"/>
        </w:rPr>
      </w:pPr>
    </w:p>
    <w:p>
      <w:pPr>
        <w:ind w:left="2100" w:right="999" w:firstLine="284"/>
        <w:spacing w:after="0" w:line="217" w:lineRule="auto"/>
        <w:rPr>
          <w:sz w:val="20"/>
          <w:szCs w:val="20"/>
          <w:color w:val="auto"/>
        </w:rPr>
      </w:pPr>
      <w:r>
        <w:rPr>
          <w:rFonts w:ascii="Times New Roman" w:cs="Times New Roman" w:eastAsia="Times New Roman" w:hAnsi="Times New Roman"/>
          <w:sz w:val="12"/>
          <w:szCs w:val="12"/>
          <w:color w:val="auto"/>
        </w:rPr>
        <w:t>We launched our second commercial product,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April 2023. We acquired the rights to certain patents, trademarks, regulatory approvals, data, contracts, and other rights related to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(celecoxib oral solution) and the commercialization thereof in the United States and Canada from BioDelivery Sciences International, Inc. and Collegium Pharmaceutical, Inc. in February 2023.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is a potential first-line treatment and the only FDA-approved, ready-to-use oral solution for the acute treatment of migraine, with or without aura, in adults. We filed a New Drug Submission to Health Canada’s Pharmaceutical Drugs Directorate, Bureau of Cardiology, Allergy and Neurological Sciences for the approval of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acute treatment of migraine with or without aura in Canada.</w:t>
      </w:r>
    </w:p>
    <w:p>
      <w:pPr>
        <w:spacing w:after="0" w:line="51" w:lineRule="exact"/>
        <w:rPr>
          <w:sz w:val="20"/>
          <w:szCs w:val="20"/>
          <w:color w:val="auto"/>
        </w:rPr>
      </w:pPr>
    </w:p>
    <w:p>
      <w:pPr>
        <w:ind w:left="2100" w:right="979" w:firstLine="284"/>
        <w:spacing w:after="0" w:line="237" w:lineRule="auto"/>
        <w:rPr>
          <w:sz w:val="20"/>
          <w:szCs w:val="20"/>
          <w:color w:val="auto"/>
        </w:rPr>
      </w:pPr>
      <w:r>
        <w:rPr>
          <w:rFonts w:ascii="Times New Roman" w:cs="Times New Roman" w:eastAsia="Times New Roman" w:hAnsi="Times New Roman"/>
          <w:sz w:val="12"/>
          <w:szCs w:val="12"/>
          <w:color w:val="auto"/>
        </w:rPr>
        <w:t>We launched our third commercial product, GLOPERBA, in June 2024. We acquired certain rights to GLOPERBA and the exclusive license to use the trademark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pursuant to a License and Commercialization Agreement with RxOmeg Therapeutics, LLC (a/k/a Romeg Therapeutics, Inc.) (“Romeg”), dated as of June 14, 2022, which agreement was subsequently amended on January 16, 2025 (such agreement, as so amended, the “Romeg License Agreement”). Pursuant to the Romeg License Agreement, among other things, Romeg granted us (1) the right to manufacture, promote, market, distribute and sell pharmaceutical products comprising liquid formulations of colchicine for the prophylactic treatment of gout in adult humans in the United States, and (2) an exclusive, transferable license to use the trademark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GLOPERBA is an FDA-approved, liquid,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commercialized GLOPERBA in June 2024 and believe we are well positioned to market and distribute the product. We have a direct distribution network to national and regional wholesalers and pharmacies throughout the U.S. For more information, please see the section titled “</w:t>
      </w:r>
      <w:r>
        <w:rPr>
          <w:rFonts w:ascii="Times New Roman" w:cs="Times New Roman" w:eastAsia="Times New Roman" w:hAnsi="Times New Roman"/>
          <w:sz w:val="12"/>
          <w:szCs w:val="12"/>
          <w:i w:val="1"/>
          <w:iCs w:val="1"/>
          <w:color w:val="auto"/>
        </w:rPr>
        <w:t>Business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Material Agreements — Romeg License and Commercialization Agreement.</w:t>
      </w:r>
      <w:r>
        <w:rPr>
          <w:rFonts w:ascii="Times New Roman" w:cs="Times New Roman" w:eastAsia="Times New Roman" w:hAnsi="Times New Roman"/>
          <w:sz w:val="12"/>
          <w:szCs w:val="12"/>
          <w:color w:val="auto"/>
        </w:rPr>
        <w:t>”</w:t>
      </w:r>
    </w:p>
    <w:p>
      <w:pPr>
        <w:spacing w:after="0" w:line="2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Our Product Candidates</w:t>
      </w:r>
    </w:p>
    <w:p>
      <w:pPr>
        <w:spacing w:after="0" w:line="82" w:lineRule="exact"/>
        <w:rPr>
          <w:sz w:val="20"/>
          <w:szCs w:val="20"/>
          <w:color w:val="auto"/>
        </w:rPr>
      </w:pPr>
    </w:p>
    <w:p>
      <w:pPr>
        <w:ind w:left="2100" w:right="999" w:firstLine="284"/>
        <w:spacing w:after="0" w:line="241" w:lineRule="auto"/>
        <w:rPr>
          <w:sz w:val="20"/>
          <w:szCs w:val="20"/>
          <w:color w:val="auto"/>
        </w:rPr>
      </w:pPr>
      <w:r>
        <w:rPr>
          <w:rFonts w:ascii="Times New Roman" w:cs="Times New Roman" w:eastAsia="Times New Roman" w:hAnsi="Times New Roman"/>
          <w:sz w:val="12"/>
          <w:szCs w:val="12"/>
          <w:color w:val="auto"/>
        </w:rPr>
        <w:t>We acquired SP-102 (“SP-102” or “SEMDEXA”) from Semnur Pharmaceuticals, Inc. (“Semnur”) in March 2019 and are developing SP-102 to be an injectable viscous gel formulation of a widely used corticosteroid designed to address the serious risks posed by off-label epidural steroid injections (“ESI”), which are administered over 12 million times annually in the United States. SEMDEXA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has been granted fast track designation by the FDA and, if approved, could become the only FDA-approved ESI for the treatment of sciatica. According to a report by Decision Resources Group, it was estimated that over 4.8 million patients would suffer from sciatica in the United States in 2022.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0159"/>
          </w:cols>
          <w:pgMar w:left="300" w:top="36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428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70425" cy="4281805"/>
                    </a:xfrm>
                    <a:prstGeom prst="rect">
                      <a:avLst/>
                    </a:prstGeom>
                    <a:noFill/>
                  </pic:spPr>
                </pic:pic>
              </a:graphicData>
            </a:graphic>
          </wp:anchor>
        </w:drawing>
      </w:r>
    </w:p>
    <w:p>
      <w:pPr>
        <w:spacing w:after="0" w:line="314" w:lineRule="exact"/>
        <w:rPr>
          <w:sz w:val="20"/>
          <w:szCs w:val="20"/>
          <w:color w:val="auto"/>
        </w:rPr>
      </w:pPr>
    </w:p>
    <w:p>
      <w:pPr>
        <w:ind w:left="2100" w:right="979"/>
        <w:spacing w:after="0" w:line="255" w:lineRule="auto"/>
        <w:rPr>
          <w:sz w:val="20"/>
          <w:szCs w:val="20"/>
          <w:color w:val="auto"/>
        </w:rPr>
      </w:pPr>
      <w:r>
        <w:rPr>
          <w:rFonts w:ascii="Times New Roman" w:cs="Times New Roman" w:eastAsia="Times New Roman" w:hAnsi="Times New Roman"/>
          <w:sz w:val="12"/>
          <w:szCs w:val="12"/>
          <w:color w:val="auto"/>
        </w:rPr>
        <w:t>FDA Fast Track status in LBP. We will continue to analyze the SP-103 Phase 2 trial data along with an investigator study of ZTlido in patients with chronic neck pain completed in the second half of 2023, which also has shown promising top-line efficacy and safety results. SP-103, if approved, could become the first FDA-approved lidocaine topical product for the treatment of acute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w:t>
      </w:r>
    </w:p>
    <w:p>
      <w:pPr>
        <w:spacing w:after="0" w:line="126" w:lineRule="exact"/>
        <w:rPr>
          <w:sz w:val="20"/>
          <w:szCs w:val="20"/>
          <w:color w:val="auto"/>
        </w:rPr>
      </w:pPr>
    </w:p>
    <w:p>
      <w:pPr>
        <w:ind w:left="2100" w:right="979" w:firstLine="284"/>
        <w:spacing w:after="0" w:line="265" w:lineRule="auto"/>
        <w:rPr>
          <w:sz w:val="20"/>
          <w:szCs w:val="20"/>
          <w:color w:val="auto"/>
        </w:rPr>
      </w:pPr>
      <w:r>
        <w:rPr>
          <w:rFonts w:ascii="Times New Roman" w:cs="Times New Roman" w:eastAsia="Times New Roman" w:hAnsi="Times New Roman"/>
          <w:sz w:val="12"/>
          <w:szCs w:val="12"/>
          <w:color w:val="auto"/>
        </w:rPr>
        <w:t>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w:t>
      </w:r>
    </w:p>
    <w:p>
      <w:pPr>
        <w:spacing w:after="0" w:line="11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The following chart illustrates completed and anticipated milestones for our current commercial products and novel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100" w:right="1239" w:firstLine="284"/>
        <w:spacing w:after="0" w:line="265" w:lineRule="auto"/>
        <w:rPr>
          <w:sz w:val="20"/>
          <w:szCs w:val="20"/>
          <w:color w:val="auto"/>
        </w:rPr>
      </w:pPr>
      <w:r>
        <w:rPr>
          <w:rFonts w:ascii="Times New Roman" w:cs="Times New Roman" w:eastAsia="Times New Roman" w:hAnsi="Times New Roman"/>
          <w:sz w:val="12"/>
          <w:szCs w:val="12"/>
          <w:color w:val="auto"/>
        </w:rPr>
        <w:t>Our principal executive offices are located at 960 San Antonio Road, Palo Alto, California 94303, and our telephone number is (650) 516-4310. For additional information about us, please see the sections of this prospectus titled “</w:t>
      </w:r>
      <w:r>
        <w:rPr>
          <w:rFonts w:ascii="Times New Roman" w:cs="Times New Roman" w:eastAsia="Times New Roman" w:hAnsi="Times New Roman"/>
          <w:sz w:val="12"/>
          <w:szCs w:val="12"/>
          <w:i w:val="1"/>
          <w:iCs w:val="1"/>
          <w:color w:val="auto"/>
        </w:rPr>
        <w:t>Business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Management’s Discussion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Analysis of Financial Condition and Results of Operations</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ind w:left="2100" w:right="1059" w:firstLine="284"/>
        <w:spacing w:after="0" w:line="283" w:lineRule="auto"/>
        <w:rPr>
          <w:sz w:val="20"/>
          <w:szCs w:val="20"/>
          <w:color w:val="auto"/>
        </w:rPr>
      </w:pPr>
      <w:r>
        <w:rPr>
          <w:rFonts w:ascii="Times New Roman" w:cs="Times New Roman" w:eastAsia="Times New Roman" w:hAnsi="Times New Roman"/>
          <w:sz w:val="12"/>
          <w:szCs w:val="12"/>
          <w:color w:val="auto"/>
        </w:rPr>
        <w:t>See the section of this prospectus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this prospectus for a discussion of some of the risks related to the execution of our business strategy.</w:t>
      </w:r>
    </w:p>
    <w:p>
      <w:pPr>
        <w:spacing w:after="0" w:line="17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Business Combination</w:t>
      </w:r>
    </w:p>
    <w:p>
      <w:pPr>
        <w:spacing w:after="0" w:line="82" w:lineRule="exact"/>
        <w:rPr>
          <w:sz w:val="20"/>
          <w:szCs w:val="20"/>
          <w:color w:val="auto"/>
        </w:rPr>
      </w:pPr>
    </w:p>
    <w:p>
      <w:pPr>
        <w:ind w:left="2100" w:right="999" w:firstLine="284"/>
        <w:spacing w:after="0" w:line="279" w:lineRule="auto"/>
        <w:rPr>
          <w:sz w:val="20"/>
          <w:szCs w:val="20"/>
          <w:color w:val="auto"/>
        </w:rPr>
      </w:pPr>
      <w:r>
        <w:rPr>
          <w:rFonts w:ascii="Times New Roman" w:cs="Times New Roman" w:eastAsia="Times New Roman" w:hAnsi="Times New Roman"/>
          <w:sz w:val="12"/>
          <w:szCs w:val="12"/>
          <w:color w:val="auto"/>
        </w:rPr>
        <w:t>On November 10, 2022, we consummated the Business Combination pursuant to the terms of the Merger Agreement, by and among Vickers, Merger Sub, and Legacy Scilex.</w:t>
      </w:r>
    </w:p>
    <w:p>
      <w:pPr>
        <w:spacing w:after="0" w:line="111" w:lineRule="exact"/>
        <w:rPr>
          <w:sz w:val="20"/>
          <w:szCs w:val="20"/>
          <w:color w:val="auto"/>
        </w:rPr>
      </w:pPr>
    </w:p>
    <w:p>
      <w:pPr>
        <w:ind w:left="2100" w:right="999" w:firstLine="284"/>
        <w:spacing w:after="0" w:line="260" w:lineRule="auto"/>
        <w:rPr>
          <w:sz w:val="20"/>
          <w:szCs w:val="20"/>
          <w:color w:val="auto"/>
        </w:rPr>
      </w:pPr>
      <w:r>
        <w:rPr>
          <w:rFonts w:ascii="Times New Roman" w:cs="Times New Roman" w:eastAsia="Times New Roman" w:hAnsi="Times New Roman"/>
          <w:sz w:val="12"/>
          <w:szCs w:val="12"/>
          <w:color w:val="auto"/>
        </w:rPr>
        <w:t>Pursuant to the Merger Agreement, (i) prior to the Closing, Vickers effected the Domestication and (ii) at the Closing, and following the Domestication, the parties effected the Merger, with Legacy Scilex as the surviving company in the Merger, and, after giving effect to such Merger, Legacy Scilex became a wholly owned subsidiary of Vickers. The Merger was approved by Vickers’s shareholders at a meeting held on November 9, 2022. In connection with the Business Combination, Vickers changed its name to “Scilex Holding Company.”</w:t>
      </w:r>
    </w:p>
    <w:p>
      <w:pPr>
        <w:spacing w:after="0" w:line="1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0159"/>
          </w:cols>
          <w:pgMar w:left="300" w:top="36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4138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0425" cy="4138930"/>
                    </a:xfrm>
                    <a:prstGeom prst="rect">
                      <a:avLst/>
                    </a:prstGeom>
                    <a:noFill/>
                  </pic:spPr>
                </pic:pic>
              </a:graphicData>
            </a:graphic>
          </wp:anchor>
        </w:drawing>
      </w:r>
    </w:p>
    <w:p>
      <w:pPr>
        <w:spacing w:after="0" w:line="314" w:lineRule="exact"/>
        <w:rPr>
          <w:sz w:val="20"/>
          <w:szCs w:val="20"/>
          <w:color w:val="auto"/>
        </w:rPr>
      </w:pPr>
    </w:p>
    <w:p>
      <w:pPr>
        <w:ind w:left="2100" w:right="979" w:firstLine="284"/>
        <w:spacing w:after="0" w:line="284" w:lineRule="auto"/>
        <w:rPr>
          <w:sz w:val="20"/>
          <w:szCs w:val="20"/>
          <w:color w:val="auto"/>
        </w:rPr>
      </w:pPr>
      <w:r>
        <w:rPr>
          <w:rFonts w:ascii="Times New Roman" w:cs="Times New Roman" w:eastAsia="Times New Roman" w:hAnsi="Times New Roman"/>
          <w:sz w:val="11"/>
          <w:szCs w:val="11"/>
          <w:color w:val="auto"/>
        </w:rPr>
        <w:t>In accordance with the terms and subject to the conditions of the Merger Agreement, at the time at which the Business Combination became effective (the “Effective Time”), (i) each outstanding share of Legacy Scilex Common Stock outstanding immediately prior to the Effective Time was automatically cancelled in exchange for the right to receive 0.673498 shares of our Common Stock, (ii) each share of Legacy Scilex Preferred Stock outstanding immediately prior to the Effective Time was cancelled in exchange for the right to receive (a) one share of Series A Preferred Stock and (b) one-tenth of one share of our Common Stock, and (iii) each option to purchase shares of Legacy Scilex Common Stock outstanding as of immediately prior to the Effective Time was converted into the right to receive a comparable option to purchase shares of our Common Stock.</w:t>
      </w:r>
    </w:p>
    <w:p>
      <w:pPr>
        <w:spacing w:after="0" w:line="110" w:lineRule="exact"/>
        <w:rPr>
          <w:sz w:val="20"/>
          <w:szCs w:val="20"/>
          <w:color w:val="auto"/>
        </w:rPr>
      </w:pPr>
    </w:p>
    <w:p>
      <w:pPr>
        <w:ind w:left="2100" w:right="1279" w:firstLine="284"/>
        <w:spacing w:after="0" w:line="279" w:lineRule="auto"/>
        <w:rPr>
          <w:sz w:val="20"/>
          <w:szCs w:val="20"/>
          <w:color w:val="auto"/>
        </w:rPr>
      </w:pPr>
      <w:r>
        <w:rPr>
          <w:rFonts w:ascii="Times New Roman" w:cs="Times New Roman" w:eastAsia="Times New Roman" w:hAnsi="Times New Roman"/>
          <w:sz w:val="12"/>
          <w:szCs w:val="12"/>
          <w:color w:val="auto"/>
        </w:rPr>
        <w:t>Our Common Stock and Public Warrants are currently listed on the Nasdaq Capital Market under the symbols “SCLX” and “SCLXW,” respectively.</w:t>
      </w:r>
    </w:p>
    <w:p>
      <w:pPr>
        <w:spacing w:after="0" w:line="111" w:lineRule="exact"/>
        <w:rPr>
          <w:sz w:val="20"/>
          <w:szCs w:val="20"/>
          <w:color w:val="auto"/>
        </w:rPr>
      </w:pPr>
    </w:p>
    <w:p>
      <w:pPr>
        <w:ind w:left="2100" w:right="959" w:firstLine="284"/>
        <w:spacing w:after="0" w:line="260" w:lineRule="auto"/>
        <w:rPr>
          <w:sz w:val="20"/>
          <w:szCs w:val="20"/>
          <w:color w:val="auto"/>
        </w:rPr>
      </w:pPr>
      <w:r>
        <w:rPr>
          <w:rFonts w:ascii="Times New Roman" w:cs="Times New Roman" w:eastAsia="Times New Roman" w:hAnsi="Times New Roman"/>
          <w:sz w:val="12"/>
          <w:szCs w:val="12"/>
          <w:color w:val="auto"/>
        </w:rPr>
        <w:t>The rights of holders of our Common Stock and Warrants (as defined below) are governed by the Certificate of Incorporation, the Bylaws and the DGCL, and, in the case of the Warrants, the Warrant Agreement (the “Warrant Agreement”), dated January 6, 2021, between Vickers and Continental Stock Transfer &amp; Trust Co. (“Continental”). See sections of this prospectus titled “</w:t>
      </w:r>
      <w:r>
        <w:rPr>
          <w:rFonts w:ascii="Times New Roman" w:cs="Times New Roman" w:eastAsia="Times New Roman" w:hAnsi="Times New Roman"/>
          <w:sz w:val="12"/>
          <w:szCs w:val="12"/>
          <w:i w:val="1"/>
          <w:iCs w:val="1"/>
          <w:color w:val="auto"/>
        </w:rPr>
        <w:t>Description of Our Securities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Certain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Relationships and Related Party Transactions</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Deferral and Consent under Tranche B Senior Secured Convertible Note</w:t>
      </w:r>
    </w:p>
    <w:p>
      <w:pPr>
        <w:spacing w:after="0" w:line="82" w:lineRule="exact"/>
        <w:rPr>
          <w:sz w:val="20"/>
          <w:szCs w:val="20"/>
          <w:color w:val="auto"/>
        </w:rPr>
      </w:pPr>
    </w:p>
    <w:p>
      <w:pPr>
        <w:ind w:left="2100" w:right="1039" w:firstLine="284"/>
        <w:spacing w:after="0" w:line="260" w:lineRule="auto"/>
        <w:rPr>
          <w:sz w:val="20"/>
          <w:szCs w:val="20"/>
          <w:color w:val="auto"/>
        </w:rPr>
      </w:pPr>
      <w:r>
        <w:rPr>
          <w:rFonts w:ascii="Times New Roman" w:cs="Times New Roman" w:eastAsia="Times New Roman" w:hAnsi="Times New Roman"/>
          <w:sz w:val="12"/>
          <w:szCs w:val="12"/>
          <w:color w:val="auto"/>
        </w:rPr>
        <w:t>Pursuant to the Tranche B Notes, commencing on January 2, 2025, we are required to redeem in cash (the “First Amortization Payment”) such portion of the principal amount of the Tranche B Notes equal to each Tranche B Noteholder’s Holder Pro Rata Amount (as defined in the Tranche B Notes) of $6,250,000 per fiscal quarter at a redemption price equal to 100% of such Amortization Amount (as defined in the Tranche B Notes).</w:t>
      </w:r>
    </w:p>
    <w:p>
      <w:pPr>
        <w:spacing w:after="0" w:line="122" w:lineRule="exact"/>
        <w:rPr>
          <w:sz w:val="20"/>
          <w:szCs w:val="20"/>
          <w:color w:val="auto"/>
        </w:rPr>
      </w:pPr>
    </w:p>
    <w:p>
      <w:pPr>
        <w:ind w:left="2100" w:right="1059" w:firstLine="284"/>
        <w:spacing w:after="0" w:line="253" w:lineRule="auto"/>
        <w:rPr>
          <w:sz w:val="20"/>
          <w:szCs w:val="20"/>
          <w:color w:val="auto"/>
        </w:rPr>
      </w:pPr>
      <w:r>
        <w:rPr>
          <w:rFonts w:ascii="Times New Roman" w:cs="Times New Roman" w:eastAsia="Times New Roman" w:hAnsi="Times New Roman"/>
          <w:sz w:val="12"/>
          <w:szCs w:val="12"/>
          <w:color w:val="auto"/>
        </w:rPr>
        <w:t>On January 2, 2025, we entered into a deferral and consent letter with each of (i) Nomis Bay Ltd and BPY Limited (the “Nomis Bay Consent”), (ii) Oramed (the “Oramed Consent”) and (iii) 3i, LP (the “3i Consent” and, together with the Nomis Bay Consent and the Oramed Consent, the “Tranche B Consents”), respectively, pursuant to which the Tranche B Noteholders (as defined below) agreed to defer our obligation to make the First Amortization Payment until January 31, 2025. In consideration of such deferral, and to limit the Tranche B Noteholders’ right to exercise certain secured creditor remedies (including recourse against the assets of SCLX Stock Acquisition JV, our wholly owned subsidiary (“SCLX JV”), as a grantor under the Security Agreement (as defined in the Tranche B Consents)), SCLX JV delivered to the Tranche B Noteholders (or their designee) by deposit/withdrawal at custodian with the Depository Trust Company an aggregate of 142,855 Scilex Shares (as defined in, and contemplated pursuant to, the Term Sheet that is an exhibit to the Tranche B Consents (the “Term Sheet”)) held by SCLX JV, of which 71,428 shares were delivered to Oramed, 20,571 shares were delivered to BPY Limited, 36,571 shares were delivered to Nomis Bay Ltd, and 14,285 shares were delivered to 3i, LP.</w:t>
      </w:r>
    </w:p>
    <w:p>
      <w:pPr>
        <w:spacing w:after="0" w:line="1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In addition, pursuant to the Tranche B Consents, effective as of the latest of (i) the time of execution and delivery of the Tranche B Consents,</w:t>
      </w:r>
    </w:p>
    <w:p>
      <w:pPr>
        <w:spacing w:after="0" w:line="17" w:lineRule="exact"/>
        <w:rPr>
          <w:sz w:val="20"/>
          <w:szCs w:val="20"/>
          <w:color w:val="auto"/>
        </w:rPr>
      </w:pPr>
    </w:p>
    <w:p>
      <w:pPr>
        <w:ind w:left="2100" w:right="999" w:hanging="6"/>
        <w:spacing w:after="0" w:line="253" w:lineRule="auto"/>
        <w:tabs>
          <w:tab w:leader="none" w:pos="227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of the delivery of the Scilex Shares and (iii) the time of grant of the Royalty and Exclusive Rights (each as defined in, and contemplated pursuant to, the Term Sheet), the Tranche B Noteholders agreed to further defer our obligation to make the First Amortization Payment until October 8, 2026, provided that, as contemplated in the Term Sheet, we pay an aggregate of $1.1 million in respect of a portion of the First Amortization Payment and related make-whole interest (which amount has been paid).</w:t>
      </w:r>
    </w:p>
    <w:p>
      <w:pPr>
        <w:spacing w:after="0" w:line="127" w:lineRule="exact"/>
        <w:rPr>
          <w:sz w:val="20"/>
          <w:szCs w:val="20"/>
          <w:color w:val="auto"/>
        </w:rPr>
      </w:pPr>
    </w:p>
    <w:p>
      <w:pPr>
        <w:ind w:left="2100" w:right="1259" w:firstLine="284"/>
        <w:spacing w:after="0" w:line="265" w:lineRule="auto"/>
        <w:rPr>
          <w:sz w:val="20"/>
          <w:szCs w:val="20"/>
          <w:color w:val="auto"/>
        </w:rPr>
      </w:pPr>
      <w:r>
        <w:rPr>
          <w:rFonts w:ascii="Times New Roman" w:cs="Times New Roman" w:eastAsia="Times New Roman" w:hAnsi="Times New Roman"/>
          <w:sz w:val="12"/>
          <w:szCs w:val="12"/>
          <w:color w:val="auto"/>
        </w:rPr>
        <w:t>The Term Sheet provided that we and the Tranche B Noteholders would enter into an agreement pursuant to which the Tranche B Noteholders shall collectively receive a 10 year, assignable, freely transferable, 4% royalty on the worldwide Net Sales (as defined therein) of GLOPERBA and ELYXYB, excluding sales of ELYXYB in</w:t>
      </w:r>
    </w:p>
    <w:p>
      <w:pPr>
        <w:spacing w:after="0" w:line="2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0159"/>
          </w:cols>
          <w:pgMar w:left="300" w:top="36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3910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0425" cy="3910330"/>
                    </a:xfrm>
                    <a:prstGeom prst="rect">
                      <a:avLst/>
                    </a:prstGeom>
                    <a:noFill/>
                  </pic:spPr>
                </pic:pic>
              </a:graphicData>
            </a:graphic>
          </wp:anchor>
        </w:drawing>
      </w:r>
    </w:p>
    <w:p>
      <w:pPr>
        <w:spacing w:after="0" w:line="314" w:lineRule="exact"/>
        <w:rPr>
          <w:sz w:val="20"/>
          <w:szCs w:val="20"/>
          <w:color w:val="auto"/>
        </w:rPr>
      </w:pPr>
    </w:p>
    <w:p>
      <w:pPr>
        <w:ind w:left="2100" w:right="1119"/>
        <w:spacing w:after="0" w:line="279" w:lineRule="auto"/>
        <w:rPr>
          <w:sz w:val="20"/>
          <w:szCs w:val="20"/>
          <w:color w:val="auto"/>
        </w:rPr>
      </w:pPr>
      <w:r>
        <w:rPr>
          <w:rFonts w:ascii="Times New Roman" w:cs="Times New Roman" w:eastAsia="Times New Roman" w:hAnsi="Times New Roman"/>
          <w:sz w:val="12"/>
          <w:szCs w:val="12"/>
          <w:color w:val="auto"/>
        </w:rPr>
        <w:t>Canada. Please see the section below titled “Gloperba-Elyxyb Royalty Purchase Agreement” for a description of such royalty agreement entered into by us.</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Amendment to the Oramed Note</w:t>
      </w:r>
    </w:p>
    <w:p>
      <w:pPr>
        <w:spacing w:after="0" w:line="82" w:lineRule="exact"/>
        <w:rPr>
          <w:sz w:val="20"/>
          <w:szCs w:val="20"/>
          <w:color w:val="auto"/>
        </w:rPr>
      </w:pPr>
    </w:p>
    <w:p>
      <w:pPr>
        <w:jc w:val="both"/>
        <w:ind w:left="2100" w:right="979" w:firstLine="284"/>
        <w:spacing w:after="0" w:line="265" w:lineRule="auto"/>
        <w:rPr>
          <w:sz w:val="20"/>
          <w:szCs w:val="20"/>
          <w:color w:val="auto"/>
        </w:rPr>
      </w:pPr>
      <w:r>
        <w:rPr>
          <w:rFonts w:ascii="Times New Roman" w:cs="Times New Roman" w:eastAsia="Times New Roman" w:hAnsi="Times New Roman"/>
          <w:sz w:val="12"/>
          <w:szCs w:val="12"/>
          <w:color w:val="auto"/>
        </w:rPr>
        <w:t>On January 21, 2025, we entered into an amendment letter with Oramed (the “Oramed Amendment”), pursuant to which, among other things, Oramed agreed to extend the maturity date under and as set forth in the Oramed Note from March 21, 2025 to December 31, 2025. In consideration of such extension, SCLX JV agreed to deliver to Oramed an aggregate of 92,857 shares of Common Stock held by SCLX JV.</w:t>
      </w:r>
    </w:p>
    <w:p>
      <w:pPr>
        <w:spacing w:after="0" w:line="18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ZTlido Rest of World License Agreement</w:t>
      </w:r>
    </w:p>
    <w:p>
      <w:pPr>
        <w:spacing w:after="0" w:line="82" w:lineRule="exact"/>
        <w:rPr>
          <w:sz w:val="20"/>
          <w:szCs w:val="20"/>
          <w:color w:val="auto"/>
        </w:rPr>
      </w:pPr>
    </w:p>
    <w:p>
      <w:pPr>
        <w:ind w:left="2100" w:right="979" w:firstLine="284"/>
        <w:spacing w:after="0" w:line="282" w:lineRule="auto"/>
        <w:rPr>
          <w:sz w:val="20"/>
          <w:szCs w:val="20"/>
          <w:color w:val="auto"/>
        </w:rPr>
      </w:pPr>
      <w:r>
        <w:rPr>
          <w:rFonts w:ascii="Times New Roman" w:cs="Times New Roman" w:eastAsia="Times New Roman" w:hAnsi="Times New Roman"/>
          <w:sz w:val="11"/>
          <w:szCs w:val="11"/>
          <w:color w:val="auto"/>
        </w:rPr>
        <w:t>On February 22, 2025 (the “Lido Effective Date”), Scilex Pharma entered into a License Agreement (the “Lido License Agreement”) with RoyaltyVest Ltd. (the “Licensee”) with respect to services, compositions, products, dosages and formulations comprising lidocaine that have been or are later developed by or on behalf of Scilex Pharma, including the product and any future product defined as a “Product” under Scilex Pharma’s existing (i) Product Development Agreement, dated as of May 11, 2011, with Oishi and Itochu, as amended, and (ii) the associated Commercial Supply Agreement, dated February 16, 2017, between Scilex Pharma, Oishi and Itochu, as amended, which include (a) ZTlido (lidocaine topical system) 1.8%, including the composition of matter with the NDC 69557-111-30 and (b) SP-103 (collectively, the “Lido Product”). The Lido License Agreement supersedes and replaces the that certain Rest of World License Term Sheet parties entered into on October 8, 2024.</w:t>
      </w:r>
    </w:p>
    <w:p>
      <w:pPr>
        <w:spacing w:after="0" w:line="112" w:lineRule="exact"/>
        <w:rPr>
          <w:sz w:val="20"/>
          <w:szCs w:val="20"/>
          <w:color w:val="auto"/>
        </w:rPr>
      </w:pPr>
    </w:p>
    <w:p>
      <w:pPr>
        <w:ind w:left="2100" w:right="979" w:firstLine="284"/>
        <w:spacing w:after="0" w:line="253" w:lineRule="auto"/>
        <w:rPr>
          <w:sz w:val="20"/>
          <w:szCs w:val="20"/>
          <w:color w:val="auto"/>
        </w:rPr>
      </w:pPr>
      <w:r>
        <w:rPr>
          <w:rFonts w:ascii="Times New Roman" w:cs="Times New Roman" w:eastAsia="Times New Roman" w:hAnsi="Times New Roman"/>
          <w:sz w:val="12"/>
          <w:szCs w:val="12"/>
          <w:color w:val="auto"/>
        </w:rPr>
        <w:t>Under the Lido License Agreement, Scilex Pharma granted to the Licensee during the Lido License Term (as defined below)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outside of the United States and certain territories stated in the Lido License Agreement (the “Lido Licensee Territory”). The Licensee granted to Scilex Pharma a non-exclusive, non-transferable, right and license under the Licensee Non-Blocking Patents (as defined therein) (i) in the Licensor Territory (as defined therein), to develop, manufacture, obtain and maintain regulatory approvals for, commercialize and otherwise exploit Lido Product for commercialization of Lido Products in the Licensor Territory in the Field (each as defined therein), and (ii) worldwide, to develop and manufacture Lido Product for commercialization in the Licensor Territory in the Field (each as defined therein). Each of the Licensee and Scilex Pharma will receive 50% of the Net Revenue (as defined therein) generated, and the Licensee shall effect the foregoing by paying to Scilex Pharma its share of the Net Revenue on a quarterly basis.</w:t>
      </w:r>
    </w:p>
    <w:p>
      <w:pPr>
        <w:spacing w:after="0" w:line="128" w:lineRule="exact"/>
        <w:rPr>
          <w:sz w:val="20"/>
          <w:szCs w:val="20"/>
          <w:color w:val="auto"/>
        </w:rPr>
      </w:pPr>
    </w:p>
    <w:p>
      <w:pPr>
        <w:ind w:left="2100" w:right="1359" w:firstLine="284"/>
        <w:spacing w:after="0" w:line="283" w:lineRule="auto"/>
        <w:rPr>
          <w:sz w:val="20"/>
          <w:szCs w:val="20"/>
          <w:color w:val="auto"/>
        </w:rPr>
      </w:pPr>
      <w:r>
        <w:rPr>
          <w:rFonts w:ascii="Times New Roman" w:cs="Times New Roman" w:eastAsia="Times New Roman" w:hAnsi="Times New Roman"/>
          <w:sz w:val="11"/>
          <w:szCs w:val="11"/>
          <w:color w:val="auto"/>
        </w:rPr>
        <w:t>Pursuant to the Lido License Agreement, the Licensee shall (i) use commercially reasonable efforts to obtain and maintain regulatory approval for the Lido Product in at least one Major Market Country (as defined therein) within 18 months after the Lido Effective Date, and</w:t>
      </w:r>
    </w:p>
    <w:p>
      <w:pPr>
        <w:spacing w:after="0" w:line="1" w:lineRule="exact"/>
        <w:rPr>
          <w:sz w:val="20"/>
          <w:szCs w:val="20"/>
          <w:color w:val="auto"/>
        </w:rPr>
      </w:pPr>
    </w:p>
    <w:p>
      <w:pPr>
        <w:jc w:val="both"/>
        <w:ind w:left="2100" w:right="1119" w:hanging="6"/>
        <w:spacing w:after="0" w:line="255" w:lineRule="auto"/>
        <w:tabs>
          <w:tab w:leader="none" w:pos="2277"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 $200,000, or its equivalent in kind, annually towards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 (as defined therein).</w:t>
      </w:r>
    </w:p>
    <w:p>
      <w:pPr>
        <w:spacing w:after="0" w:line="125"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2"/>
          <w:szCs w:val="12"/>
          <w:color w:val="auto"/>
        </w:rPr>
        <w:t>Promptly after the Lido Effective Date, Scilex Pharma is required to (i) facilitate an introduction between Oishi, Itochu, and the Licensee, and</w:t>
      </w:r>
    </w:p>
    <w:p>
      <w:pPr>
        <w:spacing w:after="0" w:line="17" w:lineRule="exact"/>
        <w:rPr>
          <w:sz w:val="20"/>
          <w:szCs w:val="20"/>
          <w:color w:val="auto"/>
        </w:rPr>
      </w:pPr>
    </w:p>
    <w:p>
      <w:pPr>
        <w:jc w:val="both"/>
        <w:ind w:left="2100" w:right="1019" w:hanging="6"/>
        <w:spacing w:after="0" w:line="255" w:lineRule="auto"/>
        <w:tabs>
          <w:tab w:leader="none" w:pos="227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reasonable efforts to cause each of Oishi and Itochu to accept a direct engagement with the Licensee for the manufacturing or supply of the Lido Product in finished dosage form. In addition, Scilex Pharma agreed to appoint the Licensee as its exclusive distributor of the Lido Product in the Licensee Territory during the Lido License Term.</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0159"/>
          </w:cols>
          <w:pgMar w:left="300" w:top="36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4001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0425" cy="4001770"/>
                    </a:xfrm>
                    <a:prstGeom prst="rect">
                      <a:avLst/>
                    </a:prstGeom>
                    <a:noFill/>
                  </pic:spPr>
                </pic:pic>
              </a:graphicData>
            </a:graphic>
          </wp:anchor>
        </w:drawing>
      </w:r>
    </w:p>
    <w:p>
      <w:pPr>
        <w:spacing w:after="0" w:line="314" w:lineRule="exact"/>
        <w:rPr>
          <w:sz w:val="20"/>
          <w:szCs w:val="20"/>
          <w:color w:val="auto"/>
        </w:rPr>
      </w:pPr>
    </w:p>
    <w:p>
      <w:pPr>
        <w:ind w:left="2100" w:right="1039" w:firstLine="284"/>
        <w:spacing w:after="0" w:line="279" w:lineRule="auto"/>
        <w:rPr>
          <w:sz w:val="20"/>
          <w:szCs w:val="20"/>
          <w:color w:val="auto"/>
        </w:rPr>
      </w:pPr>
      <w:r>
        <w:rPr>
          <w:rFonts w:ascii="Times New Roman" w:cs="Times New Roman" w:eastAsia="Times New Roman" w:hAnsi="Times New Roman"/>
          <w:sz w:val="12"/>
          <w:szCs w:val="12"/>
          <w:color w:val="auto"/>
        </w:rPr>
        <w:t>The term of the Lido License Agreement commences on the Lido Effective Date and continues until expiration of the last to expire Licensed Patents (as defined therein), unless earlier terminated (the “Lido License Term”).</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Parent Guarantee for Lido License Agreement</w:t>
      </w:r>
    </w:p>
    <w:p>
      <w:pPr>
        <w:spacing w:after="0" w:line="82" w:lineRule="exact"/>
        <w:rPr>
          <w:sz w:val="20"/>
          <w:szCs w:val="20"/>
          <w:color w:val="auto"/>
        </w:rPr>
      </w:pPr>
    </w:p>
    <w:p>
      <w:pPr>
        <w:ind w:left="2100" w:right="1039" w:firstLine="284"/>
        <w:spacing w:after="0" w:line="256" w:lineRule="auto"/>
        <w:rPr>
          <w:sz w:val="20"/>
          <w:szCs w:val="20"/>
          <w:color w:val="auto"/>
        </w:rPr>
      </w:pPr>
      <w:r>
        <w:rPr>
          <w:rFonts w:ascii="Times New Roman" w:cs="Times New Roman" w:eastAsia="Times New Roman" w:hAnsi="Times New Roman"/>
          <w:sz w:val="12"/>
          <w:szCs w:val="12"/>
          <w:color w:val="auto"/>
        </w:rPr>
        <w:t>On February 22, 2025, in connection with Lido License Agreement, we entered into that certain Parent Guarantee for Lidocaine License Agreement (the “Parent Guarantee”) with the Licensee, pursuant to which we agreed to guarantee the due and proper performance of Scilex Pharma’s obligations under the Lido License Agreement on the terms and conditions set forth in the Parent Guarantee. Pursuant to the terms of the Parent Guarantee, we shall provide the Licensee with written notice of any Change of Control (as defined therein) of Scilex Pharma within five business days after the consummation of such Change of Control, and the Parent Guarantee and the guarantee obligations shall automatically terminate upon the consummation of such Change of Control.</w:t>
      </w:r>
    </w:p>
    <w:p>
      <w:pPr>
        <w:spacing w:after="0" w:line="1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Gloperba-Elyxyb Royalty Purchase Agreement</w:t>
      </w:r>
    </w:p>
    <w:p>
      <w:pPr>
        <w:spacing w:after="0" w:line="82" w:lineRule="exact"/>
        <w:rPr>
          <w:sz w:val="20"/>
          <w:szCs w:val="20"/>
          <w:color w:val="auto"/>
        </w:rPr>
      </w:pPr>
    </w:p>
    <w:p>
      <w:pPr>
        <w:ind w:left="2100" w:right="999" w:firstLine="284"/>
        <w:spacing w:after="0" w:line="255" w:lineRule="auto"/>
        <w:rPr>
          <w:sz w:val="20"/>
          <w:szCs w:val="20"/>
          <w:color w:val="auto"/>
        </w:rPr>
      </w:pPr>
      <w:r>
        <w:rPr>
          <w:rFonts w:ascii="Times New Roman" w:cs="Times New Roman" w:eastAsia="Times New Roman" w:hAnsi="Times New Roman"/>
          <w:sz w:val="12"/>
          <w:szCs w:val="12"/>
          <w:color w:val="auto"/>
        </w:rPr>
        <w:t>As contemplated by the Term Sheet in respect of the Royalty and Exclusive Rights described therein, on February 28, 2025 (the “Gloperba-Elyxyb Closing Date”), we entered into a Purchase and Sale Agreement (the “Gloperba-Elyxyb Royalty Purchase Agreement”) with Scilex Pharma, certain institutional investors (collectively, the “Gloperba-Elyxyb Royalty Investors”) and Oramed (together with the Gloperba-Elyxyb Royalty Investors, the “Gloperba-Elyxyb RPA Purchasers”). Pursuant to the Gloperba-Elyxyb Royalty Purchase Agreement, Scilex Pharma sold to the Gloperba-Elyxyb RPA Purchasers the right to receive 4% of all aggregate net sales worldwide (the “Gloperba-Elyxyb Purchased Receivables”) with respect to Gloperba, Elyxyb, and any related, improved, successor, replacement and/or varying dosage forms of the foregoing (the “Gloperba-Elyxyb Covered Products”).</w:t>
      </w:r>
    </w:p>
    <w:p>
      <w:pPr>
        <w:spacing w:after="0" w:line="126" w:lineRule="exact"/>
        <w:rPr>
          <w:sz w:val="20"/>
          <w:szCs w:val="20"/>
          <w:color w:val="auto"/>
        </w:rPr>
      </w:pPr>
    </w:p>
    <w:p>
      <w:pPr>
        <w:ind w:left="2100" w:right="979" w:firstLine="284"/>
        <w:spacing w:after="0" w:line="255" w:lineRule="auto"/>
        <w:rPr>
          <w:sz w:val="20"/>
          <w:szCs w:val="20"/>
          <w:color w:val="auto"/>
        </w:rPr>
      </w:pPr>
      <w:r>
        <w:rPr>
          <w:rFonts w:ascii="Times New Roman" w:cs="Times New Roman" w:eastAsia="Times New Roman" w:hAnsi="Times New Roman"/>
          <w:sz w:val="12"/>
          <w:szCs w:val="12"/>
          <w:color w:val="auto"/>
        </w:rPr>
        <w:t>In consideration of the Further Deferral and representing the “grant of the Royalty and Exclusive Rights” (as defined in the Term Sheet), during the period commencing on the Gloperba-Elyxyb Closing Date and expiring on the tenth anniversary of the Gloperba-Elyxyb Closing Date (the “Gloperba-Elyxyb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Covered Product Revenue Payments (each as defined in the Gloperba-Elyxyb Royalty Purchase Agreement) for each calendar quarter (commencing with the calendar quarter beginning January 1, 2025) promptly, but in any event no later than 60 calendar days after the end of each calendar quarter.</w:t>
      </w:r>
    </w:p>
    <w:p>
      <w:pPr>
        <w:spacing w:after="0" w:line="126" w:lineRule="exact"/>
        <w:rPr>
          <w:sz w:val="20"/>
          <w:szCs w:val="20"/>
          <w:color w:val="auto"/>
        </w:rPr>
      </w:pPr>
    </w:p>
    <w:p>
      <w:pPr>
        <w:ind w:left="2100" w:right="1039" w:firstLine="284"/>
        <w:spacing w:after="0" w:line="279" w:lineRule="auto"/>
        <w:rPr>
          <w:sz w:val="20"/>
          <w:szCs w:val="20"/>
          <w:color w:val="auto"/>
        </w:rPr>
      </w:pPr>
      <w:r>
        <w:rPr>
          <w:rFonts w:ascii="Times New Roman" w:cs="Times New Roman" w:eastAsia="Times New Roman" w:hAnsi="Times New Roman"/>
          <w:sz w:val="12"/>
          <w:szCs w:val="12"/>
          <w:color w:val="auto"/>
        </w:rPr>
        <w:t>The Gloperba-Elyxyb Royalty Purchase Agreement shall terminate six months following receipt by the Gloperba-Elyxyb RPA Purchasers of all payments of the Purchased Receivables to which each Gloperba-Elyxyb RPA Purchaser is entitled during the Payment Term.</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Royalty Security Agreement</w:t>
      </w:r>
    </w:p>
    <w:p>
      <w:pPr>
        <w:spacing w:after="0" w:line="82" w:lineRule="exact"/>
        <w:rPr>
          <w:sz w:val="20"/>
          <w:szCs w:val="20"/>
          <w:color w:val="auto"/>
        </w:rPr>
      </w:pPr>
    </w:p>
    <w:p>
      <w:pPr>
        <w:jc w:val="both"/>
        <w:ind w:left="2100" w:right="1119" w:firstLine="284"/>
        <w:spacing w:after="0" w:line="265" w:lineRule="auto"/>
        <w:rPr>
          <w:sz w:val="20"/>
          <w:szCs w:val="20"/>
          <w:color w:val="auto"/>
        </w:rPr>
      </w:pPr>
      <w:r>
        <w:rPr>
          <w:rFonts w:ascii="Times New Roman" w:cs="Times New Roman" w:eastAsia="Times New Roman" w:hAnsi="Times New Roman"/>
          <w:sz w:val="12"/>
          <w:szCs w:val="12"/>
          <w:color w:val="auto"/>
        </w:rPr>
        <w:t>Pursuant to the terms of the Gloperba-Elyxyb Royalty Purchase Agreement, we entered into a Security Agreement with Scilex Pharma and the collateral agent (as identified therein) for the benefit of the Gloperba-Elyxyb RPA Purchasers, dated as of February 28, 2025 (the “Gloperba-Elyxyb Royalty Security Agreement”).</w:t>
      </w:r>
    </w:p>
    <w:p>
      <w:pPr>
        <w:spacing w:after="0" w:line="119" w:lineRule="exact"/>
        <w:rPr>
          <w:sz w:val="20"/>
          <w:szCs w:val="20"/>
          <w:color w:val="auto"/>
        </w:rPr>
      </w:pPr>
    </w:p>
    <w:p>
      <w:pPr>
        <w:ind w:left="2100" w:right="1339" w:firstLine="284"/>
        <w:spacing w:after="0" w:line="265" w:lineRule="auto"/>
        <w:rPr>
          <w:sz w:val="20"/>
          <w:szCs w:val="20"/>
          <w:color w:val="auto"/>
        </w:rPr>
      </w:pPr>
      <w:r>
        <w:rPr>
          <w:rFonts w:ascii="Times New Roman" w:cs="Times New Roman" w:eastAsia="Times New Roman" w:hAnsi="Times New Roman"/>
          <w:sz w:val="12"/>
          <w:szCs w:val="12"/>
          <w:color w:val="auto"/>
        </w:rPr>
        <w:t>Under the Gloperba-Elyxyb Royalty Security Agreement, each of our and Scilex Pharma’s due performance and payment under the Gloperba-Elyxyb Royalty Purchase Agreement is secured by certain collateral, including a collection account and certain material contracts, intellectual property rights and regulatory approvals, in each case related to the Gloperba-Elyxyb Covered Products.</w:t>
      </w:r>
    </w:p>
    <w:p>
      <w:pPr>
        <w:spacing w:after="0" w:line="2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0159"/>
          </w:cols>
          <w:pgMar w:left="300" w:top="36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386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Subordination Agreement</w:t>
      </w:r>
    </w:p>
    <w:p>
      <w:pPr>
        <w:spacing w:after="0" w:line="82" w:lineRule="exact"/>
        <w:rPr>
          <w:sz w:val="20"/>
          <w:szCs w:val="20"/>
          <w:color w:val="auto"/>
        </w:rPr>
      </w:pPr>
    </w:p>
    <w:p>
      <w:pPr>
        <w:ind w:left="2100" w:right="1139" w:firstLine="284"/>
        <w:spacing w:after="0" w:line="284" w:lineRule="auto"/>
        <w:rPr>
          <w:sz w:val="20"/>
          <w:szCs w:val="20"/>
          <w:color w:val="auto"/>
        </w:rPr>
      </w:pPr>
      <w:r>
        <w:rPr>
          <w:rFonts w:ascii="Times New Roman" w:cs="Times New Roman" w:eastAsia="Times New Roman" w:hAnsi="Times New Roman"/>
          <w:sz w:val="11"/>
          <w:szCs w:val="11"/>
          <w:color w:val="auto"/>
        </w:rPr>
        <w:t>In connection with the Gloperba-Elyxyb Royalty Purchase Agreement and the Gloperba-Elyxyb Royalty Security Agreement, we entered into that certain Subordination Agreement, dated as of February 28, 2025 (the “Gloperba-Elyxyb Subordination Agreement”), by and among us, Scilex Pharma, the Gloperba-Elyxyb RPA Purchasers and Acquiom Agency Services LLC (the “Note Agent”). Pursuant to the Gloperba-Elyxyb Subordination Agreement, the parties agreed that all obligations, liabilities and indebtedness under the Gloperba-Elyxyb Royalty Purchase Agreement are secured by first priority liens on the collateral under the Gloperba-Elyxyb Royalty Security Agreement (the “Gloperba-Elyxyb Royalty Collateral”) and the Note Agent’s lien on the Gloperba-Elyxyb Royalty Collateral is subordinated and becomes a second priority lien.</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Amendment No. 1 to ZTlido Royalty Purchase Agreement</w:t>
      </w:r>
    </w:p>
    <w:p>
      <w:pPr>
        <w:spacing w:after="0" w:line="82" w:lineRule="exact"/>
        <w:rPr>
          <w:sz w:val="20"/>
          <w:szCs w:val="20"/>
          <w:color w:val="auto"/>
        </w:rPr>
      </w:pPr>
    </w:p>
    <w:p>
      <w:pPr>
        <w:ind w:left="2100" w:right="1019" w:firstLine="284"/>
        <w:spacing w:after="0" w:line="255" w:lineRule="auto"/>
        <w:rPr>
          <w:sz w:val="20"/>
          <w:szCs w:val="20"/>
          <w:color w:val="auto"/>
        </w:rPr>
      </w:pPr>
      <w:r>
        <w:rPr>
          <w:rFonts w:ascii="Times New Roman" w:cs="Times New Roman" w:eastAsia="Times New Roman" w:hAnsi="Times New Roman"/>
          <w:sz w:val="12"/>
          <w:szCs w:val="12"/>
          <w:color w:val="auto"/>
        </w:rPr>
        <w:t>On February 28, 2025, we and Scilex Pharma entered into an Amendment No. 1 to Purchase and Sale Agreement (the “ZTlido Royalty Amendment”) with the purchasers (the “ZTlido Royalty Purchasers”) under that certain Purchase and Sale Agreement, dated as of October 8, 2024 (the “ZTlido Royalty Purchase Agreement”). Pursuant to the ZTlido Royalty Amendment, we and Scilex Pharma may assign our respective rights or delegate our respective obligations under the ZTlido Royalty Purchase Agreement without the prior written consent of the Purchasers if we receive a commitment, contingent upon an asset purchase of Covered Products (as defined in the ZTlido Royalty Purchase Agreement), that would allow us to pay in full all obligations owed under the Debt Instruments (as defined therein), provided that such purchaser of Covered Products agrees to assume all of the obligations of our company and Scilex Pharma under the ZTlido Royalty Purchase Agreement.</w:t>
      </w:r>
    </w:p>
    <w:p>
      <w:pPr>
        <w:spacing w:after="0" w:line="1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Gloperba Rest of World License Agreement</w:t>
      </w:r>
    </w:p>
    <w:p>
      <w:pPr>
        <w:spacing w:after="0" w:line="82" w:lineRule="exact"/>
        <w:rPr>
          <w:sz w:val="20"/>
          <w:szCs w:val="20"/>
          <w:color w:val="auto"/>
        </w:rPr>
      </w:pPr>
    </w:p>
    <w:p>
      <w:pPr>
        <w:ind w:left="2100" w:right="1019" w:firstLine="284"/>
        <w:spacing w:after="0" w:line="257" w:lineRule="auto"/>
        <w:rPr>
          <w:sz w:val="20"/>
          <w:szCs w:val="20"/>
          <w:color w:val="auto"/>
        </w:rPr>
      </w:pPr>
      <w:r>
        <w:rPr>
          <w:rFonts w:ascii="Times New Roman" w:cs="Times New Roman" w:eastAsia="Times New Roman" w:hAnsi="Times New Roman"/>
          <w:sz w:val="12"/>
          <w:szCs w:val="12"/>
          <w:color w:val="auto"/>
        </w:rPr>
        <w:t>On February 28, 2025 (the “Effective Date”), we entered into a License Agreement (the “Gloperba License Agreement”) with Scilex Pharma and the Licensee with respect to (i) services, compositions, products, dosages and formulations comprising Gloperba that have been or are later developed by or on behalf of us, including the product and any future product defined as a “Licensed Product” under the Romeg License Agreement, as amended and as may be further amended or restated from time to time, and (ii) any related, improved, successor or replacement forms of any such product Controlled (as defined therein) by us ((i) and (ii) collectively, the “Gloperba Product”).</w:t>
      </w:r>
    </w:p>
    <w:p>
      <w:pPr>
        <w:spacing w:after="0" w:line="125" w:lineRule="exact"/>
        <w:rPr>
          <w:sz w:val="20"/>
          <w:szCs w:val="20"/>
          <w:color w:val="auto"/>
        </w:rPr>
      </w:pPr>
    </w:p>
    <w:p>
      <w:pPr>
        <w:ind w:left="2100" w:right="979" w:firstLine="284"/>
        <w:spacing w:after="0" w:line="253" w:lineRule="auto"/>
        <w:rPr>
          <w:sz w:val="20"/>
          <w:szCs w:val="20"/>
          <w:color w:val="auto"/>
        </w:rPr>
      </w:pPr>
      <w:r>
        <w:rPr>
          <w:rFonts w:ascii="Times New Roman" w:cs="Times New Roman" w:eastAsia="Times New Roman" w:hAnsi="Times New Roman"/>
          <w:sz w:val="12"/>
          <w:szCs w:val="12"/>
          <w:color w:val="auto"/>
        </w:rPr>
        <w:t>Under the Gloperba License Agreement, we granted to the Licensee during the Gloperba License Term (as defined below) a worldwide, exclusive, non-transferable (except in connection with a permitted assignment of the Gloperba License Agreement) right, license and interest in, to, and under all Product Rights Controlled (each as defined therein) by us to develop, manufacture, obtain and maintain regulatory approvals for, commercialize and otherwise exploit all Gloperba Products, in all cases solely for commercialization of the Gloperba Products outside of the United States in the Field (as defined therein). The Licensee granted to us a non-exclusive, non-transferable (except in connection with a permitted assignment of the Gloperba License Agreement), right and license under the Licensee Non-Blocking Patents (as defined therein) (i) in the United States, to develop, manufacture, obtain and maintain regulatory approvals for, commercialize and otherwise exploit Gloperba Product for commercialization of Gloperba Products in the United States in the Field (as defined therein), and (ii) worldwide, to develop and manufacture Gloperba Product for commercialization in the United States in the Field (as defined therein). Each of the Licensee and we will receive 50% of the Net Revenue (as defined therein) generated based on Licensee’s sale of the Gloperba Products, and the Licensee shall effect the foregoing by paying to us an amount required for us to receive its share of the Net Revenue on a quarterly basis.</w:t>
      </w:r>
    </w:p>
    <w:p>
      <w:pPr>
        <w:spacing w:after="0" w:line="128" w:lineRule="exact"/>
        <w:rPr>
          <w:sz w:val="20"/>
          <w:szCs w:val="20"/>
          <w:color w:val="auto"/>
        </w:rPr>
      </w:pPr>
    </w:p>
    <w:p>
      <w:pPr>
        <w:ind w:left="2100" w:right="1019" w:firstLine="284"/>
        <w:spacing w:after="0" w:line="279" w:lineRule="auto"/>
        <w:rPr>
          <w:sz w:val="20"/>
          <w:szCs w:val="20"/>
          <w:color w:val="auto"/>
        </w:rPr>
      </w:pPr>
      <w:r>
        <w:rPr>
          <w:rFonts w:ascii="Times New Roman" w:cs="Times New Roman" w:eastAsia="Times New Roman" w:hAnsi="Times New Roman"/>
          <w:sz w:val="12"/>
          <w:szCs w:val="12"/>
          <w:color w:val="auto"/>
        </w:rPr>
        <w:t>Pursuant to the Gloperba License Agreement, the Licensee shall obtain and maintain regulatory approval for the Gloperba Product outside of the United States in accordance with its own business judgment and in its sole and absolute discretion.</w:t>
      </w:r>
    </w:p>
    <w:p>
      <w:pPr>
        <w:spacing w:after="0" w:line="1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0159"/>
          </w:cols>
          <w:pgMar w:left="300" w:top="36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3727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70425" cy="3727450"/>
                    </a:xfrm>
                    <a:prstGeom prst="rect">
                      <a:avLst/>
                    </a:prstGeom>
                    <a:noFill/>
                  </pic:spPr>
                </pic:pic>
              </a:graphicData>
            </a:graphic>
          </wp:anchor>
        </w:drawing>
      </w:r>
    </w:p>
    <w:p>
      <w:pPr>
        <w:spacing w:after="0" w:line="314" w:lineRule="exact"/>
        <w:rPr>
          <w:sz w:val="20"/>
          <w:szCs w:val="20"/>
          <w:color w:val="auto"/>
        </w:rPr>
      </w:pPr>
    </w:p>
    <w:p>
      <w:pPr>
        <w:ind w:left="2100" w:right="999" w:firstLine="284"/>
        <w:spacing w:after="0" w:line="291" w:lineRule="auto"/>
        <w:rPr>
          <w:sz w:val="20"/>
          <w:szCs w:val="20"/>
          <w:color w:val="auto"/>
        </w:rPr>
      </w:pPr>
      <w:r>
        <w:rPr>
          <w:rFonts w:ascii="Times New Roman" w:cs="Times New Roman" w:eastAsia="Times New Roman" w:hAnsi="Times New Roman"/>
          <w:sz w:val="11"/>
          <w:szCs w:val="11"/>
          <w:color w:val="auto"/>
        </w:rPr>
        <w:t>Promptly after the Effective Date, we are required to (i) facilitate an introduction between the Licensee and our contract manufacturer of the Gloperba Product (the “Gloperba CMO”) as of the Effective Date, and (ii) use reasonable efforts to cause such Gloperba CMO to accept a direct engagement with the Licensee for the manufacturing or supply of the Gloperba Product in finished dosage form. In addition, we agreed to appoint the Licensee as its exclusive distributor of the Gloperba Product in the entire world other than the United States during the Gloperba License Term.</w:t>
      </w:r>
    </w:p>
    <w:p>
      <w:pPr>
        <w:spacing w:after="0" w:line="107" w:lineRule="exact"/>
        <w:rPr>
          <w:sz w:val="20"/>
          <w:szCs w:val="20"/>
          <w:color w:val="auto"/>
        </w:rPr>
      </w:pPr>
    </w:p>
    <w:p>
      <w:pPr>
        <w:ind w:left="2100" w:right="1079" w:firstLine="284"/>
        <w:spacing w:after="0" w:line="279" w:lineRule="auto"/>
        <w:rPr>
          <w:sz w:val="20"/>
          <w:szCs w:val="20"/>
          <w:color w:val="auto"/>
        </w:rPr>
      </w:pPr>
      <w:r>
        <w:rPr>
          <w:rFonts w:ascii="Times New Roman" w:cs="Times New Roman" w:eastAsia="Times New Roman" w:hAnsi="Times New Roman"/>
          <w:sz w:val="12"/>
          <w:szCs w:val="12"/>
          <w:color w:val="auto"/>
        </w:rPr>
        <w:t>The term of the Gloperba License Agreement commences on the Effective Date and continues until expiration of the last to expire Licensed Patents (as defined therein), unless earlier terminated (the “Gloperba License Term”).</w:t>
      </w:r>
    </w:p>
    <w:p>
      <w:pPr>
        <w:spacing w:after="0" w:line="1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Bid Price Deficiency &amp; Reverse Split</w:t>
      </w:r>
    </w:p>
    <w:p>
      <w:pPr>
        <w:spacing w:after="0" w:line="8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2"/>
          <w:szCs w:val="12"/>
          <w:color w:val="auto"/>
        </w:rPr>
        <w:t>On November 1, 2024, we received a letter (the “Notice”) from Nasdaq notifying the Company that, because the closing bid price for its</w:t>
      </w:r>
    </w:p>
    <w:p>
      <w:pPr>
        <w:spacing w:after="0" w:line="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Common Stock has been below $1.00 per share for 30 consecutive business days, it did not comply with the minimum bid price requirement for</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continued listing on The Nasdaq Capital Market. Nasdaq Listing Rule 5550(a)(2) requires listed securities to maintain a minimum bid price of</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$1.00 per share (the “Minimum Bid Price Requirement”), and Nasdaq Listing Rule 5810(c)(3)(A) provides that a failure to meet the Minimum Bid</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Price Requirement exists if the deficiency continues for a period of 30 consecutive business days. The Notice also indicated that the Company had</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180 calendar days, or until April 30, 2025 (the “Compliance Period”), to regain compliance pursuant to Nasdaq Listing Rule 5810(c)(3)(A).</w:t>
      </w:r>
    </w:p>
    <w:p>
      <w:pPr>
        <w:spacing w:after="0" w:line="139" w:lineRule="exact"/>
        <w:rPr>
          <w:sz w:val="20"/>
          <w:szCs w:val="20"/>
          <w:color w:val="auto"/>
        </w:rPr>
      </w:pPr>
    </w:p>
    <w:p>
      <w:pPr>
        <w:ind w:left="2100" w:right="999" w:firstLine="284"/>
        <w:spacing w:after="0" w:line="291" w:lineRule="auto"/>
        <w:rPr>
          <w:sz w:val="20"/>
          <w:szCs w:val="20"/>
          <w:color w:val="auto"/>
        </w:rPr>
      </w:pPr>
      <w:r>
        <w:rPr>
          <w:rFonts w:ascii="Times New Roman" w:cs="Times New Roman" w:eastAsia="Times New Roman" w:hAnsi="Times New Roman"/>
          <w:sz w:val="11"/>
          <w:szCs w:val="11"/>
          <w:color w:val="auto"/>
        </w:rPr>
        <w:t>On March 19, 2025 at a special meeting of our stockholders, our stockholders approved the amendment of our Certificate of Incorporation to effect a reverse stock split within a range of 1-for-14 to 1-for-50, with such ratio to be determined ultimately by the Board. On April 3, 2025, the Board approved the Reverse Stock Split ratio of 1-for-35. The Company effected the Reverse Stock Split on April 15, 2025 in order to demonstrate compliance with Nasdaq’s Minimum Bid Price Requirement prior to the end of the Compliance Period, in accordance with Nasdaq rules.</w:t>
      </w:r>
    </w:p>
    <w:p>
      <w:pPr>
        <w:spacing w:after="0" w:line="35" w:lineRule="exact"/>
        <w:rPr>
          <w:sz w:val="20"/>
          <w:szCs w:val="20"/>
          <w:color w:val="auto"/>
        </w:rPr>
      </w:pPr>
    </w:p>
    <w:p>
      <w:pPr>
        <w:ind w:left="2100" w:right="979" w:firstLine="284"/>
        <w:spacing w:after="0" w:line="253" w:lineRule="auto"/>
        <w:rPr>
          <w:sz w:val="20"/>
          <w:szCs w:val="20"/>
          <w:color w:val="auto"/>
        </w:rPr>
      </w:pPr>
      <w:r>
        <w:rPr>
          <w:rFonts w:ascii="Times New Roman" w:cs="Times New Roman" w:eastAsia="Times New Roman" w:hAnsi="Times New Roman"/>
          <w:sz w:val="12"/>
          <w:szCs w:val="12"/>
          <w:color w:val="auto"/>
        </w:rPr>
        <w:t>As a result of the Reverse Stock Split, the Company’s outstanding Common Stock was reduced from approximately 243,312,885 shares to approximately 6,951,671 shares, based on the number of shares of Common Stock outstanding as of April 14, 2025. Unless indicated otherwise, all share and per share information presented in this prospectus reflects the completion of the Reverse Stock Split. The Company’s historical financial statements included in this prospectus do not reflect the Reverse Stock Split. No fractional shares were issued in connection with the Reverse Stock Split. Instead, each fractional share remaining after completion of the reverse share split that was less than a whole share was rounded down and canceled in exchange for an amount in cash (without interest or deduction) equal to the fraction of one share to which such stockholder would otherwise be entitled multiplied by the closing price of the Common Stock on The Nasdaq Capital Market on the last trading day immediately preceding the effectiveness of the Reverse Stock Split. The Reverse Stock Split was applied to all the Company’s outstanding Common Stock and therefore did not affect any shareholder’s ownership percentage of the shares, except for changes as a result of the elimination of fractional shares. The Reverse Stock Split did not alter the voting rights attached to the shares. On April 30, 2025, the Company received notice from Nasdaq that it had regained compliance with the Minimum Bid Price Requirement under Nasdaq Listing Rule 5550(a)(2).</w:t>
      </w:r>
    </w:p>
    <w:p>
      <w:pPr>
        <w:spacing w:after="0" w:line="19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Emerging Growth Company</w:t>
      </w:r>
    </w:p>
    <w:p>
      <w:pPr>
        <w:spacing w:after="0" w:line="82" w:lineRule="exact"/>
        <w:rPr>
          <w:sz w:val="20"/>
          <w:szCs w:val="20"/>
          <w:color w:val="auto"/>
        </w:rPr>
      </w:pPr>
    </w:p>
    <w:p>
      <w:pPr>
        <w:ind w:left="2100" w:right="1139" w:firstLine="284"/>
        <w:spacing w:after="0" w:line="260" w:lineRule="auto"/>
        <w:rPr>
          <w:sz w:val="20"/>
          <w:szCs w:val="20"/>
          <w:color w:val="auto"/>
        </w:rPr>
      </w:pPr>
      <w:r>
        <w:rPr>
          <w:rFonts w:ascii="Times New Roman" w:cs="Times New Roman" w:eastAsia="Times New Roman" w:hAnsi="Times New Roman"/>
          <w:sz w:val="12"/>
          <w:szCs w:val="12"/>
          <w:color w:val="auto"/>
        </w:rPr>
        <w:t>We are an “emerging growth company,” as defined in Section 2(a) of the Securities Act, as modified by the JOBS Act. As an emerging growth company, we are eligible to take advantage of certain exemptions from various reporting requirements that are applicable to other public companies that are not emerging growth companies, including, but not limited to, not being required to comply with the auditor attestation requirements</w:t>
      </w: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0159"/>
          </w:cols>
          <w:pgMar w:left="300" w:top="36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385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4" w:lineRule="exact"/>
        <w:rPr>
          <w:sz w:val="20"/>
          <w:szCs w:val="20"/>
          <w:color w:val="auto"/>
        </w:rPr>
      </w:pPr>
    </w:p>
    <w:p>
      <w:pPr>
        <w:ind w:left="2100" w:right="1179"/>
        <w:spacing w:after="0" w:line="265" w:lineRule="auto"/>
        <w:rPr>
          <w:sz w:val="20"/>
          <w:szCs w:val="20"/>
          <w:color w:val="auto"/>
        </w:rPr>
      </w:pPr>
      <w:r>
        <w:rPr>
          <w:rFonts w:ascii="Times New Roman" w:cs="Times New Roman" w:eastAsia="Times New Roman" w:hAnsi="Times New Roman"/>
          <w:sz w:val="12"/>
          <w:szCs w:val="12"/>
          <w:color w:val="auto"/>
        </w:rPr>
        <w:t>of Section 404 of the Sarbanes-Oxley Act of 2002, as amended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19" w:lineRule="exact"/>
        <w:rPr>
          <w:sz w:val="20"/>
          <w:szCs w:val="20"/>
          <w:color w:val="auto"/>
        </w:rPr>
      </w:pPr>
    </w:p>
    <w:p>
      <w:pPr>
        <w:ind w:left="2100" w:right="1059" w:firstLine="284"/>
        <w:spacing w:after="0" w:line="253" w:lineRule="auto"/>
        <w:rPr>
          <w:sz w:val="20"/>
          <w:szCs w:val="20"/>
          <w:color w:val="auto"/>
        </w:rPr>
      </w:pPr>
      <w:r>
        <w:rPr>
          <w:rFonts w:ascii="Times New Roman" w:cs="Times New Roman" w:eastAsia="Times New Roman" w:hAnsi="Times New Roman"/>
          <w:sz w:val="12"/>
          <w:szCs w:val="12"/>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w:t>
      </w:r>
    </w:p>
    <w:p>
      <w:pPr>
        <w:spacing w:after="0" w:line="1" w:lineRule="exact"/>
        <w:rPr>
          <w:sz w:val="20"/>
          <w:szCs w:val="20"/>
          <w:color w:val="auto"/>
        </w:rPr>
      </w:pPr>
    </w:p>
    <w:p>
      <w:pPr>
        <w:ind w:left="2100" w:right="1079"/>
        <w:spacing w:after="0" w:line="253" w:lineRule="auto"/>
        <w:rPr>
          <w:sz w:val="20"/>
          <w:szCs w:val="20"/>
          <w:color w:val="auto"/>
        </w:rPr>
      </w:pPr>
      <w:r>
        <w:rPr>
          <w:rFonts w:ascii="Times New Roman" w:cs="Times New Roman" w:eastAsia="Times New Roman" w:hAnsi="Times New Roman"/>
          <w:sz w:val="12"/>
          <w:szCs w:val="12"/>
          <w:color w:val="auto"/>
        </w:rPr>
        <w:t>U.S. generally accepted accounting principles or their interpretation, the adoption of new guidance or the application of existing guidance to changes in our business could significantly affect our business, financial condition and results of operations. In addition, we are in the process of evaluating the benefits of relying on the other exemptions and reduced reporting requirements provided by the JOBS Act, as more fully described in the section of this prospectus titled “</w:t>
      </w:r>
      <w:r>
        <w:rPr>
          <w:rFonts w:ascii="Times New Roman" w:cs="Times New Roman" w:eastAsia="Times New Roman" w:hAnsi="Times New Roman"/>
          <w:sz w:val="12"/>
          <w:szCs w:val="12"/>
          <w:i w:val="1"/>
          <w:iCs w:val="1"/>
          <w:color w:val="auto"/>
        </w:rPr>
        <w:t>Management’s Discussion and Analysis of Financial Condition and Results of Operations — Emerging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Growth Company</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2100" w:right="1019" w:firstLine="284"/>
        <w:spacing w:after="0" w:line="284" w:lineRule="auto"/>
        <w:rPr>
          <w:sz w:val="20"/>
          <w:szCs w:val="20"/>
          <w:color w:val="auto"/>
        </w:rPr>
      </w:pPr>
      <w:r>
        <w:rPr>
          <w:rFonts w:ascii="Times New Roman" w:cs="Times New Roman" w:eastAsia="Times New Roman" w:hAnsi="Times New Roman"/>
          <w:sz w:val="11"/>
          <w:szCs w:val="11"/>
          <w:color w:val="auto"/>
        </w:rPr>
        <w:t>We will remain an emerging growth company until the earlier of: (i) the last day of the fiscal year (a) following the fifth anniversary of the closing of the initial public offering of 13,800,000 Units (on a pre-Reverse Stock Split basis) of Vickers consummated on January 11, 2021 (the “IPO”), (b) in which we have total annual gross revenue of at least $1.235 billion, or (c) in which we are deemed to be a large accelerated filer, which means the market value of our common equity that is held by non-affiliates equals or exceeds $700 million as of the last business day of our most recently completed second fiscal quarter; and (ii) the date on which we have issued more than $1.0 billion in non-convertible debt securities during the prior three-year period. References herein to “emerging growth company” have the meaning associated with it in the JOBS Act.</w:t>
      </w:r>
    </w:p>
    <w:p>
      <w:pPr>
        <w:spacing w:after="0" w:line="1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Summary Risk Factors</w:t>
      </w:r>
    </w:p>
    <w:p>
      <w:pPr>
        <w:spacing w:after="0" w:line="7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Limited Operating History, Financial Condition and Capital Requirements</w:t>
      </w:r>
    </w:p>
    <w:p>
      <w:pPr>
        <w:spacing w:after="0" w:line="91" w:lineRule="exact"/>
        <w:rPr>
          <w:sz w:val="20"/>
          <w:szCs w:val="20"/>
          <w:color w:val="auto"/>
        </w:rPr>
      </w:pPr>
    </w:p>
    <w:p>
      <w:pPr>
        <w:ind w:left="2720" w:right="1039" w:hanging="275"/>
        <w:spacing w:after="0" w:line="265" w:lineRule="auto"/>
        <w:tabs>
          <w:tab w:leader="none" w:pos="27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currently have three commercial products, ZTlido, ELYXYB and GLOPERBA; but we are currently heavily dependent on the commercial success of ZTlido, as ELYXYB and GLOPERBA are in the initial stages of commercialization, and we may be unable to generate sufficient revenue to support our operations.</w:t>
      </w:r>
    </w:p>
    <w:p>
      <w:pPr>
        <w:spacing w:after="0" w:line="55" w:lineRule="exact"/>
        <w:rPr>
          <w:rFonts w:ascii="Times New Roman" w:cs="Times New Roman" w:eastAsia="Times New Roman" w:hAnsi="Times New Roman"/>
          <w:sz w:val="12"/>
          <w:szCs w:val="12"/>
          <w:color w:val="auto"/>
        </w:rPr>
      </w:pPr>
    </w:p>
    <w:p>
      <w:pPr>
        <w:ind w:left="2720" w:right="1459" w:hanging="275"/>
        <w:spacing w:after="0" w:line="279" w:lineRule="auto"/>
        <w:tabs>
          <w:tab w:leader="none" w:pos="27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limited operating history and have incurred significant losses since our inception. We anticipate that we will incur continued losses for the foreseeable future.</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Oramed Note and the Tranche B Notes place restrictions on our operating and financial flexibility.</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require substantial additional funding, which may not be available to us on acceptable terms, or at all.</w:t>
      </w:r>
    </w:p>
    <w:p>
      <w:pPr>
        <w:spacing w:after="0" w:line="87"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generate sufficient cash to service our indebtedness and other liquidity needs.</w:t>
      </w:r>
    </w:p>
    <w:p>
      <w:pPr>
        <w:spacing w:after="0" w:line="87" w:lineRule="exact"/>
        <w:rPr>
          <w:rFonts w:ascii="Times New Roman" w:cs="Times New Roman" w:eastAsia="Times New Roman" w:hAnsi="Times New Roman"/>
          <w:sz w:val="12"/>
          <w:szCs w:val="12"/>
          <w:color w:val="auto"/>
        </w:rPr>
      </w:pPr>
    </w:p>
    <w:p>
      <w:pPr>
        <w:ind w:left="2720" w:right="1279" w:hanging="275"/>
        <w:spacing w:after="0" w:line="279" w:lineRule="auto"/>
        <w:tabs>
          <w:tab w:leader="none" w:pos="27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recurring losses from operations, negative cash flows and substantial cumulative net losses raise substantial doubt about our ability to continue as a going concern.</w:t>
      </w:r>
    </w:p>
    <w:p>
      <w:pPr>
        <w:spacing w:after="0" w:line="1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0159"/>
          </w:cols>
          <w:pgMar w:left="300" w:top="36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4104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70425" cy="4104640"/>
                    </a:xfrm>
                    <a:prstGeom prst="rect">
                      <a:avLst/>
                    </a:prstGeom>
                    <a:noFill/>
                  </pic:spPr>
                </pic:pic>
              </a:graphicData>
            </a:graphic>
          </wp:anchor>
        </w:drawing>
      </w:r>
    </w:p>
    <w:p>
      <w:pPr>
        <w:spacing w:after="0" w:line="3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Commercial Operations and Product Development</w:t>
      </w:r>
    </w:p>
    <w:p>
      <w:pPr>
        <w:spacing w:after="0" w:line="91" w:lineRule="exact"/>
        <w:rPr>
          <w:sz w:val="20"/>
          <w:szCs w:val="20"/>
          <w:color w:val="auto"/>
        </w:rPr>
      </w:pPr>
    </w:p>
    <w:p>
      <w:pPr>
        <w:ind w:left="2720" w:right="1079" w:hanging="275"/>
        <w:spacing w:after="0" w:line="260" w:lineRule="auto"/>
        <w:tabs>
          <w:tab w:leader="none" w:pos="27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obtain, or historically have obtained, our commercial supply of certain of our products, the clinical supply of our product candidates and certain of the raw materials used in our product candidates from sole or single source suppliers and manufacturers. In the event of a loss of one of these suppliers or manufacturers, or a failure by any such supplier or manufacturer to comply with FDA regulations, we may not be able to find an alternative source on commercially reasonable terms, or at all.</w:t>
      </w:r>
    </w:p>
    <w:p>
      <w:pPr>
        <w:spacing w:after="0" w:line="59" w:lineRule="exact"/>
        <w:rPr>
          <w:rFonts w:ascii="Times New Roman" w:cs="Times New Roman" w:eastAsia="Times New Roman" w:hAnsi="Times New Roman"/>
          <w:sz w:val="12"/>
          <w:szCs w:val="12"/>
          <w:color w:val="auto"/>
        </w:rPr>
      </w:pPr>
    </w:p>
    <w:p>
      <w:pPr>
        <w:ind w:left="2720" w:right="979" w:hanging="275"/>
        <w:spacing w:after="0" w:line="265" w:lineRule="auto"/>
        <w:tabs>
          <w:tab w:leader="none" w:pos="27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product candidates.</w:t>
      </w:r>
    </w:p>
    <w:p>
      <w:pPr>
        <w:spacing w:after="0" w:line="55" w:lineRule="exact"/>
        <w:rPr>
          <w:rFonts w:ascii="Times New Roman" w:cs="Times New Roman" w:eastAsia="Times New Roman" w:hAnsi="Times New Roman"/>
          <w:sz w:val="12"/>
          <w:szCs w:val="12"/>
          <w:color w:val="auto"/>
        </w:rPr>
      </w:pPr>
    </w:p>
    <w:p>
      <w:pPr>
        <w:jc w:val="both"/>
        <w:ind w:left="2720" w:right="1179" w:hanging="275"/>
        <w:spacing w:after="0" w:line="265" w:lineRule="auto"/>
        <w:tabs>
          <w:tab w:leader="none" w:pos="27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5" w:lineRule="exact"/>
        <w:rPr>
          <w:rFonts w:ascii="Times New Roman" w:cs="Times New Roman" w:eastAsia="Times New Roman" w:hAnsi="Times New Roman"/>
          <w:sz w:val="12"/>
          <w:szCs w:val="12"/>
          <w:color w:val="auto"/>
        </w:rPr>
      </w:pPr>
    </w:p>
    <w:p>
      <w:pPr>
        <w:ind w:left="2720" w:right="1119" w:hanging="275"/>
        <w:spacing w:after="0" w:line="279" w:lineRule="auto"/>
        <w:tabs>
          <w:tab w:leader="none" w:pos="27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ZTlido, GLOPERBA and ELYXYB may have undesirable properties that could result in significant negative consequences, and our product candidates may cause undesirable side effects that could delay or prevent their regulatory approval.</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Business and Operations</w:t>
      </w:r>
    </w:p>
    <w:p>
      <w:pPr>
        <w:spacing w:after="0" w:line="91" w:lineRule="exact"/>
        <w:rPr>
          <w:sz w:val="20"/>
          <w:szCs w:val="20"/>
          <w:color w:val="auto"/>
        </w:rPr>
      </w:pPr>
    </w:p>
    <w:p>
      <w:pPr>
        <w:ind w:left="2720" w:right="1199" w:hanging="275"/>
        <w:spacing w:after="0" w:line="279" w:lineRule="auto"/>
        <w:tabs>
          <w:tab w:leader="none" w:pos="27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retain our key executives, it may delay our development efforts and harm our business, financial condition and results of operations.</w:t>
      </w:r>
    </w:p>
    <w:p>
      <w:pPr>
        <w:spacing w:after="0" w:line="48" w:lineRule="exact"/>
        <w:rPr>
          <w:rFonts w:ascii="Times New Roman" w:cs="Times New Roman" w:eastAsia="Times New Roman" w:hAnsi="Times New Roman"/>
          <w:sz w:val="12"/>
          <w:szCs w:val="12"/>
          <w:color w:val="auto"/>
        </w:rPr>
      </w:pPr>
    </w:p>
    <w:p>
      <w:pPr>
        <w:ind w:left="2720" w:right="1339" w:hanging="275"/>
        <w:spacing w:after="0" w:line="279" w:lineRule="auto"/>
        <w:tabs>
          <w:tab w:leader="none" w:pos="27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disruption in our research and development facilities could adversely affect our business, financial condition and results of operations.</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Intellectual Property</w:t>
      </w:r>
    </w:p>
    <w:p>
      <w:pPr>
        <w:spacing w:after="0" w:line="91" w:lineRule="exact"/>
        <w:rPr>
          <w:sz w:val="20"/>
          <w:szCs w:val="20"/>
          <w:color w:val="auto"/>
        </w:rPr>
      </w:pPr>
    </w:p>
    <w:p>
      <w:pPr>
        <w:ind w:left="2720" w:right="1019" w:hanging="275"/>
        <w:spacing w:after="0" w:line="265"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substantially dependent on the intellectual property we in-license from Oishi and Itochu, and if we lose the right to license such intellectual property or if the Product Development Agreement is terminated for any reason, our ability to commercialize ZTlido and develop and commercialize SP-103 would be harmed.</w:t>
      </w:r>
    </w:p>
    <w:p>
      <w:pPr>
        <w:spacing w:after="0" w:line="55" w:lineRule="exact"/>
        <w:rPr>
          <w:rFonts w:ascii="Times New Roman" w:cs="Times New Roman" w:eastAsia="Times New Roman" w:hAnsi="Times New Roman"/>
          <w:sz w:val="12"/>
          <w:szCs w:val="12"/>
          <w:color w:val="auto"/>
        </w:rPr>
      </w:pPr>
    </w:p>
    <w:p>
      <w:pPr>
        <w:ind w:left="2720" w:right="1079" w:hanging="275"/>
        <w:spacing w:after="0" w:line="265"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party to the Romeg License Agreement for the in-licensing of certain intellectual property rights from Romeg with respect to the commercialization of GLOPERBA, and if we lose the right to license such intellectual property or if the Romeg License Agreement is terminated for any reason, our ability to commercialize GLOPERBA would be harmed.</w:t>
      </w:r>
    </w:p>
    <w:p>
      <w:pPr>
        <w:spacing w:after="0" w:line="55" w:lineRule="exact"/>
        <w:rPr>
          <w:rFonts w:ascii="Times New Roman" w:cs="Times New Roman" w:eastAsia="Times New Roman" w:hAnsi="Times New Roman"/>
          <w:sz w:val="12"/>
          <w:szCs w:val="12"/>
          <w:color w:val="auto"/>
        </w:rPr>
      </w:pPr>
    </w:p>
    <w:p>
      <w:pPr>
        <w:ind w:left="2720" w:right="1119" w:hanging="275"/>
        <w:spacing w:after="0" w:line="279" w:lineRule="auto"/>
        <w:tabs>
          <w:tab w:leader="none" w:pos="27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unable to maintain patent protection for ZTlido, GLOPERBA, ELYXYB and our product candidates, or if the scope of the patent protection obtained is not sufficiently broad, we may not be able to compete effectively in our markets.</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Government Regulations</w:t>
      </w:r>
    </w:p>
    <w:p>
      <w:pPr>
        <w:spacing w:after="0" w:line="91" w:lineRule="exact"/>
        <w:rPr>
          <w:sz w:val="20"/>
          <w:szCs w:val="20"/>
          <w:color w:val="auto"/>
        </w:rPr>
      </w:pPr>
    </w:p>
    <w:p>
      <w:pPr>
        <w:ind w:left="2720" w:right="1079" w:hanging="275"/>
        <w:spacing w:after="0" w:line="257" w:lineRule="auto"/>
        <w:tabs>
          <w:tab w:leader="none" w:pos="27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20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0159"/>
          </w:cols>
          <w:pgMar w:left="300" w:top="36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2967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70425" cy="2967355"/>
                    </a:xfrm>
                    <a:prstGeom prst="rect">
                      <a:avLst/>
                    </a:prstGeom>
                    <a:noFill/>
                  </pic:spPr>
                </pic:pic>
              </a:graphicData>
            </a:graphic>
          </wp:anchor>
        </w:drawing>
      </w:r>
    </w:p>
    <w:p>
      <w:pPr>
        <w:spacing w:after="0" w:line="314" w:lineRule="exact"/>
        <w:rPr>
          <w:sz w:val="20"/>
          <w:szCs w:val="20"/>
          <w:color w:val="auto"/>
        </w:rPr>
      </w:pPr>
    </w:p>
    <w:p>
      <w:pPr>
        <w:ind w:left="2720" w:right="1159" w:hanging="275"/>
        <w:spacing w:after="0" w:line="279" w:lineRule="auto"/>
        <w:tabs>
          <w:tab w:leader="none" w:pos="27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approved product candidate will be subject to ongoing and continued regulatory requirements, which may result in significant expense and limit our ability to commercialize such products.</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our Relationship with Sorrento</w:t>
      </w:r>
    </w:p>
    <w:p>
      <w:pPr>
        <w:spacing w:after="0" w:line="91" w:lineRule="exact"/>
        <w:rPr>
          <w:sz w:val="20"/>
          <w:szCs w:val="20"/>
          <w:color w:val="auto"/>
        </w:rPr>
      </w:pPr>
    </w:p>
    <w:p>
      <w:pPr>
        <w:ind w:left="2720" w:right="1219" w:hanging="275"/>
        <w:spacing w:after="0" w:line="260" w:lineRule="auto"/>
        <w:tabs>
          <w:tab w:leader="none" w:pos="27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Sorrento previously supported many of our important corporate functions. Accordingly, our historical consolidated financial statements may not necessarily be indicative of the conditions that would have existed or our results of operations if we had been operated as an unaffiliated company of Sorrento, and we have and will continue to incur incremental costs as a stand-alone public company.</w:t>
      </w:r>
    </w:p>
    <w:p>
      <w:pPr>
        <w:spacing w:after="0" w:line="19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i w:val="1"/>
          <w:iCs w:val="1"/>
          <w:color w:val="auto"/>
        </w:rPr>
        <w:t>Risks Related to Ownership of our Common Stock</w:t>
      </w:r>
    </w:p>
    <w:p>
      <w:pPr>
        <w:spacing w:after="0" w:line="91" w:lineRule="exact"/>
        <w:rPr>
          <w:sz w:val="20"/>
          <w:szCs w:val="20"/>
          <w:color w:val="auto"/>
        </w:rPr>
      </w:pPr>
    </w:p>
    <w:p>
      <w:pPr>
        <w:ind w:left="2720" w:right="1139" w:hanging="275"/>
        <w:spacing w:after="0" w:line="279" w:lineRule="auto"/>
        <w:tabs>
          <w:tab w:leader="none" w:pos="27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operations and performance do not meet the expectations of investors or securities analysts, the market price of our securities may decline.</w:t>
      </w:r>
    </w:p>
    <w:p>
      <w:pPr>
        <w:spacing w:after="0" w:line="48" w:lineRule="exact"/>
        <w:rPr>
          <w:rFonts w:ascii="Times New Roman" w:cs="Times New Roman" w:eastAsia="Times New Roman" w:hAnsi="Times New Roman"/>
          <w:sz w:val="12"/>
          <w:szCs w:val="12"/>
          <w:color w:val="auto"/>
        </w:rPr>
      </w:pPr>
    </w:p>
    <w:p>
      <w:pPr>
        <w:ind w:left="2720" w:right="1099" w:hanging="275"/>
        <w:spacing w:after="0" w:line="279" w:lineRule="auto"/>
        <w:tabs>
          <w:tab w:leader="none" w:pos="27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an emerging growth company, and we cannot be certain if the reduced reporting requirements applicable to emerging growth companies will make our Common Stock less attractive to investors.</w:t>
      </w:r>
    </w:p>
    <w:p>
      <w:pPr>
        <w:spacing w:after="0" w:line="1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Corporate Information</w:t>
      </w:r>
    </w:p>
    <w:p>
      <w:pPr>
        <w:spacing w:after="0" w:line="82" w:lineRule="exact"/>
        <w:rPr>
          <w:sz w:val="20"/>
          <w:szCs w:val="20"/>
          <w:color w:val="auto"/>
        </w:rPr>
      </w:pPr>
    </w:p>
    <w:p>
      <w:pPr>
        <w:ind w:left="2100" w:right="1079" w:firstLine="284"/>
        <w:spacing w:after="0" w:line="257" w:lineRule="auto"/>
        <w:rPr>
          <w:sz w:val="20"/>
          <w:szCs w:val="20"/>
          <w:color w:val="auto"/>
        </w:rPr>
      </w:pPr>
      <w:r>
        <w:rPr>
          <w:rFonts w:ascii="Times New Roman" w:cs="Times New Roman" w:eastAsia="Times New Roman" w:hAnsi="Times New Roman"/>
          <w:sz w:val="12"/>
          <w:szCs w:val="12"/>
          <w:color w:val="auto"/>
        </w:rPr>
        <w:t>We were incorporated under the name “Vickers Vantage Corp. I” on February 21, 2020 as a Cayman Islands exempted company for the purpose of effecting a merger, share exchange, asset acquisition, share purchase, reorganization or similar business combination with one or more businesses or entities. On November 9, 2022, we changed our jurisdiction of incorporation by deregistering as a Cayman Islands exempted company and continuing and domesticating as a corporation incorporated under the laws of the State of Delaware. On November 9, 2022, we changed our name to “Scilex Holding Company”.</w:t>
      </w:r>
    </w:p>
    <w:p>
      <w:pPr>
        <w:spacing w:after="0" w:line="125" w:lineRule="exact"/>
        <w:rPr>
          <w:sz w:val="20"/>
          <w:szCs w:val="20"/>
          <w:color w:val="auto"/>
        </w:rPr>
      </w:pPr>
    </w:p>
    <w:p>
      <w:pPr>
        <w:ind w:left="2100" w:right="999" w:firstLine="284"/>
        <w:spacing w:after="0" w:line="286" w:lineRule="auto"/>
        <w:rPr>
          <w:sz w:val="20"/>
          <w:szCs w:val="20"/>
          <w:color w:val="auto"/>
        </w:rPr>
      </w:pPr>
      <w:r>
        <w:rPr>
          <w:rFonts w:ascii="Times New Roman" w:cs="Times New Roman" w:eastAsia="Times New Roman" w:hAnsi="Times New Roman"/>
          <w:sz w:val="11"/>
          <w:szCs w:val="11"/>
          <w:color w:val="auto"/>
        </w:rPr>
        <w:t xml:space="preserve">Our principal executive offices are located at 960 San Antonio Road, Palo Alto, California 94303, and our telephone number is (650) 516-4310. Our website address is </w:t>
      </w:r>
      <w:r>
        <w:rPr>
          <w:rFonts w:ascii="Times New Roman" w:cs="Times New Roman" w:eastAsia="Times New Roman" w:hAnsi="Times New Roman"/>
          <w:sz w:val="11"/>
          <w:szCs w:val="11"/>
          <w:i w:val="1"/>
          <w:iCs w:val="1"/>
          <w:color w:val="auto"/>
        </w:rPr>
        <w:t>www.scilexholding.com</w:t>
      </w:r>
      <w:r>
        <w:rPr>
          <w:rFonts w:ascii="Times New Roman" w:cs="Times New Roman" w:eastAsia="Times New Roman" w:hAnsi="Times New Roman"/>
          <w:sz w:val="11"/>
          <w:szCs w:val="11"/>
          <w:color w:val="auto"/>
        </w:rPr>
        <w:t xml:space="preserve">.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1"/>
          <w:szCs w:val="11"/>
          <w:i w:val="1"/>
          <w:iCs w:val="1"/>
          <w:color w:val="auto"/>
        </w:rPr>
        <w:t>http://www.sec.gov.</w:t>
      </w:r>
    </w:p>
    <w:p>
      <w:pPr>
        <w:spacing w:after="0" w:line="1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0159"/>
          </w:cols>
          <w:pgMar w:left="300" w:top="36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4076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670425" cy="4076065"/>
                    </a:xfrm>
                    <a:prstGeom prst="rect">
                      <a:avLst/>
                    </a:prstGeom>
                    <a:noFill/>
                  </pic:spPr>
                </pic:pic>
              </a:graphicData>
            </a:graphic>
          </wp:anchor>
        </w:drawing>
      </w:r>
    </w:p>
    <w:p>
      <w:pPr>
        <w:spacing w:after="0" w:line="310"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2"/>
          <w:szCs w:val="12"/>
          <w:b w:val="1"/>
          <w:bCs w:val="1"/>
          <w:color w:val="auto"/>
        </w:rPr>
        <w:t>THE OFFERING</w:t>
      </w:r>
    </w:p>
    <w:p>
      <w:pPr>
        <w:spacing w:after="0" w:line="15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Issuance of Common Stock</w:t>
      </w:r>
    </w:p>
    <w:p>
      <w:pPr>
        <w:sectPr>
          <w:pgSz w:w="11900" w:h="16838" w:orient="portrait"/>
          <w:cols w:equalWidth="0" w:num="1">
            <w:col w:w="10159"/>
          </w:cols>
          <w:pgMar w:left="300" w:top="368" w:right="1440" w:bottom="1440" w:gutter="0" w:footer="0" w:header="0"/>
        </w:sectPr>
      </w:pPr>
    </w:p>
    <w:p>
      <w:pPr>
        <w:spacing w:after="0" w:line="172" w:lineRule="exact"/>
        <w:rPr>
          <w:sz w:val="20"/>
          <w:szCs w:val="20"/>
          <w:color w:val="auto"/>
        </w:rPr>
      </w:pPr>
    </w:p>
    <w:p>
      <w:pPr>
        <w:jc w:val="both"/>
        <w:ind w:left="2100"/>
        <w:spacing w:after="0" w:line="327" w:lineRule="auto"/>
        <w:rPr>
          <w:sz w:val="20"/>
          <w:szCs w:val="20"/>
          <w:color w:val="auto"/>
        </w:rPr>
      </w:pPr>
      <w:r>
        <w:rPr>
          <w:rFonts w:ascii="Times New Roman" w:cs="Times New Roman" w:eastAsia="Times New Roman" w:hAnsi="Times New Roman"/>
          <w:sz w:val="11"/>
          <w:szCs w:val="11"/>
          <w:color w:val="auto"/>
        </w:rPr>
        <w:t>Shares of Common Stock offered by us (including exercise price and conversion price, as applicable)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3,593,288 shares of our Common Stock, consisting of:</w:t>
      </w:r>
    </w:p>
    <w:p>
      <w:pPr>
        <w:spacing w:after="0" w:line="321" w:lineRule="exact"/>
        <w:rPr>
          <w:sz w:val="20"/>
          <w:szCs w:val="20"/>
          <w:color w:val="auto"/>
        </w:rPr>
      </w:pPr>
    </w:p>
    <w:p>
      <w:pPr>
        <w:ind w:left="640" w:right="1019" w:hanging="278"/>
        <w:spacing w:after="0" w:line="283" w:lineRule="auto"/>
        <w:tabs>
          <w:tab w:leader="none" w:pos="620" w:val="left"/>
        </w:tabs>
        <w:rPr>
          <w:sz w:val="20"/>
          <w:szCs w:val="20"/>
          <w:color w:val="auto"/>
        </w:rPr>
      </w:pPr>
      <w:r>
        <w:rPr>
          <w:rFonts w:ascii="Times New Roman" w:cs="Times New Roman" w:eastAsia="Times New Roman" w:hAnsi="Times New Roman"/>
          <w:sz w:val="12"/>
          <w:szCs w:val="12"/>
          <w:color w:val="auto"/>
        </w:rPr>
        <w:t>(i).</w:t>
      </w:r>
      <w:r>
        <w:rPr>
          <w:sz w:val="20"/>
          <w:szCs w:val="20"/>
          <w:color w:val="auto"/>
        </w:rPr>
        <w:tab/>
      </w:r>
      <w:r>
        <w:rPr>
          <w:rFonts w:ascii="Times New Roman" w:cs="Times New Roman" w:eastAsia="Times New Roman" w:hAnsi="Times New Roman"/>
          <w:sz w:val="11"/>
          <w:szCs w:val="11"/>
          <w:color w:val="auto"/>
        </w:rPr>
        <w:t>122,132 shares of Common Stock issuable upon exercise of the warrants, issued in an underwritten offering consummated in March 2024, consisting of</w:t>
      </w:r>
    </w:p>
    <w:p>
      <w:pPr>
        <w:spacing w:after="0" w:line="1" w:lineRule="exact"/>
        <w:rPr>
          <w:sz w:val="20"/>
          <w:szCs w:val="20"/>
          <w:color w:val="auto"/>
        </w:rPr>
      </w:pPr>
    </w:p>
    <w:p>
      <w:pPr>
        <w:ind w:left="640" w:right="979" w:hanging="5"/>
        <w:spacing w:after="0" w:line="255" w:lineRule="auto"/>
        <w:tabs>
          <w:tab w:leader="none" w:pos="803"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108,686 shares having an exercise price of $59.50 per share and (b) 13,446 shares having an exercise price of $74.38 per share, in each case subject to adjustment as described in the applicable warrants;</w:t>
      </w:r>
    </w:p>
    <w:p>
      <w:pPr>
        <w:spacing w:after="0" w:line="143" w:lineRule="exact"/>
        <w:rPr>
          <w:sz w:val="20"/>
          <w:szCs w:val="20"/>
          <w:color w:val="auto"/>
        </w:rPr>
      </w:pPr>
    </w:p>
    <w:p>
      <w:pPr>
        <w:ind w:left="640" w:right="1099" w:hanging="278"/>
        <w:spacing w:after="0" w:line="280" w:lineRule="auto"/>
        <w:tabs>
          <w:tab w:leader="none" w:pos="620" w:val="left"/>
        </w:tabs>
        <w:rPr>
          <w:sz w:val="20"/>
          <w:szCs w:val="20"/>
          <w:color w:val="auto"/>
        </w:rPr>
      </w:pPr>
      <w:r>
        <w:rPr>
          <w:rFonts w:ascii="Times New Roman" w:cs="Times New Roman" w:eastAsia="Times New Roman" w:hAnsi="Times New Roman"/>
          <w:sz w:val="12"/>
          <w:szCs w:val="12"/>
          <w:color w:val="auto"/>
        </w:rPr>
        <w:t>(ii).</w:t>
      </w:r>
      <w:r>
        <w:rPr>
          <w:sz w:val="20"/>
          <w:szCs w:val="20"/>
          <w:color w:val="auto"/>
        </w:rPr>
        <w:tab/>
      </w:r>
      <w:r>
        <w:rPr>
          <w:rFonts w:ascii="Times New Roman" w:cs="Times New Roman" w:eastAsia="Times New Roman" w:hAnsi="Times New Roman"/>
          <w:sz w:val="11"/>
          <w:szCs w:val="11"/>
          <w:color w:val="auto"/>
        </w:rPr>
        <w:t>462,858 shares of Common Stock issuable upon exercise of the warrants, issued in a registered direct offering consummated in April 2024, consisting of (a) 428,572 shares having an exercise price of $38.50 per share and</w:t>
      </w:r>
    </w:p>
    <w:p>
      <w:pPr>
        <w:ind w:left="640" w:right="1119" w:hanging="5"/>
        <w:spacing w:after="0" w:line="260" w:lineRule="auto"/>
        <w:tabs>
          <w:tab w:leader="none" w:pos="81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34,286 shares having an exercise price of $43.75 per share, in each case subject to adjustment as described in the applicable warrants;</w:t>
      </w:r>
    </w:p>
    <w:p>
      <w:pPr>
        <w:spacing w:after="0" w:line="140" w:lineRule="exact"/>
        <w:rPr>
          <w:sz w:val="20"/>
          <w:szCs w:val="20"/>
          <w:color w:val="auto"/>
        </w:rPr>
      </w:pPr>
    </w:p>
    <w:p>
      <w:pPr>
        <w:ind w:left="640" w:right="1119" w:hanging="278"/>
        <w:spacing w:after="0" w:line="260" w:lineRule="auto"/>
        <w:rPr>
          <w:sz w:val="20"/>
          <w:szCs w:val="20"/>
          <w:color w:val="auto"/>
        </w:rPr>
      </w:pPr>
      <w:r>
        <w:rPr>
          <w:rFonts w:ascii="Times New Roman" w:cs="Times New Roman" w:eastAsia="Times New Roman" w:hAnsi="Times New Roman"/>
          <w:sz w:val="12"/>
          <w:szCs w:val="12"/>
          <w:color w:val="auto"/>
        </w:rPr>
        <w:t>(iii). 319,132 shares of Common Stock issuable upon exercise of the warrants, issued pursuant to the Securities Purchase Agreement, having a current exercise price of $36.40 per share, subject to adjustment as described in the warrants;</w:t>
      </w:r>
    </w:p>
    <w:p>
      <w:pPr>
        <w:spacing w:after="0" w:line="140" w:lineRule="exact"/>
        <w:rPr>
          <w:sz w:val="20"/>
          <w:szCs w:val="20"/>
          <w:color w:val="auto"/>
        </w:rPr>
      </w:pPr>
    </w:p>
    <w:p>
      <w:pPr>
        <w:ind w:left="640" w:right="979" w:hanging="278"/>
        <w:spacing w:after="0" w:line="260" w:lineRule="auto"/>
        <w:rPr>
          <w:sz w:val="20"/>
          <w:szCs w:val="20"/>
          <w:color w:val="auto"/>
        </w:rPr>
      </w:pPr>
      <w:r>
        <w:rPr>
          <w:rFonts w:ascii="Times New Roman" w:cs="Times New Roman" w:eastAsia="Times New Roman" w:hAnsi="Times New Roman"/>
          <w:sz w:val="12"/>
          <w:szCs w:val="12"/>
          <w:color w:val="auto"/>
        </w:rPr>
        <w:t>(iv). 914,823 shares of Common Stock issuable upon conversion of the senior convertible notes, issued pursuant to the Securities Purchase Agreement, having a current conversion price of $36.40 per share, subject to adjustment as described in the senior convertible notes; and</w:t>
      </w:r>
    </w:p>
    <w:p>
      <w:pPr>
        <w:spacing w:after="0" w:line="140" w:lineRule="exact"/>
        <w:rPr>
          <w:sz w:val="20"/>
          <w:szCs w:val="20"/>
          <w:color w:val="auto"/>
        </w:rPr>
      </w:pPr>
    </w:p>
    <w:p>
      <w:pPr>
        <w:ind w:left="640" w:right="1079" w:hanging="278"/>
        <w:spacing w:after="0" w:line="257" w:lineRule="auto"/>
        <w:tabs>
          <w:tab w:leader="none" w:pos="620" w:val="left"/>
        </w:tabs>
        <w:rPr>
          <w:sz w:val="20"/>
          <w:szCs w:val="20"/>
          <w:color w:val="auto"/>
        </w:rPr>
      </w:pPr>
      <w:r>
        <w:rPr>
          <w:rFonts w:ascii="Times New Roman" w:cs="Times New Roman" w:eastAsia="Times New Roman" w:hAnsi="Times New Roman"/>
          <w:sz w:val="12"/>
          <w:szCs w:val="12"/>
          <w:color w:val="auto"/>
        </w:rPr>
        <w:t>(v).</w:t>
        <w:tab/>
        <w:t>1,774,343 shares of Common Stock issuable upon exercise of the warrants, issued in the December RDO, consisting of (a) 1,642,871 shares having an exercise price of $22.72 per share and (b) 131,472 shares having an exercise price of $25.81 per share, in each case subject to adjustment as described in the applicable warrants.</w:t>
      </w:r>
    </w:p>
    <w:p>
      <w:pPr>
        <w:spacing w:after="0" w:line="125" w:lineRule="exact"/>
        <w:rPr>
          <w:sz w:val="20"/>
          <w:szCs w:val="20"/>
          <w:color w:val="auto"/>
        </w:rPr>
      </w:pPr>
    </w:p>
    <w:p>
      <w:pPr>
        <w:ind w:left="20" w:right="1059"/>
        <w:spacing w:after="0" w:line="260" w:lineRule="auto"/>
        <w:rPr>
          <w:sz w:val="20"/>
          <w:szCs w:val="20"/>
          <w:color w:val="auto"/>
        </w:rPr>
      </w:pPr>
      <w:r>
        <w:rPr>
          <w:rFonts w:ascii="Times New Roman" w:cs="Times New Roman" w:eastAsia="Times New Roman" w:hAnsi="Times New Roman"/>
          <w:sz w:val="12"/>
          <w:szCs w:val="12"/>
          <w:color w:val="auto"/>
        </w:rPr>
        <w:t>The above-referenced (a) warrants to purchase Common Stock are collectively referred to herein as the “2024 Warrants” and (b) senior convertible notes are collectively referred to herein as the “October 2024 Notes” and together with the 2024 Warrants, the “2024 Securities”.</w:t>
      </w:r>
    </w:p>
    <w:p>
      <w:pPr>
        <w:spacing w:after="0" w:line="113" w:lineRule="exact"/>
        <w:rPr>
          <w:sz w:val="20"/>
          <w:szCs w:val="20"/>
          <w:color w:val="auto"/>
        </w:rPr>
      </w:pPr>
    </w:p>
    <w:p>
      <w:pPr>
        <w:sectPr>
          <w:pgSz w:w="11900" w:h="16838" w:orient="portrait"/>
          <w:cols w:equalWidth="0" w:num="2">
            <w:col w:w="4500" w:space="280"/>
            <w:col w:w="5379"/>
          </w:cols>
          <w:pgMar w:left="300" w:top="368" w:right="1440"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2"/>
          <w:szCs w:val="12"/>
          <w:color w:val="auto"/>
        </w:rPr>
        <w:t>Shares of Common Stock outstanding prior to exercise 6,951,671 shares of Common Stock (as of March 31, 2025).</w:t>
      </w:r>
    </w:p>
    <w:p>
      <w:pPr>
        <w:spacing w:after="0" w:line="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or conversion (as applicable) of the 2024 Securities</w:t>
      </w:r>
      <w:r>
        <w:rPr>
          <w:rFonts w:ascii="Times New Roman" w:cs="Times New Roman" w:eastAsia="Times New Roman" w:hAnsi="Times New Roman"/>
          <w:sz w:val="17"/>
          <w:szCs w:val="17"/>
          <w:color w:val="auto"/>
          <w:vertAlign w:val="superscript"/>
        </w:rPr>
        <w:t>(1)</w:t>
      </w:r>
    </w:p>
    <w:p>
      <w:pPr>
        <w:spacing w:after="0" w:line="1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0159"/>
          </w:cols>
          <w:pgMar w:left="300" w:top="368"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382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70425" cy="3824605"/>
                    </a:xfrm>
                    <a:prstGeom prst="rect">
                      <a:avLst/>
                    </a:prstGeom>
                    <a:noFill/>
                  </pic:spPr>
                </pic:pic>
              </a:graphicData>
            </a:graphic>
          </wp:anchor>
        </w:drawing>
      </w:r>
    </w:p>
    <w:p>
      <w:pPr>
        <w:spacing w:after="0" w:line="314" w:lineRule="exact"/>
        <w:rPr>
          <w:sz w:val="20"/>
          <w:szCs w:val="20"/>
          <w:color w:val="auto"/>
        </w:rPr>
      </w:pPr>
    </w:p>
    <w:p>
      <w:pPr>
        <w:ind w:left="2100"/>
        <w:spacing w:after="0"/>
        <w:tabs>
          <w:tab w:leader="none" w:pos="4760" w:val="left"/>
        </w:tabs>
        <w:rPr>
          <w:sz w:val="20"/>
          <w:szCs w:val="20"/>
          <w:color w:val="auto"/>
        </w:rPr>
      </w:pPr>
      <w:r>
        <w:rPr>
          <w:rFonts w:ascii="Times New Roman" w:cs="Times New Roman" w:eastAsia="Times New Roman" w:hAnsi="Times New Roman"/>
          <w:sz w:val="12"/>
          <w:szCs w:val="12"/>
          <w:color w:val="auto"/>
        </w:rPr>
        <w:t>Shares of Common Stock outstanding assuming</w:t>
      </w:r>
      <w:r>
        <w:rPr>
          <w:sz w:val="20"/>
          <w:szCs w:val="20"/>
          <w:color w:val="auto"/>
        </w:rPr>
        <w:tab/>
      </w:r>
      <w:r>
        <w:rPr>
          <w:rFonts w:ascii="Times New Roman" w:cs="Times New Roman" w:eastAsia="Times New Roman" w:hAnsi="Times New Roman"/>
          <w:sz w:val="11"/>
          <w:szCs w:val="11"/>
          <w:color w:val="auto"/>
        </w:rPr>
        <w:t>10,544,959 shares of Common Stock (based on total shares outstanding as of March 31,</w:t>
      </w:r>
    </w:p>
    <w:p>
      <w:pPr>
        <w:spacing w:after="0" w:line="1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exercise or conversion (as applicable) of all of the 2024 2025).</w:t>
      </w:r>
    </w:p>
    <w:p>
      <w:pPr>
        <w:spacing w:after="0" w:line="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Securities</w:t>
      </w:r>
    </w:p>
    <w:p>
      <w:pPr>
        <w:spacing w:after="0" w:line="166" w:lineRule="exact"/>
        <w:rPr>
          <w:sz w:val="20"/>
          <w:szCs w:val="20"/>
          <w:color w:val="auto"/>
        </w:rPr>
      </w:pPr>
    </w:p>
    <w:p>
      <w:pPr>
        <w:ind w:left="2100"/>
        <w:spacing w:after="0"/>
        <w:tabs>
          <w:tab w:leader="none" w:pos="4760" w:val="left"/>
        </w:tabs>
        <w:rPr>
          <w:sz w:val="20"/>
          <w:szCs w:val="20"/>
          <w:color w:val="auto"/>
        </w:rPr>
      </w:pPr>
      <w:r>
        <w:rPr>
          <w:rFonts w:ascii="Times New Roman" w:cs="Times New Roman" w:eastAsia="Times New Roman" w:hAnsi="Times New Roman"/>
          <w:sz w:val="12"/>
          <w:szCs w:val="12"/>
          <w:color w:val="auto"/>
        </w:rPr>
        <w:t>Use of proceeds</w:t>
      </w:r>
      <w:r>
        <w:rPr>
          <w:sz w:val="20"/>
          <w:szCs w:val="20"/>
          <w:color w:val="auto"/>
        </w:rPr>
        <w:tab/>
      </w:r>
      <w:r>
        <w:rPr>
          <w:rFonts w:ascii="Times New Roman" w:cs="Times New Roman" w:eastAsia="Times New Roman" w:hAnsi="Times New Roman"/>
          <w:sz w:val="11"/>
          <w:szCs w:val="11"/>
          <w:color w:val="auto"/>
        </w:rPr>
        <w:t>We intend to use the net proceeds from the exercise of the 2024 Warrants for working</w:t>
      </w:r>
    </w:p>
    <w:p>
      <w:pPr>
        <w:spacing w:after="0" w:line="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capital and general corporate purposes, which may include capital expenditures,</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1"/>
          <w:szCs w:val="11"/>
          <w:color w:val="auto"/>
        </w:rPr>
        <w:t>commercialization expenditures, research and development expenditures, regulatory affairs</w:t>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expenditures, clinical trial expenditures, acquisitions of new technologies and investments,</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business combinations and the repayment, refinancing, redemption or repurchase of</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indebtedness or capital stock. We estimate that the gross proceeds to us from the exercise</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of the 2024 Warrants will be approximately $77.8 million, to the extent the exercise prices</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therefor are paid in cash. See “</w:t>
      </w:r>
      <w:r>
        <w:rPr>
          <w:rFonts w:ascii="Times New Roman" w:cs="Times New Roman" w:eastAsia="Times New Roman" w:hAnsi="Times New Roman"/>
          <w:sz w:val="12"/>
          <w:szCs w:val="12"/>
          <w:i w:val="1"/>
          <w:iCs w:val="1"/>
          <w:color w:val="auto"/>
        </w:rPr>
        <w:t>Use of Proceeds</w:t>
      </w:r>
      <w:r>
        <w:rPr>
          <w:rFonts w:ascii="Times New Roman" w:cs="Times New Roman" w:eastAsia="Times New Roman" w:hAnsi="Times New Roman"/>
          <w:sz w:val="12"/>
          <w:szCs w:val="12"/>
          <w:color w:val="auto"/>
        </w:rPr>
        <w:t>” elsewhere in this prospectus.</w:t>
      </w:r>
    </w:p>
    <w:p>
      <w:pPr>
        <w:spacing w:after="0" w:line="13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Resale of Common Stock</w:t>
      </w:r>
    </w:p>
    <w:p>
      <w:pPr>
        <w:sectPr>
          <w:pgSz w:w="11900" w:h="16838" w:orient="portrait"/>
          <w:cols w:equalWidth="0" w:num="1">
            <w:col w:w="10159"/>
          </w:cols>
          <w:pgMar w:left="300" w:top="368" w:right="1440" w:bottom="1440" w:gutter="0" w:footer="0" w:header="0"/>
        </w:sectPr>
      </w:pPr>
    </w:p>
    <w:p>
      <w:pPr>
        <w:spacing w:after="0" w:line="17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1"/>
          <w:szCs w:val="11"/>
          <w:color w:val="auto"/>
        </w:rPr>
        <w:t>Shares of Common Stock offered by the Selling</w:t>
      </w:r>
    </w:p>
    <w:p>
      <w:pPr>
        <w:spacing w:after="0" w:line="2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color w:val="auto"/>
        </w:rPr>
        <w:t>Securityholder</w:t>
      </w:r>
    </w:p>
    <w:p>
      <w:pPr>
        <w:spacing w:after="0" w:line="16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1"/>
          <w:szCs w:val="11"/>
          <w:color w:val="auto"/>
        </w:rPr>
        <w:t>Use of proceeds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 to 3,250,000 shares of Common Stock, issuable upon exercise of the Deposit Warrant.</w:t>
      </w:r>
    </w:p>
    <w:p>
      <w:pPr>
        <w:spacing w:after="0" w:line="321" w:lineRule="exact"/>
        <w:rPr>
          <w:sz w:val="20"/>
          <w:szCs w:val="20"/>
          <w:color w:val="auto"/>
        </w:rPr>
      </w:pPr>
    </w:p>
    <w:p>
      <w:pPr>
        <w:ind w:right="979"/>
        <w:spacing w:after="0" w:line="257" w:lineRule="auto"/>
        <w:rPr>
          <w:sz w:val="20"/>
          <w:szCs w:val="20"/>
          <w:color w:val="auto"/>
        </w:rPr>
      </w:pPr>
      <w:r>
        <w:rPr>
          <w:rFonts w:ascii="Times New Roman" w:cs="Times New Roman" w:eastAsia="Times New Roman" w:hAnsi="Times New Roman"/>
          <w:sz w:val="12"/>
          <w:szCs w:val="12"/>
          <w:color w:val="auto"/>
        </w:rPr>
        <w:t>We will not receive any proceeds from the sale of shares of Common Stock by the Selling Securityholder, except with respect to amounts received by us upon the exercise of the Deposit Warrant for cash. We estimate that the gross proceeds to us from the exercise of the Deposit Warrant will be approximately $3.9 million. See “</w:t>
      </w:r>
      <w:r>
        <w:rPr>
          <w:rFonts w:ascii="Times New Roman" w:cs="Times New Roman" w:eastAsia="Times New Roman" w:hAnsi="Times New Roman"/>
          <w:sz w:val="12"/>
          <w:szCs w:val="12"/>
          <w:i w:val="1"/>
          <w:iCs w:val="1"/>
          <w:color w:val="auto"/>
        </w:rPr>
        <w:t>Use of Proceeds</w:t>
      </w:r>
      <w:r>
        <w:rPr>
          <w:rFonts w:ascii="Times New Roman" w:cs="Times New Roman" w:eastAsia="Times New Roman" w:hAnsi="Times New Roman"/>
          <w:sz w:val="12"/>
          <w:szCs w:val="12"/>
          <w:color w:val="auto"/>
        </w:rPr>
        <w:t>” elsewhere in this prospectus.</w:t>
      </w:r>
    </w:p>
    <w:p>
      <w:pPr>
        <w:spacing w:after="0" w:line="143" w:lineRule="exact"/>
        <w:rPr>
          <w:sz w:val="20"/>
          <w:szCs w:val="20"/>
          <w:color w:val="auto"/>
        </w:rPr>
      </w:pPr>
    </w:p>
    <w:p>
      <w:pPr>
        <w:sectPr>
          <w:pgSz w:w="11900" w:h="16838" w:orient="portrait"/>
          <w:cols w:equalWidth="0" w:num="2">
            <w:col w:w="4400" w:space="380"/>
            <w:col w:w="5379"/>
          </w:cols>
          <w:pgMar w:left="300" w:top="368" w:right="1440" w:bottom="1440" w:gutter="0" w:footer="0" w:header="0"/>
          <w:type w:val="continuous"/>
        </w:sectPr>
      </w:pPr>
    </w:p>
    <w:p>
      <w:pPr>
        <w:ind w:left="2100"/>
        <w:spacing w:after="0"/>
        <w:tabs>
          <w:tab w:leader="none" w:pos="4760" w:val="left"/>
        </w:tabs>
        <w:rPr>
          <w:sz w:val="20"/>
          <w:szCs w:val="20"/>
          <w:color w:val="auto"/>
        </w:rPr>
      </w:pPr>
      <w:r>
        <w:rPr>
          <w:rFonts w:ascii="Times New Roman" w:cs="Times New Roman" w:eastAsia="Times New Roman" w:hAnsi="Times New Roman"/>
          <w:sz w:val="12"/>
          <w:szCs w:val="12"/>
          <w:color w:val="auto"/>
        </w:rPr>
        <w:t>Market for our Common Stock</w:t>
      </w:r>
      <w:r>
        <w:rPr>
          <w:sz w:val="20"/>
          <w:szCs w:val="20"/>
          <w:color w:val="auto"/>
        </w:rPr>
        <w:tab/>
      </w:r>
      <w:r>
        <w:rPr>
          <w:rFonts w:ascii="Times New Roman" w:cs="Times New Roman" w:eastAsia="Times New Roman" w:hAnsi="Times New Roman"/>
          <w:sz w:val="12"/>
          <w:szCs w:val="12"/>
          <w:color w:val="auto"/>
        </w:rPr>
        <w:t>Our Common Stock is listed on the Nasdaq Capital Market under the symbol “SCLX”.</w:t>
      </w:r>
    </w:p>
    <w:p>
      <w:pPr>
        <w:spacing w:after="0" w:line="175" w:lineRule="exact"/>
        <w:rPr>
          <w:sz w:val="20"/>
          <w:szCs w:val="20"/>
          <w:color w:val="auto"/>
        </w:rPr>
      </w:pPr>
    </w:p>
    <w:p>
      <w:pPr>
        <w:ind w:left="2100"/>
        <w:spacing w:after="0"/>
        <w:tabs>
          <w:tab w:leader="none" w:pos="4760" w:val="left"/>
        </w:tabs>
        <w:rPr>
          <w:sz w:val="20"/>
          <w:szCs w:val="20"/>
          <w:color w:val="auto"/>
        </w:rPr>
      </w:pPr>
      <w:r>
        <w:rPr>
          <w:rFonts w:ascii="Times New Roman" w:cs="Times New Roman" w:eastAsia="Times New Roman" w:hAnsi="Times New Roman"/>
          <w:sz w:val="12"/>
          <w:szCs w:val="12"/>
          <w:color w:val="auto"/>
        </w:rPr>
        <w:t>Risk factors</w:t>
      </w:r>
      <w:r>
        <w:rPr>
          <w:sz w:val="20"/>
          <w:szCs w:val="20"/>
          <w:color w:val="auto"/>
        </w:rPr>
        <w:tab/>
      </w:r>
      <w:r>
        <w:rPr>
          <w:rFonts w:ascii="Times New Roman" w:cs="Times New Roman" w:eastAsia="Times New Roman" w:hAnsi="Times New Roman"/>
          <w:sz w:val="12"/>
          <w:szCs w:val="12"/>
          <w:color w:val="auto"/>
        </w:rPr>
        <w:t>See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beginning on page 23 and other information included in this prospectus</w:t>
      </w:r>
    </w:p>
    <w:p>
      <w:pPr>
        <w:spacing w:after="0" w:line="1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for a discussion of factors you should carefully consider before deciding to invest in the</w:t>
      </w:r>
    </w:p>
    <w:p>
      <w:pPr>
        <w:spacing w:after="0" w:line="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2"/>
          <w:szCs w:val="12"/>
          <w:color w:val="auto"/>
        </w:rPr>
        <w:t>securities being offered by this prospectus.</w:t>
      </w:r>
    </w:p>
    <w:p>
      <w:pPr>
        <w:spacing w:after="0" w:line="157" w:lineRule="exact"/>
        <w:rPr>
          <w:sz w:val="20"/>
          <w:szCs w:val="20"/>
          <w:color w:val="auto"/>
        </w:rPr>
      </w:pPr>
    </w:p>
    <w:p>
      <w:pPr>
        <w:ind w:left="2380" w:right="1039" w:hanging="286"/>
        <w:spacing w:after="0" w:line="260" w:lineRule="auto"/>
        <w:tabs>
          <w:tab w:leader="none" w:pos="238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outstanding assumes that an aggregate of 6,951,671 shares are outstanding immediately prior to the completion of this offering, which number is based on an aggregate of 6,951,671 shares outstanding as of December 31, 2024, taking into account the Reverse Stock Split, with no additional shares of Common Stock issued after December 31, 2024 and on or prior to March 31, 2025, and excludes:</w:t>
      </w:r>
    </w:p>
    <w:p>
      <w:pPr>
        <w:spacing w:after="0" w:line="59" w:lineRule="exact"/>
        <w:rPr>
          <w:rFonts w:ascii="Times New Roman" w:cs="Times New Roman" w:eastAsia="Times New Roman" w:hAnsi="Times New Roman"/>
          <w:sz w:val="12"/>
          <w:szCs w:val="12"/>
          <w:color w:val="auto"/>
        </w:rPr>
      </w:pPr>
    </w:p>
    <w:p>
      <w:pPr>
        <w:ind w:left="2720" w:right="1099" w:hanging="275"/>
        <w:spacing w:after="0" w:line="279" w:lineRule="auto"/>
        <w:tabs>
          <w:tab w:leader="none" w:pos="272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18,665 shares of Common Stock issuable upon the exercise of stock options outstanding under the 2017 Scilex Pharmaceuticals Inc. Equity Incentive Plan (the “Scilex Pharma 2017 Plan”) with a weighted average exercise price of $26.95 per share;</w:t>
      </w:r>
    </w:p>
    <w:p>
      <w:pPr>
        <w:spacing w:after="0" w:line="48" w:lineRule="exact"/>
        <w:rPr>
          <w:rFonts w:ascii="Times New Roman" w:cs="Times New Roman" w:eastAsia="Times New Roman" w:hAnsi="Times New Roman"/>
          <w:sz w:val="12"/>
          <w:szCs w:val="12"/>
          <w:color w:val="auto"/>
        </w:rPr>
      </w:pPr>
    </w:p>
    <w:p>
      <w:pPr>
        <w:ind w:left="2720" w:right="999" w:hanging="275"/>
        <w:spacing w:after="0" w:line="279" w:lineRule="auto"/>
        <w:tabs>
          <w:tab w:leader="none" w:pos="272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432,087 shares of Common Stock issuable upon the exercise of stock options outstanding under the 2019 Stock Option Plan of Scilex, Inc. (the “2019 Stock Option Plan”) with a weighted average exercise price of $60.55 per share;</w:t>
      </w:r>
    </w:p>
    <w:p>
      <w:pPr>
        <w:spacing w:after="0" w:line="1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0159"/>
          </w:cols>
          <w:pgMar w:left="300" w:top="368" w:right="1440"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140970</wp:posOffset>
            </wp:positionV>
            <wp:extent cx="4670425" cy="133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70425" cy="1332865"/>
                    </a:xfrm>
                    <a:prstGeom prst="rect">
                      <a:avLst/>
                    </a:prstGeom>
                    <a:noFill/>
                  </pic:spPr>
                </pic:pic>
              </a:graphicData>
            </a:graphic>
          </wp:anchor>
        </w:drawing>
      </w:r>
    </w:p>
    <w:p>
      <w:pPr>
        <w:spacing w:after="0" w:line="314" w:lineRule="exact"/>
        <w:rPr>
          <w:sz w:val="20"/>
          <w:szCs w:val="20"/>
          <w:color w:val="auto"/>
        </w:rPr>
      </w:pPr>
    </w:p>
    <w:p>
      <w:pPr>
        <w:ind w:left="2720" w:right="1139" w:hanging="275"/>
        <w:spacing w:after="0" w:line="279" w:lineRule="auto"/>
        <w:tabs>
          <w:tab w:leader="none" w:pos="27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571,738 shares of Common Stock issuable upon the exercise of stock options outstanding under the Scilex Holding Company 2022 Equity Incentive Plan (the “Equity Incentive Plan”), with a weighted average exercise price of $200.55 per share;</w:t>
      </w:r>
    </w:p>
    <w:p>
      <w:pPr>
        <w:spacing w:after="0" w:line="48" w:lineRule="exact"/>
        <w:rPr>
          <w:rFonts w:ascii="Times New Roman" w:cs="Times New Roman" w:eastAsia="Times New Roman" w:hAnsi="Times New Roman"/>
          <w:sz w:val="12"/>
          <w:szCs w:val="12"/>
          <w:color w:val="auto"/>
        </w:rPr>
      </w:pPr>
    </w:p>
    <w:p>
      <w:pPr>
        <w:ind w:left="2720" w:hanging="275"/>
        <w:spacing w:after="0"/>
        <w:tabs>
          <w:tab w:leader="none" w:pos="27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494,662 shares of Common Stock available for future issuance under the Equity Incentive Plan;</w:t>
      </w:r>
    </w:p>
    <w:p>
      <w:pPr>
        <w:spacing w:after="0" w:line="87" w:lineRule="exact"/>
        <w:rPr>
          <w:rFonts w:ascii="Times New Roman" w:cs="Times New Roman" w:eastAsia="Times New Roman" w:hAnsi="Times New Roman"/>
          <w:sz w:val="12"/>
          <w:szCs w:val="12"/>
          <w:color w:val="auto"/>
        </w:rPr>
      </w:pPr>
    </w:p>
    <w:p>
      <w:pPr>
        <w:ind w:left="2720" w:right="1339" w:hanging="275"/>
        <w:spacing w:after="0" w:line="279" w:lineRule="auto"/>
        <w:tabs>
          <w:tab w:leader="none" w:pos="27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118,350 shares of Common Stock available for future issuance under the Scilex Holding Company 2022 Employee Stock Purchase Plan (the “ESPP”);</w:t>
      </w:r>
    </w:p>
    <w:p>
      <w:pPr>
        <w:spacing w:after="0" w:line="48" w:lineRule="exact"/>
        <w:rPr>
          <w:rFonts w:ascii="Times New Roman" w:cs="Times New Roman" w:eastAsia="Times New Roman" w:hAnsi="Times New Roman"/>
          <w:sz w:val="12"/>
          <w:szCs w:val="12"/>
          <w:color w:val="auto"/>
        </w:rPr>
      </w:pPr>
    </w:p>
    <w:p>
      <w:pPr>
        <w:ind w:left="2720" w:right="1159" w:hanging="275"/>
        <w:spacing w:after="0" w:line="279" w:lineRule="auto"/>
        <w:tabs>
          <w:tab w:leader="none" w:pos="27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40,000 shares of Common Stock available for future issuance under the Scilex Holding Company 2023 Inducement Plan (the “Inducement Plan”);</w:t>
      </w:r>
    </w:p>
    <w:p>
      <w:pPr>
        <w:spacing w:after="0" w:line="48" w:lineRule="exact"/>
        <w:rPr>
          <w:rFonts w:ascii="Times New Roman" w:cs="Times New Roman" w:eastAsia="Times New Roman" w:hAnsi="Times New Roman"/>
          <w:sz w:val="12"/>
          <w:szCs w:val="12"/>
          <w:color w:val="auto"/>
        </w:rPr>
      </w:pPr>
    </w:p>
    <w:p>
      <w:pPr>
        <w:ind w:left="2720" w:right="1339" w:hanging="275"/>
        <w:spacing w:after="0" w:line="327" w:lineRule="auto"/>
        <w:tabs>
          <w:tab w:leader="none" w:pos="272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up to 6,958,309 SPAC Warrants (on a pre-Reverse Stock Split basis), which are currently exercisable for an aggregate of up to 198,810 shares (on a post-Reverse Stock Split basis) of Common Stock, with an exercise price of $402.50 per whole share; and</w:t>
      </w:r>
    </w:p>
    <w:p>
      <w:pPr>
        <w:spacing w:after="0" w:line="24" w:lineRule="exact"/>
        <w:rPr>
          <w:rFonts w:ascii="Times New Roman" w:cs="Times New Roman" w:eastAsia="Times New Roman" w:hAnsi="Times New Roman"/>
          <w:sz w:val="11"/>
          <w:szCs w:val="11"/>
          <w:color w:val="auto"/>
        </w:rPr>
      </w:pPr>
    </w:p>
    <w:p>
      <w:pPr>
        <w:ind w:left="2720" w:hanging="275"/>
        <w:spacing w:after="0"/>
        <w:tabs>
          <w:tab w:leader="none" w:pos="27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6,500,000 shares of Common Stock issuable upon the exercise of the Penny Warrants, with an exercise price of $0.01 per share.</w:t>
      </w: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0159"/>
          </w:cols>
          <w:pgMar w:left="300" w:top="36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Investing in our securities involves a high degree of risk. Before making an investment decision, you should consider carefully the following risk factors, as well as the other information set forth in this prospectus, including matters addressed in the section of this prospectus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any prospectus supplement, any post-effective amendment or in any document incorporated by reference herein or therein are not the only risks and uncertainties that we face. We may face additional risks and uncertainties that are not presently known to us, or that we currently deem immaterial. The following discussions should be read in conjunction with our financial statements and the notes to the financial statements included therein.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Limited Operating History, Financial Condition and Capital Requirements</w:t>
      </w:r>
    </w:p>
    <w:p>
      <w:pPr>
        <w:spacing w:after="0" w:line="78" w:lineRule="exact"/>
        <w:rPr>
          <w:sz w:val="20"/>
          <w:szCs w:val="20"/>
          <w:color w:val="auto"/>
        </w:rPr>
      </w:pPr>
    </w:p>
    <w:p>
      <w:pPr>
        <w:ind w:left="1980" w:right="89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currently have three commercial products, ZTlido, ELYXYB and GLOPERBA; but we are currently heavily dependent on the commercial success of ZTlido, as ELYXYB and GLOPERBA are in the initial stages of commercialization, and we may be unable to generate sufficient revenue to support our operations.</w:t>
      </w:r>
    </w:p>
    <w:p>
      <w:pPr>
        <w:spacing w:after="0" w:line="4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We currently have three commercial products, ZTlido, ELYXYB and GLOPERBA; but we are currently heavily dependent upon ZTlido sales to generate revenue, as ELYXYB and GLOPERBA are in the initial stages of commercialization. In February 2018, we obtained FDA regulatory approval for ZTlido for the relief of neuropathic pain associated with PHN in adults, which is a form of post-shingles nerve pain, and we began commercializing ZTlido in the United States in October 2018. In late February 2023, we acquired ELYXYB, a potential first-line treatment and the only FDA-approved, ready-to-use oral solution for the acute treatment of migraine, with or without aura, in adults, in the U.S. We launched ELYXYB in April of 2023. In June 2022, we acquired certain rights to GLOPERBA, the first and only liquid oral version of the anti-gout medicine colchicine indicated for the prophylaxis of painful gout flares in adults. We launched GLOPERBA in June 2024. As a result, it is difficult to evaluate our current business and predict our future prospects. We cannot assure that ZTlido, ELYXYB or GLOPERBA will gain market acceptance among physicians, health care payors, patients and the medical community, which is critical to our commercial success. We have limited experience engaging in commercial activities and limited relationships with physicians, hospitals and payors. Market acceptance of ZTlido, ELYXYB and GLOPERBA depends on a number of factors, including:</w:t>
      </w:r>
    </w:p>
    <w:p>
      <w:pPr>
        <w:spacing w:after="0" w:line="65" w:lineRule="exact"/>
        <w:rPr>
          <w:sz w:val="20"/>
          <w:szCs w:val="20"/>
          <w:color w:val="auto"/>
        </w:rPr>
      </w:pPr>
    </w:p>
    <w:p>
      <w:pPr>
        <w:ind w:left="2620" w:right="959" w:hanging="288"/>
        <w:spacing w:after="0" w:line="265" w:lineRule="auto"/>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acceptance by physicians, major operators of clinics and patients of ZTlido, ELYXYB and GLOPERBA as a safe and effective treatment for the relief of neuropathic pain associated with PHN (ZTlido), acute migraine pain (ELYXYB), and prevention of gout flares (GLOPERBA);</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cost and potential advantages of alternative treatments, including less expensive generic products;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of our sales and marketing efforts;</w:t>
      </w:r>
    </w:p>
    <w:p>
      <w:pPr>
        <w:spacing w:after="0" w:line="87" w:lineRule="exact"/>
        <w:rPr>
          <w:rFonts w:ascii="Times New Roman" w:cs="Times New Roman" w:eastAsia="Times New Roman" w:hAnsi="Times New Roman"/>
          <w:sz w:val="12"/>
          <w:szCs w:val="12"/>
          <w:color w:val="auto"/>
        </w:rPr>
      </w:pPr>
    </w:p>
    <w:p>
      <w:pPr>
        <w:ind w:left="2620" w:right="1299" w:hanging="288"/>
        <w:spacing w:after="0" w:line="279" w:lineRule="auto"/>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coverage, adequacy of reimbursement and favorability of pricing policies by third-party payors and government authorities;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market introduction of other competitive products;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product labeling or any product inserts required by the FDA;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prevalence and severity of adverse side effects.</w:t>
      </w:r>
    </w:p>
    <w:p>
      <w:pPr>
        <w:spacing w:after="0" w:line="150"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To successfully commercialize ZTlido, ELYXYB and GLOPERBA, we will need to expand our marketing efforts to develop new relationships and expand existing relationships. Physicians may decide not to prescribe ZTlido, ELYXYB or GLOPERBA for a variety of reasons, including changes in available offerings, adverse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0159"/>
          </w:cols>
          <w:pgMar w:left="300" w:top="36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publicity, perceived safety issues, inadequate coverage or reimbursement for ZTlido, ELYXYB or GLOPERBA or the utilization of products developed by other parties, all of which are circumstances outside of our control. Demand for ZTlido may not increase, or may not develop for ELYXYB or GLOPERBA, as quickly as we predict, and we may be unable to increase our revenue to the level that we currently expect. Even if we succeed in increasing market acceptance of ZTlido or developing market acceptance of ELYXYB and GLOPERBA, and maintaining and creating relationships with physicians, we may be unable to reach or sustain a level of profitability.</w:t>
      </w:r>
    </w:p>
    <w:p>
      <w:pPr>
        <w:spacing w:after="0" w:line="125" w:lineRule="exact"/>
        <w:rPr>
          <w:sz w:val="20"/>
          <w:szCs w:val="20"/>
          <w:color w:val="auto"/>
        </w:rPr>
      </w:pPr>
    </w:p>
    <w:p>
      <w:pPr>
        <w:jc w:val="both"/>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Our ability to effectively promote ZTlido, ELYXYB and GLOPERBA will also depend on pricing and cost-effectiveness, including our ability to produce and market our products at a competitive price. In addition, our efforts to educate the medical community and third-party payors on the benefits of ZTlido, ELYXYB and GLOPERBA may require significant resources, may be constrained by FDA rules and policies on product promotion and may never be successful.</w:t>
      </w:r>
    </w:p>
    <w:p>
      <w:pPr>
        <w:spacing w:after="0" w:line="190" w:lineRule="exact"/>
        <w:rPr>
          <w:sz w:val="20"/>
          <w:szCs w:val="20"/>
          <w:color w:val="auto"/>
        </w:rPr>
      </w:pPr>
    </w:p>
    <w:p>
      <w:pPr>
        <w:ind w:left="198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a limited operating history and have incurred significant losses since our inception. We anticipate that we will incur continued losses for the foreseeable future.</w:t>
      </w:r>
    </w:p>
    <w:p>
      <w:pPr>
        <w:spacing w:after="0" w:line="3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1"/>
          <w:szCs w:val="11"/>
          <w:color w:val="auto"/>
        </w:rPr>
        <w:t>We have a limited operating history. Prior to March 2019, our operations were conducted through Scilex Pharma, which was formed in September</w:t>
      </w:r>
    </w:p>
    <w:p>
      <w:pPr>
        <w:spacing w:after="0" w:line="28" w:lineRule="exact"/>
        <w:rPr>
          <w:sz w:val="20"/>
          <w:szCs w:val="20"/>
          <w:color w:val="auto"/>
        </w:rPr>
      </w:pPr>
    </w:p>
    <w:p>
      <w:pPr>
        <w:ind w:left="1980" w:right="919"/>
        <w:spacing w:after="0" w:line="252" w:lineRule="auto"/>
        <w:rPr>
          <w:sz w:val="20"/>
          <w:szCs w:val="20"/>
          <w:color w:val="auto"/>
        </w:rPr>
      </w:pPr>
      <w:r>
        <w:rPr>
          <w:rFonts w:ascii="Times New Roman" w:cs="Times New Roman" w:eastAsia="Times New Roman" w:hAnsi="Times New Roman"/>
          <w:sz w:val="12"/>
          <w:szCs w:val="12"/>
          <w:color w:val="auto"/>
        </w:rPr>
        <w:t>2012 and is now our wholly owned subsidiary. In March 2019, we effected a corporate reorganization and acquired Semnur, which was formed in June 2013. Since our inception, we have focused on organizing and staffing our company, business planning, raising capital, identifying potential non-opioid pain therapy candidates, undertaking preclinical studies and clinical trials of our product candidates and establishing research and development and manufacturing collaborations. Most of our revenue to date is attributable to sales of ZTlido, and we expect that sales of ZTlido will account for most of our revenue for at least the near term. Our relatively short operating history as a company makes any assessment of our future success and viability subject to significant uncertainty.</w:t>
      </w:r>
    </w:p>
    <w:p>
      <w:pPr>
        <w:spacing w:after="0" w:line="128"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w:t>
      </w:r>
    </w:p>
    <w:p>
      <w:pPr>
        <w:spacing w:after="0" w:line="62" w:lineRule="exact"/>
        <w:rPr>
          <w:sz w:val="20"/>
          <w:szCs w:val="20"/>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complete ongoing clinical trials and obtain regulatory approvals for our current and future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new acquisition or in-licensing opportunities;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successfully identify new product candidates and advance those product candidates into pre-clinical studies and clinical trials;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raise additional funds when needed and on terms acceptable to us;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attract and retain experienced management and advisory teams;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 operational, financial and management information systems and personnel, including personnel to support clinical, manufacturing and planned future commercialization efforts and operations;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launch commercial sales of our product candidates, whether alone or in collaboration with others;</w:t>
      </w:r>
    </w:p>
    <w:p>
      <w:pPr>
        <w:spacing w:after="0" w:line="87" w:lineRule="exact"/>
        <w:rPr>
          <w:rFonts w:ascii="Times New Roman" w:cs="Times New Roman" w:eastAsia="Times New Roman" w:hAnsi="Times New Roman"/>
          <w:sz w:val="12"/>
          <w:szCs w:val="12"/>
          <w:color w:val="auto"/>
        </w:rPr>
      </w:pPr>
    </w:p>
    <w:p>
      <w:pPr>
        <w:ind w:left="2620" w:right="1139" w:hanging="288"/>
        <w:spacing w:after="0" w:line="279" w:lineRule="auto"/>
        <w:tabs>
          <w:tab w:leader="none" w:pos="26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initiate and continue relationships with third-party suppliers and manufacturers and have commercial quantities of product candidates manufactured at acceptable cost and quality levels and in compliance with the FDA, and other regulatory requirements;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0159"/>
          </w:cols>
          <w:pgMar w:left="300" w:top="36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acceptable prices for product candidates and obtain coverage and adequate reimbursement from third-party payors;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 market acceptance of product candidates in the medical community and with third-party payors and consumers;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expand and protect our intellectual property portfolio.</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If we cannot successfully execute any one of the foregoing, our business may not succeed or become profitable.</w:t>
      </w:r>
    </w:p>
    <w:p>
      <w:pPr>
        <w:spacing w:after="0" w:line="150"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Since our inception, we have incurred significant net losses, with net losses of $72.8 million and $114.3 million for the years ended December 31, 2024 and 2023, respectively. As of December 31, 2024 and 2023, we had an accumulated deficit of approximately $563.1 million and $490.2 million, respectively. For the foreseeable future, we expect to continue to incur significant expenses related to the commercialization of ZTlido, GLOPERBA and ELYXYB and the research and development of our product candidates, SEMDEXA, SP-103, and SP-104. We anticipate that our expenses will increase substantially due to any future trials related to SEMDEXA and SP-103 and initiation of the Phase 2 clinical trial for SP-104. Consequently, we expect to incur substantial losses for the foreseeable future and may never become profitable.</w:t>
      </w:r>
    </w:p>
    <w:p>
      <w:pPr>
        <w:spacing w:after="0" w:line="125"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w:t>
      </w:r>
    </w:p>
    <w:p>
      <w:pPr>
        <w:spacing w:after="0" w:line="122" w:lineRule="exact"/>
        <w:rPr>
          <w:sz w:val="20"/>
          <w:szCs w:val="20"/>
          <w:color w:val="auto"/>
        </w:rPr>
      </w:pPr>
    </w:p>
    <w:p>
      <w:pPr>
        <w:ind w:left="1980" w:right="999" w:firstLine="294"/>
        <w:spacing w:after="0" w:line="327" w:lineRule="auto"/>
        <w:rPr>
          <w:sz w:val="20"/>
          <w:szCs w:val="20"/>
          <w:color w:val="auto"/>
        </w:rPr>
      </w:pPr>
      <w:r>
        <w:rPr>
          <w:rFonts w:ascii="Times New Roman" w:cs="Times New Roman" w:eastAsia="Times New Roman" w:hAnsi="Times New Roman"/>
          <w:sz w:val="11"/>
          <w:szCs w:val="11"/>
          <w:color w:val="auto"/>
        </w:rPr>
        <w:t>If we are unable to raise capital through a registered offering, we would be required to conduct our equity financing transactions on a private placement basis, which may be subject to pricing, size and other limitations imposed under the Nasdaq Listing Rules, or seek other sources of capital.</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terms of the Oramed Note and the Tranche B Notes place restrictions on our operating and financial flexibility.</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On September 1, 2023 (the “Oramed Closing Date”), we issued and sold to Oramed the Oramed Note pursuant to that certain securities purchase agreement, dated September 21, 2023, between us and Oramed (the “Scilex-Oramed SPA”). Interest under the Oramed Note accrues at a fluctuating per annum interest rate equal to the sum of (1) greater of (x) four percent (4%) and (y) Term SOFR (as defined in the Oramed Note) and (2) eight and one-half percent (8.5%), payable in-kind on a monthly basis.</w:t>
      </w:r>
    </w:p>
    <w:p>
      <w:pPr>
        <w:spacing w:after="0" w:line="12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Pursuant to the Oramed Note, since the outstanding principal of the Oramed Note was not repaid in full on or prior to March 21, 2024, an exit fee of $3,056,250 has been earned with respect to the Oramed Note, which shall be due and payable on the date the outstanding principal amount of the Oramed Note is paid in full. Upon the occurrence and during the continuance of an event of default under the Oramed Note, holders of more than 50% of the aggregate unpaid principal amount of the Oramed Notes may elect to cause all outstanding amounts under the Oramed Note to accrue interest at a default rate equal to the lesser of (i) Term SOFR plus fifteen percent (15%) or (ii) the maximum rate permitted under applicable law.</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Any voluntary prepayments of the Oramed Note occurring prior to the one-year anniversary of the Oramed Closing Date are required to be paid together with a make-whole amount equal to 50% of the amount of additional interest that would accrue on the principal amount so prepaid under the Oramed Note from the date of such prepayment through and including the maturity date. The make-whole amount was waived by Oramed for our voluntary prepayments in March 2024. If the Oramed Note is accelerated upon an event of default, we are required to repay the principal amount of the Oramed Note at a mandatory default rate of 125% of such principal</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0159"/>
          </w:cols>
          <w:pgMar w:left="300" w:top="36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amount (together with 100% of accrued and unpaid interest thereon and all other amounts due in respect of the Oramed Note). The Oramed Note contains mandatory prepayment provisions requiring us and our subsidiaries to, following the earlier of (x) April 1, 2024, and (y) the date on which the Acceptable Indebtedness (as defined in the Oramed Note) is repaid in full, use 70% of the net cash proceeds of any Cash Sweep Financing (as defined in the Oramed Note) or advance under the ELOCs (as defined in the Oramed Note) to prepay the outstanding principal amount of the Oramed Note (the “Mandatory Prepayment Sweep”). Following each of the April 2024 RDO, the receipt of the FSF Deposit and ATM Sales Agreement (each as defined below), we made a mandatory prepayment of $9,578,835, $7,000,000 and $1,760,796, respectively, to Oramed, which equals 70% of the net cash proceeds we received from each of the April 2024 RDO, the FSF Deposit and the sale of shares pursuant to the ATM Sales Agreement. Given such payment was not a voluntary prepayment, such prepayment did not trigger the make-whole amount under the Oramed Note.</w:t>
      </w:r>
    </w:p>
    <w:p>
      <w:pPr>
        <w:spacing w:after="0" w:line="128"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On October 8, 2024 (the “Issuance Date”), we issued and sold in a registered offering to certain institutional investors (collectively, the “Tranche B Investors”) and Oramed (together with the Tranche B Investors, the “Tranche B Noteholders”) the Tranche B Notes in the aggregate principal amount of $50,000,000, which notes are convertible into shares of Common Stock, pursuant to that certain securities purchase agreement we entered into with the Tranche B Noteholders, dated as of October 7, 2024 (the “Tranche B Securities Purchase Agreement”). In consideration for Tranche B Notes issued to Oramed, the outstanding principal balance of the Oramed Note was reduced by $22,500,000, and an additional principal payment of an aggregate amount of $15,000,000 was made in November and December 2024. As of December 31, 2024, the outstanding principal amount, as well as the accrued interest and fees, of the Oramed Note was $24,955,634, with the remaining amount due on March 21, 2025, which maturity date was extended to December 31, 2025 pursuant to an amendment letter we entered into with Oramed, dated as of January 21, 2025.</w:t>
      </w:r>
    </w:p>
    <w:p>
      <w:pPr>
        <w:spacing w:after="0" w:line="128"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Unless earlier converted or redeemed, the Tranche B Notes mature on the two-year anniversary of the Issuance Date, subject to extension at the option of the holder in certain circumstances as provided therein. The Tranche B Notes bear interest at a rate of 5.5% per annum, payable in arrears on the first trading day of each calendar quarter, beginning January 2, 2025, payable, at our option, either in cash or in shares of Common Stock, subject to certain conditions.</w:t>
      </w:r>
    </w:p>
    <w:p>
      <w:pPr>
        <w:spacing w:after="0" w:line="122" w:lineRule="exact"/>
        <w:rPr>
          <w:sz w:val="20"/>
          <w:szCs w:val="20"/>
          <w:color w:val="auto"/>
        </w:rPr>
      </w:pPr>
    </w:p>
    <w:p>
      <w:pPr>
        <w:ind w:left="1980" w:right="959" w:firstLine="294"/>
        <w:spacing w:after="0" w:line="253" w:lineRule="auto"/>
        <w:rPr>
          <w:sz w:val="20"/>
          <w:szCs w:val="20"/>
          <w:color w:val="auto"/>
        </w:rPr>
      </w:pPr>
      <w:r>
        <w:rPr>
          <w:rFonts w:ascii="Times New Roman" w:cs="Times New Roman" w:eastAsia="Times New Roman" w:hAnsi="Times New Roman"/>
          <w:sz w:val="12"/>
          <w:szCs w:val="12"/>
          <w:color w:val="auto"/>
        </w:rPr>
        <w:t>The Oramed Note and the Tranche B Notes contain affirmative and negative covenants binding on us and our subsidiaries which restrict, among other things, us and our subsidiaries from incurring indebtedness or liens, repaying certain indebtedness, or declaring or paying any cash dividends or distribution, selling or otherwise disposing of any assets, entering into transactions with affiliates, in each case as more fully set forth in, and subject to certain qualifications, exceptions, and “baskets” set forth in the Oramed Note and the Tranche B Notes. The Oramed Note also contains covenants requiring us to maintain a segregated bank account under specific terms and conditions, for purposes of receiving the Mandatory Prepayment Sweep, requiring SCLX JV, our indirect wholly owned subsidiary, to comply with the separateness representations and covenants in its organizational documents, and requiring our subsidiary, SCLX DRE Holdings LLC, to maintain its status as a passive holding company. The Tranche B Notes also require us to, at the request of the holder, not more frequently than once per fiscal year,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w:t>
      </w:r>
    </w:p>
    <w:p>
      <w:pPr>
        <w:spacing w:after="0" w:line="129"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The Oramed Note and the Tranche B Notes contain certain customary events of default, including, without limitation, a cross-default to other specified indebtedness or any other indebtedness involving an obligation of a certain amount, a failure in payment of principal, as well as any bankruptcy, insolvency, reorganization event. The Oramed Note also contains additional events of default with respect to certain events relating to our obligations under the Oramed RRA and relating to (i) the warrants to purchase up to 13,000,000 shares of Common Stock, having an exercise price of $0.01 per share, subject to adjustment as provided therein (such warrants, the “Penny Warrants”) that we issued to Oramed pursuant to the Scilex-Oramed SPA (of which</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0159"/>
          </w:cols>
          <w:pgMar w:left="300" w:top="36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6,500,000 of such warrants remain unexercised), (ii) the warrants to purchase up to 114,286 shares of Common Stock, with an exercise price of $402.50 per whole share (the “Transferred Warrants”), that we transferred to Oramed pursuant to the Scilex-Oramed SPA (which were subsequently repurchased by us and cancelled) and/or (iii) the shares of Common Stock underlying the Penny Warrants or Transferred Warrants, in each case as more fully set forth in the Oramed Note.</w:t>
      </w:r>
    </w:p>
    <w:p>
      <w:pPr>
        <w:spacing w:after="0" w:line="12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In addition, failure to comply with the covenants under the Oramed Note could result in an event of default. The events of default include, among others, a change of control of our company. Upon an event of default, subject to notice requirements in the case of certain events of default, all amounts outstanding under the Oramed Note may become immediately due and payable. We may not have sufficient funds or may be unable to arrange for additional financing to repay such indebtedness or to make any accelerated payments, and Oramed could seek to enforce its security interests in the collateral securing such indebtedness or other remedies available to it under the Oramed Note or as provided by applicable law. Oramed could also seek to enforce the guaranty under the Subsidiary Guarantee entered into by us and each of our subsidiaries, dated as of September 21, 2023, to carry out our payment obligations under the Oramed Note. Any failure by us to comply with the obligations under the Oramed Note could have a negative effect on our business, financial condition and results of operations.</w:t>
      </w:r>
    </w:p>
    <w:p>
      <w:pPr>
        <w:spacing w:after="0" w:line="128"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In addition, the Tranche B Notes prohibit us from entering into specified fundamental transactions unless the successor entity assumes all of our obligations under the Tranche B Notes under a written agreement approved by 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The holders of the Tranche B Notes also have certain redemption rights upon a fundamental transaction constituting a change of control.</w:t>
      </w:r>
    </w:p>
    <w:p>
      <w:pPr>
        <w:spacing w:after="0" w:line="12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Our outstanding indebtedness and any future indebtedness we may incur, combined with our other financial obligations, could increase our vulnerability to adverse changes in general economic, industry and market conditions, limit our flexibility in planning for, or reacting to, changes in our business and the industry and impose a competitive disadvantage compared to our competitors that have less debt or better debt servicing options. If we raise additional capital through debt financing, the terms of any new debt could further restrict our ability to operate our business.</w:t>
      </w:r>
    </w:p>
    <w:p>
      <w:pPr>
        <w:spacing w:after="0" w:line="190" w:lineRule="exact"/>
        <w:rPr>
          <w:sz w:val="20"/>
          <w:szCs w:val="20"/>
          <w:color w:val="auto"/>
        </w:rPr>
      </w:pPr>
    </w:p>
    <w:p>
      <w:pPr>
        <w:ind w:left="1980" w:right="11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Oramed Note and Tranche B Notes impose certain operating and financial covenants and any failure to comply with such covenants could result in an event of default that could adversely affect our business, financial condition and results of operations.</w:t>
      </w:r>
    </w:p>
    <w:p>
      <w:pPr>
        <w:spacing w:after="0" w:line="35" w:lineRule="exact"/>
        <w:rPr>
          <w:sz w:val="20"/>
          <w:szCs w:val="20"/>
          <w:color w:val="auto"/>
        </w:rPr>
      </w:pPr>
    </w:p>
    <w:p>
      <w:pPr>
        <w:ind w:left="1980" w:right="979" w:firstLine="294"/>
        <w:spacing w:after="0" w:line="291" w:lineRule="auto"/>
        <w:rPr>
          <w:sz w:val="20"/>
          <w:szCs w:val="20"/>
          <w:color w:val="auto"/>
        </w:rPr>
      </w:pPr>
      <w:r>
        <w:rPr>
          <w:rFonts w:ascii="Times New Roman" w:cs="Times New Roman" w:eastAsia="Times New Roman" w:hAnsi="Times New Roman"/>
          <w:sz w:val="11"/>
          <w:szCs w:val="11"/>
          <w:color w:val="auto"/>
        </w:rPr>
        <w:t>If an event of default occurs under the Oramed Note or the Tranche B Notes (collectively, the “Existing Notes”), the holder of the Oramed Note could elect to immediately accelerate the due date of such note and, in the case of the Tranche B Notes, all of the holders thereof could require that we redeem such notes in accordance with the terms thereof, including any default interest rates, liquidated damages or similar penalties that would arise pursuant to the terms of such Existing Notes upon an event of default that is not cured within the applicable periods set forth in the Existing Notes.</w:t>
      </w:r>
    </w:p>
    <w:p>
      <w:pPr>
        <w:spacing w:after="0" w:line="107"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We may not have sufficient funds or may be unable to arrange for additional financing to repay our indebtedness under the Existing Notes or to make any accelerated or redemption payments, and the lenders could seek to enforce their respective security interests in the collateral securing such indebtedness or other remedies available to such lenders under the Existing Notes or as provided by applicable law. The lenders could also seek to enforce the guaranty under the Subsidiary Guarantee entered into by us and each of our subsidiaries, dated as of September 21, 2023 and amended as of October 8, 2024, to carry out our payment obligations under the Existing Notes. Any failure by us to comply with the obligations under the Existing Notes could cause our stock price to decrease significantly, result in substantial dilution or cause us to be unable to raise additional capital, which could have a material negative effect on our business, financial condition and results of operations. See the</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0159"/>
          </w:cols>
          <w:pgMar w:left="300" w:top="36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jc w:val="both"/>
        <w:ind w:left="1980" w:right="1019"/>
        <w:spacing w:after="0" w:line="266" w:lineRule="auto"/>
        <w:rPr>
          <w:sz w:val="20"/>
          <w:szCs w:val="20"/>
          <w:color w:val="auto"/>
        </w:rPr>
      </w:pPr>
      <w:r>
        <w:rPr>
          <w:rFonts w:ascii="Times New Roman" w:cs="Times New Roman" w:eastAsia="Times New Roman" w:hAnsi="Times New Roman"/>
          <w:sz w:val="12"/>
          <w:szCs w:val="12"/>
          <w:color w:val="auto"/>
        </w:rPr>
        <w:t>risk factor titled “</w:t>
      </w:r>
      <w:r>
        <w:rPr>
          <w:rFonts w:ascii="Times New Roman" w:cs="Times New Roman" w:eastAsia="Times New Roman" w:hAnsi="Times New Roman"/>
          <w:sz w:val="12"/>
          <w:szCs w:val="12"/>
          <w:i w:val="1"/>
          <w:iCs w:val="1"/>
          <w:color w:val="auto"/>
        </w:rPr>
        <w:t>We may not have the ability to raise the funds necessary to settle the Oramed Note or the Tranche B Notes in cash upon a change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control or other event of default, and any future debt may contain limitations on our ability to pay cash upon conversion of the Tranche B Notes</w:t>
      </w:r>
      <w:r>
        <w:rPr>
          <w:rFonts w:ascii="Times New Roman" w:cs="Times New Roman" w:eastAsia="Times New Roman" w:hAnsi="Times New Roman"/>
          <w:sz w:val="12"/>
          <w:szCs w:val="12"/>
          <w:color w:val="auto"/>
        </w:rPr>
        <w:t>”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 information.</w:t>
      </w:r>
    </w:p>
    <w:p>
      <w:pPr>
        <w:spacing w:after="0" w:line="187"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not have the ability to raise the funds necessary to settle the Oramed Note or the Tranche B Notes in cash upon a change of control or other event of default, and any future debt may contain limitations on our ability to pay cash upon conversion of the Tranche B Notes.</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 change of control transaction triggers an event of default under the Oramed Note, which will result in the full unpaid principal amount of the Oramed Note, together with interest and other amounts owing in respect thereof, to the date of acceleration becoming, at the election of the holder of the Oramed Note, immediately due and payable in cash at the Mandatory Default Amount (as defined in the Oramed Note). Similarly, a change of control transaction (including any fundamental transaction in which our successor is not a public company) triggers the redemption rights of the holders under the Tranche B Notes. If the Tranche B Notes are not retired in connection with such change of control transaction, each holder may require us to redeem in cash all, or any portion, of the Tranche B Notes at a 30% redemption premium to the greater of (i) the amounts then outstanding under the Tranche B Notes to be redeemed; (ii) the equity value of our Common Stock underlying such Tranche B Notes; and (iii) the equity value of the change of control consideration payable to the holders of our Common Stock underlying such Tranche B Notes.</w:t>
      </w:r>
    </w:p>
    <w:p>
      <w:pPr>
        <w:spacing w:after="0" w:line="128" w:lineRule="exact"/>
        <w:rPr>
          <w:sz w:val="20"/>
          <w:szCs w:val="20"/>
          <w:color w:val="auto"/>
        </w:rPr>
      </w:pPr>
    </w:p>
    <w:p>
      <w:pPr>
        <w:jc w:val="both"/>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In such events or in the event of any other redemption event or event of default under the Oramed Note or the Tranche B Notes, we may not have enough available cash or be able to obtain financing at the time we are required to pay cash with respect to the Oramed Note or the Tranche B Notes. In addition, our ability to pay cash upon default of the Oramed Note or the Tranche B Notes may be limited by law, regulatory authority, or any agreements governing our future indebtedness</w:t>
      </w:r>
      <w:r>
        <w:rPr>
          <w:rFonts w:ascii="Times New Roman" w:cs="Times New Roman" w:eastAsia="Times New Roman" w:hAnsi="Times New Roman"/>
          <w:sz w:val="12"/>
          <w:szCs w:val="12"/>
          <w:b w:val="1"/>
          <w:bCs w:val="1"/>
          <w:i w:val="1"/>
          <w:iCs w:val="1"/>
          <w:color w:val="auto"/>
        </w:rPr>
        <w:t>.</w:t>
      </w:r>
    </w:p>
    <w:p>
      <w:pPr>
        <w:spacing w:after="0" w:line="190"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required to make milestone payments to the former stockholders of Semnur in connection with our development and commercialization of SEMDEXA, which could adversely affect the overall profitability of SEMDEXA, if approved.</w:t>
      </w:r>
    </w:p>
    <w:p>
      <w:pPr>
        <w:spacing w:after="0" w:line="3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Under the terms of the Agreement and Plan of Merger (as amended, the “Semnur Acquisition Agreement”) we entered into with Semnur, Sigma Merger Sub, Inc., our prior wholly owned subsidiary (“Sigma Merger Sub”), Fortis Advisors LLC, solely as representative (“Semnur Equityholders’ Representative”) of the holders of Semnur equity (the “Semnur Equityholders”), and Sorrento, for limited purposes, we are obligated to pay the Semnur Equityholders up to an aggregate of $280.0 million in contingent cash consideration based on the achievement of certain milestones. A $40.0 million payment will be due upon obtaining the first approval of an NDA (as defined below) of any Semnur product, which includes SEMDEXA. Additional payments will be due upon the achievement of certain cumulative net sales of Semnur products, as follows:</w:t>
      </w:r>
    </w:p>
    <w:p>
      <w:pPr>
        <w:spacing w:after="0" w:line="62" w:lineRule="exact"/>
        <w:rPr>
          <w:sz w:val="20"/>
          <w:szCs w:val="20"/>
          <w:color w:val="auto"/>
        </w:rPr>
      </w:pPr>
    </w:p>
    <w:p>
      <w:pPr>
        <w:ind w:left="2620" w:hanging="288"/>
        <w:spacing w:after="0"/>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$20.0 million payment upon the achievement of $100.0 million in cumulative net sales of a Semnur product;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$20.0 million payment upon the achievement of $250.0 million in cumulative net sales of a Semnur product;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$50.0 million payment upon the achievement of $500.0 million in cumulative net sales of a Semnur product;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$150.0 million payment upon the achievement of $750.0 million in cumulative net sales of a Semnur product.</w:t>
      </w:r>
    </w:p>
    <w:p>
      <w:pPr>
        <w:spacing w:after="0" w:line="150"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These milestone obligations could impose substantial additional costs on us, divert resources from other aspects of our business, and adversely affect the overall profitability of SEMDEXA, if approved. We may need to obtain additional financing to satisfy these milestone payments, and cannot be sure that any additional funding, if needed, will be available on terms favorable to us, or at all.</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0159"/>
          </w:cols>
          <w:pgMar w:left="300" w:top="36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will require substantial additional funding, which may not be available to us on acceptable terms, or at all.</w:t>
      </w:r>
    </w:p>
    <w:p>
      <w:pPr>
        <w:spacing w:after="0" w:line="82" w:lineRule="exact"/>
        <w:rPr>
          <w:sz w:val="20"/>
          <w:szCs w:val="20"/>
          <w:color w:val="auto"/>
        </w:rPr>
      </w:pPr>
    </w:p>
    <w:p>
      <w:pPr>
        <w:ind w:left="1980" w:right="1159" w:firstLine="294"/>
        <w:spacing w:after="0" w:line="260" w:lineRule="auto"/>
        <w:rPr>
          <w:sz w:val="20"/>
          <w:szCs w:val="20"/>
          <w:color w:val="auto"/>
        </w:rPr>
      </w:pPr>
      <w:r>
        <w:rPr>
          <w:rFonts w:ascii="Times New Roman" w:cs="Times New Roman" w:eastAsia="Times New Roman" w:hAnsi="Times New Roman"/>
          <w:sz w:val="12"/>
          <w:szCs w:val="12"/>
          <w:color w:val="auto"/>
        </w:rPr>
        <w:t>Our operations have consumed substantial amounts of cash since inception. We expect to significantly increase our spending to continue our commercialization efforts for ZTlido, GLOPERBA and ELYXYB, advance development of our current product candidates and launch and commercialize any product candidates for which we receive regulatory approval. Furthermore, we expect to incur additional costs associated with operating as a public company. We will also require additional capital to fund our other operating expenses and capital expenditures.</w:t>
      </w:r>
    </w:p>
    <w:p>
      <w:pPr>
        <w:spacing w:after="0" w:line="122"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As of December 31, 2024, our cash and cash equivalents were approximately $3.3 million and we had an accumulated deficit of approximately $563.1 million. The amount and timing of our future funding requirements will depend on many factors, some of which are outside of our control, including but not limited to:</w:t>
      </w:r>
    </w:p>
    <w:p>
      <w:pPr>
        <w:spacing w:after="0" w:line="56" w:lineRule="exact"/>
        <w:rPr>
          <w:sz w:val="20"/>
          <w:szCs w:val="20"/>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expenses associated with our ongoing commercialization efforts for ZTlido, GLOPERBA and ELYXYB;</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degree of success we experience in commercializing ZTlido, GLOPERBA and ELYXYB;</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revenue generated by sales of ZTlido, GLOPERBA, ELYXYB and other products that may be approved, if 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and costs of conducting studies and clinical trials for our product candidates, SEMDEXA, SP-103 and SP-104;</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and the costs involved in, obtaining regulatory approvals for our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manufacturing ZTlido, GLOPERBA, ELYXYB and our product candidates;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amount of any milestone, royalty or other payments we are required to make pursuant to any current or future collaboration or license agreements;</w:t>
      </w:r>
    </w:p>
    <w:p>
      <w:pPr>
        <w:spacing w:after="0" w:line="48"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48"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ZTlido, GLOPERBA, ELYXYB or any of our product candidates, if approved for commercialization, is adopted by the physician community;</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 candidates and technologies;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products and product candidates and other market developments;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types of future products we develop and commercialize;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product liability or other lawsuits related to our products;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expenses needed to attract, hire and retain skilled personnel;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being a public company;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preparing, filing and prosecuting patent applications and maintaining, enforcing and defending intellectual property-related claims;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related to servicing of our debt;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financing additional clinical, regulatory and commercial activities;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and scope of our general and administrative expenses.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0159"/>
          </w:cols>
          <w:pgMar w:left="300" w:top="36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Until we are able to generate significant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generate sufficient cash to service our indebtedness and other liquidity needs.</w:t>
      </w:r>
    </w:p>
    <w:p>
      <w:pPr>
        <w:spacing w:after="0" w:line="82" w:lineRule="exact"/>
        <w:rPr>
          <w:sz w:val="20"/>
          <w:szCs w:val="20"/>
          <w:color w:val="auto"/>
        </w:rPr>
      </w:pPr>
    </w:p>
    <w:p>
      <w:pPr>
        <w:ind w:left="1980" w:right="1099" w:firstLine="294"/>
        <w:spacing w:after="0" w:line="257" w:lineRule="auto"/>
        <w:rPr>
          <w:sz w:val="20"/>
          <w:szCs w:val="20"/>
          <w:color w:val="auto"/>
        </w:rPr>
      </w:pPr>
      <w:r>
        <w:rPr>
          <w:rFonts w:ascii="Times New Roman" w:cs="Times New Roman" w:eastAsia="Times New Roman" w:hAnsi="Times New Roman"/>
          <w:sz w:val="12"/>
          <w:szCs w:val="12"/>
          <w:color w:val="auto"/>
        </w:rPr>
        <w:t>Our ability to make payments on and to refinance our indebtedness and to fund our other obligations, planned capital expenditures and other strategic investments will depend on our ability to generate cash in the future. This, to a certain extent, is subject to general economic, financial, competitive, legislative, regulatory and other factors that are beyond our control. We may not generate sufficient cash flow from operations, and we cannot assure you that future borrowings will be available to us in an amount sufficient to enable us to pay our indebtedness or to fund our other liquidity needs.</w:t>
      </w:r>
    </w:p>
    <w:p>
      <w:pPr>
        <w:spacing w:after="0" w:line="125"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If we do not generate cash flow from operations sufficient to pay our debt service or other obligations, we may have to undertake alternative financing plans, such as refinancing or restructuring our debt, selling assets, reducing or delaying capital investments or seeking to raise additional capital. Our ability to refinance our debt and fund other obligations will depend on the condition of the capital markets and our financial condition at that time. Any refinancing of our debt could be at higher interest rates and may require us to comply with more onerous covenants, which could further restrict our business operations. See Note 2 titled “</w:t>
      </w:r>
      <w:r>
        <w:rPr>
          <w:rFonts w:ascii="Times New Roman" w:cs="Times New Roman" w:eastAsia="Times New Roman" w:hAnsi="Times New Roman"/>
          <w:sz w:val="12"/>
          <w:szCs w:val="12"/>
          <w:i w:val="1"/>
          <w:iCs w:val="1"/>
          <w:color w:val="auto"/>
        </w:rPr>
        <w:t>Liquidity and Going Concern</w:t>
      </w:r>
      <w:r>
        <w:rPr>
          <w:rFonts w:ascii="Times New Roman" w:cs="Times New Roman" w:eastAsia="Times New Roman" w:hAnsi="Times New Roman"/>
          <w:sz w:val="12"/>
          <w:szCs w:val="12"/>
          <w:color w:val="auto"/>
        </w:rPr>
        <w:t>” of our consolidated financial statements included elsewhere in this prospectus.</w:t>
      </w:r>
    </w:p>
    <w:p>
      <w:pPr>
        <w:spacing w:after="0" w:line="193"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recurring losses from operations, negative cash flows and substantial cumulative net losses raise substantial doubt about our ability to continue as a going concern.</w:t>
      </w:r>
    </w:p>
    <w:p>
      <w:pPr>
        <w:spacing w:after="0" w:line="33" w:lineRule="exact"/>
        <w:rPr>
          <w:sz w:val="20"/>
          <w:szCs w:val="20"/>
          <w:color w:val="auto"/>
        </w:rPr>
      </w:pPr>
    </w:p>
    <w:p>
      <w:pPr>
        <w:ind w:left="1980" w:right="859" w:firstLine="294"/>
        <w:spacing w:after="0" w:line="281" w:lineRule="auto"/>
        <w:rPr>
          <w:sz w:val="20"/>
          <w:szCs w:val="20"/>
          <w:color w:val="auto"/>
        </w:rPr>
      </w:pPr>
      <w:r>
        <w:rPr>
          <w:rFonts w:ascii="Times New Roman" w:cs="Times New Roman" w:eastAsia="Times New Roman" w:hAnsi="Times New Roman"/>
          <w:sz w:val="11"/>
          <w:szCs w:val="11"/>
          <w:color w:val="auto"/>
        </w:rPr>
        <w:t>In Note 2 titled “</w:t>
      </w:r>
      <w:r>
        <w:rPr>
          <w:rFonts w:ascii="Times New Roman" w:cs="Times New Roman" w:eastAsia="Times New Roman" w:hAnsi="Times New Roman"/>
          <w:sz w:val="11"/>
          <w:szCs w:val="11"/>
          <w:i w:val="1"/>
          <w:iCs w:val="1"/>
          <w:color w:val="auto"/>
        </w:rPr>
        <w:t>Liquidity and Going Concern</w:t>
      </w:r>
      <w:r>
        <w:rPr>
          <w:rFonts w:ascii="Times New Roman" w:cs="Times New Roman" w:eastAsia="Times New Roman" w:hAnsi="Times New Roman"/>
          <w:sz w:val="11"/>
          <w:szCs w:val="11"/>
          <w:color w:val="auto"/>
        </w:rPr>
        <w:t>” of our consolidated financial statements included elsewhere in this prospectus, we disclose that there is substantial doubt about our ability to continue as a going concern. In addition, our independent registered public accounting firm included an explanatory paragraph in its report on our consolidated financial statements as of and for the years ended December 31, 2024 and 2023, which stated that management has concluded that substantial doubt exists about our ability to continue as a going concern for one year after the date our consolidated financial statements are issued. We have negative working capital and have incurred significant operating losses and negative cash flows from operations and expect to continue incurring losses for the foreseeable future. Further, we had an accumulated deficit of approximately $563.1 million as of December 31, 2024 and approximately $490.2 million as of December 31, 2023. These conditions raise substantial doubt about our ability to continue as a going concern. Our consolidated financial statements do not include any adjustments that might result from the outcome of this uncertainty.</w:t>
      </w:r>
    </w:p>
    <w:p>
      <w:pPr>
        <w:spacing w:after="0" w:line="113"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We will need to seek additional financing to fund our current operations, including the commercialization of ZTlido, GLOPERBA and ELYXYB, as well as the development of our other material product candidates for the next 12 months. Our plans are substantially dependent upon the success of future sales of ZTlido, ELYXYB and GLOPERBA among which ELYXYB and GLOPERBA are still in the early stages of commercialization, and are dependent upon, among other</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0159"/>
          </w:cols>
          <w:pgMar w:left="300" w:top="36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things, the success of our marketing of ZTlido, ELYXYB and GLOPERBA and our ability to secure additional payor contracts with terms that are consistent with our business plan. If we are unable to obtain sufficient funding, our financial condition and results of operations will be materially and adversely affected and we may be unable to continue as a going concern.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193" w:lineRule="exact"/>
        <w:rPr>
          <w:sz w:val="20"/>
          <w:szCs w:val="20"/>
          <w:color w:val="auto"/>
        </w:rPr>
      </w:pPr>
    </w:p>
    <w:p>
      <w:pPr>
        <w:ind w:left="1980" w:right="899"/>
        <w:spacing w:after="0" w:line="303" w:lineRule="auto"/>
        <w:rPr>
          <w:sz w:val="20"/>
          <w:szCs w:val="20"/>
          <w:color w:val="auto"/>
        </w:rPr>
      </w:pPr>
      <w:r>
        <w:rPr>
          <w:rFonts w:ascii="Times New Roman" w:cs="Times New Roman" w:eastAsia="Times New Roman" w:hAnsi="Times New Roman"/>
          <w:sz w:val="11"/>
          <w:szCs w:val="11"/>
          <w:b w:val="1"/>
          <w:bCs w:val="1"/>
          <w:i w:val="1"/>
          <w:iCs w:val="1"/>
          <w:color w:val="auto"/>
        </w:rPr>
        <w:t>We have previously identified material weaknesses in our internal control over financial reporting. If we experience additional material weaknesses in the future or otherwise fail to maintain an effective system of internal controls in the future, we may not be able to timely and accurately report our financial results and such material weaknesses may result in a material misstatement of our consolidated financial statements.</w:t>
      </w:r>
    </w:p>
    <w:p>
      <w:pPr>
        <w:spacing w:after="0" w:line="29"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In connection with the audit of our consolidated financial statements for the years ended December 31, 2022 and 2021,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2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As more fully disclosed in Item 9A of our Annual Report on Form 10-K for the year ended December 31, 2024, for the years ended December 31, 2022 and 2021, the material weakness identified in our internal control over financial reporting related to ineffective control activities in the areas of revenue, business combination, debt and derivative liabilities caused by a lack of sufficient accounting resources with appropriate experience and technical expertise to effectively execute controls over certain judgmental and technical accounting areas. As a result of the material weakness, we hired additional accounting personnel and are implementing remediation measures including, but not limited to, performing a comprehensive assessment of accounting and finance resource requirements and hiring other personnel with sufficient accounting expertise at our company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consolidated financial statements included in this prospectus. We hired a new Chief Financial Officer in May 2022 at Legacy Scilex and she served as Chief Financial Officer of the Company through September 2023. In May 2023, we appointed a Chief Accounting Officer, who became our Chief Financial Officer in September 2023. In addition, we expect to hire additional personnel with accounting expertise and utilize external accounting experts.</w:t>
      </w:r>
    </w:p>
    <w:p>
      <w:pPr>
        <w:spacing w:after="0" w:line="128"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As of December 31, 2023, we have remediated the previously identified material weaknesses in our internal control over financial reporting, and we have not identified a material weakness in our internal control over financial reporting for the year ended December 31, 2024. If we identify additional material weaknesses or deficiencies in internal controls in the future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our Common Stock, lead to delisting, cause investors to lose confidence in our reported financial information, subject us to civil and criminal investigations and penalties, and generally materially and adversely impact our business and financial condition.</w:t>
      </w:r>
    </w:p>
    <w:p>
      <w:pPr>
        <w:spacing w:after="0" w:line="126"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If, in the future, we identify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0159"/>
          </w:cols>
          <w:pgMar w:left="300" w:top="36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Commercial Operations and Product Development</w:t>
      </w:r>
    </w:p>
    <w:p>
      <w:pPr>
        <w:spacing w:after="0" w:line="78" w:lineRule="exact"/>
        <w:rPr>
          <w:sz w:val="20"/>
          <w:szCs w:val="20"/>
          <w:color w:val="auto"/>
        </w:rPr>
      </w:pPr>
    </w:p>
    <w:p>
      <w:pPr>
        <w:ind w:left="1980" w:right="87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We obtain, or historically have obtained, our commercial supply of certain of our products, the clinical supply of our product candidates and certain of the raw materials used in our product candidates from sole or single source suppliers and manufacturers. In the event of a loss of one of these suppliers or manufacturers, or a failure by any such supplier or manufacturer to comply with FDA regulations, we may not be able to find an alternative source on commercially reasonable terms, or at all.</w:t>
      </w:r>
    </w:p>
    <w:p>
      <w:pPr>
        <w:spacing w:after="0" w:line="4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rely on a number of sole or single source suppliers and manufacturers, including:</w:t>
      </w:r>
    </w:p>
    <w:p>
      <w:pPr>
        <w:spacing w:after="0" w:line="87" w:lineRule="exact"/>
        <w:rPr>
          <w:sz w:val="20"/>
          <w:szCs w:val="20"/>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manufacturer and supplier for the commercial supply of ZTlido, ELYXYB and GLOPERBA;</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manufacturer and supplier for the clinical supply of SP-103;</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manufacturer and supplier for the clinical supply of SP-104;</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supplier of sodium hyaluronate, one of the excipients for SEMDEXA;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manufacturer for the clinical supply of SEMDEXA.</w:t>
      </w:r>
    </w:p>
    <w:p>
      <w:pPr>
        <w:spacing w:after="0" w:line="150" w:lineRule="exact"/>
        <w:rPr>
          <w:sz w:val="20"/>
          <w:szCs w:val="20"/>
          <w:color w:val="auto"/>
        </w:rPr>
      </w:pPr>
    </w:p>
    <w:p>
      <w:pPr>
        <w:ind w:left="1980" w:right="899" w:firstLine="294"/>
        <w:spacing w:after="0" w:line="252" w:lineRule="auto"/>
        <w:rPr>
          <w:sz w:val="20"/>
          <w:szCs w:val="20"/>
          <w:color w:val="auto"/>
        </w:rPr>
      </w:pPr>
      <w:r>
        <w:rPr>
          <w:rFonts w:ascii="Times New Roman" w:cs="Times New Roman" w:eastAsia="Times New Roman" w:hAnsi="Times New Roman"/>
          <w:sz w:val="12"/>
          <w:szCs w:val="12"/>
          <w:color w:val="auto"/>
        </w:rPr>
        <w:t>Under the Product Development Agreement and the Commercial Supply Agreement, we license the rights to ZTlido from, and rely exclusively on, Oishi and Itochu for the manufacturing and supply of ZTlido and SP-103. Oishi and Itochu have the right to terminate the Product Development Agreement and the Commercial Supply Agreement under certain circumstances, including, among other things: (1) if we are in material breach of the agreement and the breach is not curable or if the breach is curable and we fail to cure such material breach within 180 days after notice requesting to cure; (2) if, at any time during the term of the Product Development Agreement and the Commercial Supply Agreement, the market conditions are such that (a) our total net profits for ZTlido and SP-103 are equal to or less than five percent of our net sales of ZTlido and SP-103 for a period of four or more consecutive quarters, or (b) the economic viability of ZTlido and SP-103 is affected significantly as evidenced by documentation and substantial information by any external circumstances deemed detrimental to all parties as agreed to by us, on the one hand, and Oishi and Itochu, on the other hand, and the parties are unable to resolve the concerns under the foregoing clauses (a) and (b) after 30 days of good-faith discussion; and (3) in the event of our bankruptcy or assignment for the benefit of creditors. As of December 31, 2024, our net profits for ZTlido and SP-103 have not exceeded five percent of net sales. Accordingly, Oishi and Itochu have the right to terminate the Product Development Agreement and Commercial Supply Agreement. As of December 31, 2024, neither Oishi nor Itochu has exercised its right of termination. If the Product Development Agreement and the Commercial Supply Agreement are terminated, we would lose access to the intellectual property and proprietary manufacturing process upon which ZTlido and SP-103 depend.</w:t>
      </w:r>
    </w:p>
    <w:p>
      <w:pPr>
        <w:spacing w:after="0" w:line="13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expect our third-party manufacturers and suppliers of both GLOPERBA and ELYXYB are capable of providing sufficient quantities of these products to meet anticipated commercial demands; however, if third parties with whom we currently work are unable to meet our manufacturing and supply requirements, we will need to secure alternate manufacturers and suppliers or face potential delays or shortages. While we believe that there are other contract manufacturers and suppliers with the technical capabilities to manufacture and supply these products, we cannot be certain that identifying and establishing relationships with such sources would not result in significant delay or material additional costs.</w:t>
      </w:r>
    </w:p>
    <w:p>
      <w:pPr>
        <w:spacing w:after="0" w:line="12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Historically, we have purchased our clinical and commercial supply requirements for sodium hyaluronate, one of the excipients for SP-102, solely from Genzyme Corporation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Although we are currently in discussions with Sanofi S.A. (“Sanofi”), an affiliate of Genzyme, and are in the process of identifying and certifying new suppliers, in each case to fulfill our future supply requirements for sodium hyaluronate, we may not be able to reach agreement with Sanofi or find an alternative supplier of sodium hyaluronate on commercially reasonable terms, or at all.</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0159"/>
          </w:cols>
          <w:pgMar w:left="300" w:top="36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Under the Lifecore Master Services Agreement, we depend on Lifecore to manufacture clinical supplies of SEMDEXA. Lifecore has the right to terminate the Lifecore Master Services Agreement under certain circumstances, including, but not limited to: (1) if we are in material breach of the agreement and fail to cure such breach within 30 days of written notice; (2) if we (a) become insolvent, (b) cease to function as a going concern,</w:t>
      </w:r>
    </w:p>
    <w:p>
      <w:pPr>
        <w:spacing w:after="0" w:line="1" w:lineRule="exact"/>
        <w:rPr>
          <w:sz w:val="20"/>
          <w:szCs w:val="20"/>
          <w:color w:val="auto"/>
        </w:rPr>
      </w:pPr>
    </w:p>
    <w:p>
      <w:pPr>
        <w:ind w:left="1980" w:right="919" w:hanging="8"/>
        <w:spacing w:after="0" w:line="252" w:lineRule="auto"/>
        <w:tabs>
          <w:tab w:leader="none" w:pos="2143"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become convicted of or plead guilty to a charge of violating any law relating to either party’s business, or (d) engage in any act which materially impairs goodwill associated with SEMDEXA or materially impairs the terminating party’s trademark or trade name; (3) if we fail to pay past due invoices upon 30 days’ written notice, or (4) if we reject or fail to respond to a major change proposed by Lifecore that does not change Semnur’s written and approved acceptance criteria in its product specifications. In the event that Lifecore decides to terminate the Lifecore Master Services Agreement, finding an alternative manufacturer on commercially reasonable terms, or at all, may be difficult. On June 6, 2023, Semnur entered into the Second Amendment to Lifecore Master Services Agreement with Lifecore, which extended the term of the agreement until December 31, 2028.</w:t>
      </w:r>
    </w:p>
    <w:p>
      <w:pPr>
        <w:spacing w:after="0" w:line="128" w:lineRule="exact"/>
        <w:rPr>
          <w:sz w:val="20"/>
          <w:szCs w:val="20"/>
          <w:color w:val="auto"/>
        </w:rPr>
      </w:pPr>
    </w:p>
    <w:p>
      <w:pPr>
        <w:ind w:left="1980" w:right="919" w:firstLine="294"/>
        <w:spacing w:after="0" w:line="283" w:lineRule="auto"/>
        <w:rPr>
          <w:sz w:val="20"/>
          <w:szCs w:val="20"/>
          <w:color w:val="auto"/>
        </w:rPr>
      </w:pPr>
      <w:r>
        <w:rPr>
          <w:rFonts w:ascii="Times New Roman" w:cs="Times New Roman" w:eastAsia="Times New Roman" w:hAnsi="Times New Roman"/>
          <w:sz w:val="11"/>
          <w:szCs w:val="11"/>
          <w:color w:val="auto"/>
        </w:rPr>
        <w:t>Under the Tulex Master Services Agreement and the statement of work with Tulex, we depend on Tulex to develop, test and manufacture clinical supplies of SP-104. Tulex has the right to terminate the Tulex Master Services Agreement under certain circumstances, including, but not limited to:</w:t>
      </w:r>
    </w:p>
    <w:p>
      <w:pPr>
        <w:spacing w:after="0" w:line="1" w:lineRule="exact"/>
        <w:rPr>
          <w:sz w:val="20"/>
          <w:szCs w:val="20"/>
          <w:color w:val="auto"/>
        </w:rPr>
      </w:pPr>
    </w:p>
    <w:p>
      <w:pPr>
        <w:ind w:left="1980" w:right="879" w:hanging="8"/>
        <w:spacing w:after="0" w:line="252" w:lineRule="auto"/>
        <w:tabs>
          <w:tab w:leader="none" w:pos="215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are in material breach of the agreement or a statement of work and fail to cure such breach within 15 days after receipt of notice of such breach (or such other time period expressly stated in the applicable statement of work) or (2) in the event of our insolvency, bankruptcy, reorganization, liquidation or receivership, or a failure to remove any insolvency, bankruptcy, reorganization, liquidation or receivership proceedings within ten days from the date of institution of such proceedings. In addition, we may terminate the agreement or any statement of work (a) without cause upon 30 days prior written notice to Tulex or (b) immediately upon written notice in the event Tulex is dissolved or undergoes a change in control. In the event that the Tulex Master Services Agreement or a statement of work is terminated, we may not be able to find an alternative manufacturer and supplier on commercially reasonable terms.</w:t>
      </w:r>
    </w:p>
    <w:p>
      <w:pPr>
        <w:spacing w:after="0" w:line="127"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products and product candidates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w:t>
      </w:r>
    </w:p>
    <w:p>
      <w:pPr>
        <w:spacing w:after="0" w:line="126"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In addition, our product candidates may compete with other product candidates and products for access to manufacturing facilities and other supplies. There are a limited number of manufacturers that operate under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spacing w:after="0" w:line="125"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If the commercial supply of our commercial products, clinical supply of our product candidates and certain of the raw materials used in our product candidates are disrupted or delayed, there can be no assurance that alternative sources can serve as adequate replacements or that supplies will be available on terms that are favorable to us, if at all. Any disruption in supply could affect the profitability of ZTlido, the commercialization of GLOPERBA and ELYXYB, and the development of SEMDEXA, SP-103 and SP-104.</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0159"/>
          </w:cols>
          <w:pgMar w:left="300" w:top="36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rely on a single third-party logistics distribution provider for ZTlido, ELYXYB and GLOPERBA.</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We currently rely on Cardinal Health 105, LLC (“Cardinal Health 105”) as our third-party logistics distribution provider for ZTlido, ELYXYB and GLOPERBA in the United States. Cardinal Health 105 also performs the following services on our behalf: customer service, credit checks, invoicing, chargebacks, distributor fee for service, government reporting, customer returns, accounts receivable, inventory control, product security (DSCSA serialization) inquiries and recall assistance. If we are unable to maintain a favorable relationship with Cardinal Health 105, we expect that our revenue would decline and our business would be harmed as a result. We may be unable to control the timing of the delivery of ZTlido, ELYXYB and GLOPERBA to distributors, and any financial uncertainty or loss of key logistic employees of Cardinal Health 105, as our only third-party logistics provider, may negatively impact our sales.</w:t>
      </w:r>
    </w:p>
    <w:p>
      <w:pPr>
        <w:spacing w:after="0" w:line="194"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achieve certain milestones in our Product Development Agreement with Itochu and Oishi, we could lose rights that are important to our business.</w:t>
      </w:r>
    </w:p>
    <w:p>
      <w:pPr>
        <w:spacing w:after="0" w:line="3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Certain of our existing license and supply agreements impose various milestone and other obligations on us. For example, under our Product Development Agreement with Itochu and Oishi, if our total net profits for ZTlido and SP-103 are equal to or less than five percent of our net sales of ZTlido and SP-103 for a period of four or more consecutive quarters, Itochu and Oishi have the right to terminate the Product Development Agreement if the parties are unable to resolve the concerns after 30 days of good-faith negotiation. As of December 31, 2024, our net profits for ZTlido and SP-103 have not exceeded five percent of net sales. Accordingly, Oishi and Itochu have the right to terminate the Product Development Agreement and Commercial Supply Agreement. As of December 31, 2024, neither Oishi nor Itochu has exercised its right of termination.</w:t>
      </w:r>
    </w:p>
    <w:p>
      <w:pPr>
        <w:spacing w:after="0" w:line="125"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If we fail to achieve the milestones under the Product Development Agreement, we may lose our exclusivity rights or the counterparty may have the right to terminate the agreement, any of which could adversely affect our business, financial condition and results of operations.</w:t>
      </w:r>
    </w:p>
    <w:p>
      <w:pPr>
        <w:spacing w:after="0" w:line="179" w:lineRule="exact"/>
        <w:rPr>
          <w:sz w:val="20"/>
          <w:szCs w:val="20"/>
          <w:color w:val="auto"/>
        </w:rPr>
      </w:pPr>
    </w:p>
    <w:p>
      <w:pPr>
        <w:ind w:left="1980" w:right="9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product candidates.</w:t>
      </w:r>
    </w:p>
    <w:p>
      <w:pPr>
        <w:spacing w:after="0" w:line="46"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We currently do not have the ability to independently conduct any clinical trials. The FDA and regulatory authorities in other jurisdictions require us to comply with regulations and standards, commonly referred to as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contract research organizations (“CROs”), to conduct GCP-compliant clinical trials of our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 clinical trials, we could be subject to warning letters or enforcement actions that may include civil penalties up to and including criminal prosecution.</w:t>
      </w:r>
    </w:p>
    <w:p>
      <w:pPr>
        <w:spacing w:after="0" w:line="13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Many of the third parties with whom we contract may also have relationships with other commercial entities, including our competitors, for whom they may also be conducting clinical trials or other drug</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0159"/>
          </w:cols>
          <w:pgMar w:left="300" w:top="36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GCPs,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product candidates would be harmed, our costs could increase, and our ability to generate revenue could be delayed.</w:t>
      </w:r>
    </w:p>
    <w:p>
      <w:pPr>
        <w:spacing w:after="0" w:line="196"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in the future enter into collaborations, in-licensing arrangements, joint ventures, or strategic alliances with third parties that may not result in the development of commercially viable products or the generation of significant future revenues.</w:t>
      </w:r>
    </w:p>
    <w:p>
      <w:pPr>
        <w:spacing w:after="0" w:line="35"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Our business is substantially dependent upon the intellectual property licensed from Oishi and Itochu. In the ordinary course of our business, we may enter into collaborations, additional in-licensing arrangements (such as, for example, the Romeg License Agreement), joint ventures, or strategic alliances to develop proposed products and to pursue new markets.</w:t>
      </w:r>
    </w:p>
    <w:p>
      <w:pPr>
        <w:spacing w:after="0" w:line="119"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w:t>
      </w:r>
    </w:p>
    <w:p>
      <w:pPr>
        <w:spacing w:after="0" w:line="12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Delays in clinical trials could result in increased costs to us and delay our ability to obtain commercial approval and generate additional revenue.</w:t>
      </w:r>
    </w:p>
    <w:p>
      <w:pPr>
        <w:spacing w:after="0" w:line="8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Before obtaining marketing approval for the sale of our product candidates, we must conduct extensive clinical trials to demonstrate the safety and efficacy of our product candidates for their intended indications.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0159"/>
          </w:cols>
          <w:pgMar w:left="300" w:top="36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65" w:lineRule="auto"/>
        <w:rPr>
          <w:sz w:val="20"/>
          <w:szCs w:val="20"/>
          <w:color w:val="auto"/>
        </w:rPr>
      </w:pPr>
      <w:r>
        <w:rPr>
          <w:rFonts w:ascii="Times New Roman" w:cs="Times New Roman" w:eastAsia="Times New Roman" w:hAnsi="Times New Roman"/>
          <w:sz w:val="12"/>
          <w:szCs w:val="12"/>
          <w:color w:val="auto"/>
        </w:rPr>
        <w:t>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56" w:lineRule="exact"/>
        <w:rPr>
          <w:sz w:val="20"/>
          <w:szCs w:val="20"/>
          <w:color w:val="auto"/>
        </w:rPr>
      </w:pPr>
    </w:p>
    <w:p>
      <w:pPr>
        <w:ind w:left="2620" w:right="117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obtaining regulatory authorizations to commence a clinical trial or reaching a consensus with regulatory authorities on trial design;</w:t>
      </w:r>
    </w:p>
    <w:p>
      <w:pPr>
        <w:spacing w:after="0" w:line="48"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identifying prospective clinical investigators or clinical trial sites that have necessary qualifications, interest and capacity to perform a requested protocol;</w:t>
      </w:r>
    </w:p>
    <w:p>
      <w:pPr>
        <w:spacing w:after="0" w:line="48"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obtaining approval from one or more institutional review boards (“IRBs”);</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IRBs refusing to approve, suspending or terminating the trial at the investigational site, precluding enrollment of additional subjects, or withdrawing their approval of the trial;</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the clinical trial protocol;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recruiting suitable subjects to participate in our clinical trials;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by us, any CROs we engage or any other third parties to adhere to clinical trial requirements;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perform in accordance with GCPs;</w:t>
      </w:r>
    </w:p>
    <w:p>
      <w:pPr>
        <w:spacing w:after="0" w:line="87"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the testing, validation, manufacturing and delivery of our product candidates to the clinical sites, including delays by third parties with whom we have contracted to perform certain of those functions;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subjects completing participation in a trial or returning for post-treatment follow-up;</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trial sites or subjects dropping out of a trial;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key investigators departing their clinical sites;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adequate funding to continue the trial;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selection of clinical endpoints that require prolonged periods of clinical observation or analysis of the resulting data;</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subjects experiencing severe or unexpected drug-related adverse effects;</w:t>
      </w:r>
    </w:p>
    <w:p>
      <w:pPr>
        <w:spacing w:after="0" w:line="87" w:lineRule="exact"/>
        <w:rPr>
          <w:rFonts w:ascii="Times New Roman" w:cs="Times New Roman" w:eastAsia="Times New Roman" w:hAnsi="Times New Roman"/>
          <w:sz w:val="12"/>
          <w:szCs w:val="12"/>
          <w:color w:val="auto"/>
        </w:rPr>
      </w:pPr>
    </w:p>
    <w:p>
      <w:pPr>
        <w:ind w:left="2620" w:right="131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imposition of a clinical hold by regulatory authorities as a result of a serious adverse event, after an inspection of our clinical trial operations, trial sites or manufacturing facilities, or for other reasons;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occurrence of serious adverse events in our trials or in trials of the same class of agents conducted by other sponsors;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regulatory requirements or guidance that require amending or submitting new clinical protocols;</w:t>
      </w:r>
    </w:p>
    <w:p>
      <w:pPr>
        <w:spacing w:after="0" w:line="87"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facility manufacturing our product candidates or any of their components being ordered by the FDA to temporarily or permanently shut down due to violations of cGMP regulations or other applicable requirements;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to our manufacturing process that may be necessary or desired;</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third-party clinical investigators losing the licenses or permits necessary to perform our clinical trials and/or not performing our clinical trials on our anticipated schedule or consistent with the clinical trial protocol, GCP, or other regulatory requirements;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0159"/>
          </w:cols>
          <w:pgMar w:left="300" w:top="36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third-party contractors not performing data collection or analysis in a timely or accurate manner; or</w:t>
      </w:r>
    </w:p>
    <w:p>
      <w:pPr>
        <w:spacing w:after="0" w:line="87" w:lineRule="exact"/>
        <w:rPr>
          <w:rFonts w:ascii="Times New Roman" w:cs="Times New Roman" w:eastAsia="Times New Roman" w:hAnsi="Times New Roman"/>
          <w:sz w:val="12"/>
          <w:szCs w:val="12"/>
          <w:color w:val="auto"/>
        </w:rPr>
      </w:pPr>
    </w:p>
    <w:p>
      <w:pPr>
        <w:ind w:left="2620" w:right="859" w:hanging="288"/>
        <w:spacing w:after="0" w:line="265" w:lineRule="auto"/>
        <w:tabs>
          <w:tab w:leader="none" w:pos="262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28"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to conduct additional studies to bridge our modified product candidates to earlier versions. We do not know whether any of our clinical trials, including our planned clinical trials of SP-103, SP-104 and SEMDEXA,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94"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could be adversely affected by the effects of health pandemics or other health crises, which could cause significant disruptions in our operations and those of our CMOs, CROs and other third parties upon whom we rely.</w:t>
      </w:r>
    </w:p>
    <w:p>
      <w:pPr>
        <w:spacing w:after="0" w:line="35"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Health pandemics or other health crises, including COVID-19, have in the past and could again in the future result in a disruption of our businesses, delay our research and development programs and timelines, negatively impact our productivity and increase risks associated with cybersecurity. More specifically, these types of events may negatively impact personnel at third-party manufacturing facilities or the availability or cost of materials, which could disrupt our supply chain. Moreover, our clinical trials may be negatively affected. Clinical site initiation and patient enrollment may be delayed due to prioritization of hospital resources. Some patients may not be able or willing to comply with trial protocols if wide-spread health crisis impede patient movement or interrupt healthcare services. Our ability to recruit and retain patients, principal investigators and site staff (who as healthcare providers may have heightened exposure) may be hindered, which would adversely affect our trial operations. In addition, we rely on independent clinical investigators, CROs and other third-party service providers to assist us in managing, monitoring and otherwise carrying out our clinical trials, including the collection of data from our trials, and the effects of health pandemics or other health crises may affect their ability to devote sufficient time and resources to our programs. As a result, the expected timeline for data readouts, including incompleteness in data collection and analysis and other related activities, and certain regulatory filings may be negatively impacted, which would adversely affect our ability to obtain regulatory approval for and to commercialize our product candidates, increase our operating expenses and adversely affect</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0159"/>
          </w:cols>
          <w:pgMar w:left="300" w:top="36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59"/>
        <w:spacing w:after="0" w:line="279" w:lineRule="auto"/>
        <w:rPr>
          <w:sz w:val="20"/>
          <w:szCs w:val="20"/>
          <w:color w:val="auto"/>
        </w:rPr>
      </w:pPr>
      <w:r>
        <w:rPr>
          <w:rFonts w:ascii="Times New Roman" w:cs="Times New Roman" w:eastAsia="Times New Roman" w:hAnsi="Times New Roman"/>
          <w:sz w:val="12"/>
          <w:szCs w:val="12"/>
          <w:color w:val="auto"/>
        </w:rPr>
        <w:t>our business, financial condition, results of operations and prospects. In addition, the impact of such health pandemics or other health crises on the operations of the FDA or other regulatory authorities could negatively affect our planned trials and approval processes.</w:t>
      </w:r>
    </w:p>
    <w:p>
      <w:pPr>
        <w:spacing w:after="0" w:line="179" w:lineRule="exact"/>
        <w:rPr>
          <w:sz w:val="20"/>
          <w:szCs w:val="20"/>
          <w:color w:val="auto"/>
        </w:rPr>
      </w:pPr>
    </w:p>
    <w:p>
      <w:pPr>
        <w:ind w:left="198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complete the necessary clinical trials, we cannot predict when, or if, we will obtain regulatory approval for our product candidates and the approval may be for a more narrow indication than we seek.</w:t>
      </w:r>
    </w:p>
    <w:p>
      <w:pPr>
        <w:spacing w:after="0" w:line="35" w:lineRule="exact"/>
        <w:rPr>
          <w:sz w:val="20"/>
          <w:szCs w:val="20"/>
          <w:color w:val="auto"/>
        </w:rPr>
      </w:pPr>
    </w:p>
    <w:p>
      <w:pPr>
        <w:ind w:left="1980" w:right="919" w:firstLine="294"/>
        <w:spacing w:after="0" w:line="280" w:lineRule="auto"/>
        <w:rPr>
          <w:sz w:val="20"/>
          <w:szCs w:val="20"/>
          <w:color w:val="auto"/>
        </w:rPr>
      </w:pPr>
      <w:r>
        <w:rPr>
          <w:rFonts w:ascii="Times New Roman" w:cs="Times New Roman" w:eastAsia="Times New Roman" w:hAnsi="Times New Roman"/>
          <w:sz w:val="11"/>
          <w:szCs w:val="11"/>
          <w:color w:val="auto"/>
        </w:rPr>
        <w:t>We cannot commercialize our product candidates until the appropriate regulatory authorities have reviewed and approved the product candidates.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product candidates meet the safety and efficacy endpoints in clinical trials, the data may not be considered sufficient by regulatory authorities, those regulatory authorities may not complete their review processes in a timely manner, or we may not be able to obtain regulatory approval. Additional delays may result if an FDA advisory committee is convened, including if such advisory committee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Even if we receive regulatory approval, the FDA may approve a product candidate for more limited indications than requested or they may impose significant limitations in the form of narrow indications, black box warnings or a Risk Evaluation and Mitigation Strategy (“REMS”). The FDA may require labeling that includes warnings and precautions or contra-indications with respect to conditions of use, or may grant approval subject to the performance of costly post-marketing clinical trials. In addition, the FDA may not approve the labeling claims that are considered necessary or desirable for the successful commercialization of our product candidates. Any of the foregoing scenarios could materially harm the commercial prospects for our product candidates.</w:t>
      </w:r>
    </w:p>
    <w:p>
      <w:pPr>
        <w:spacing w:after="0" w:line="125"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Additionally, if the results of any clinical trials are inconclusive or if there are safety concerns or serious adverse events associated with our product candidates, we may:</w:t>
      </w:r>
    </w:p>
    <w:p>
      <w:pPr>
        <w:spacing w:after="0" w:line="48" w:lineRule="exact"/>
        <w:rPr>
          <w:sz w:val="20"/>
          <w:szCs w:val="20"/>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delayed or fail in obtaining marketing approval for our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approval for indications or patient populations that are not as broad as we intended or desired;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approval with labeling that includes significant use or distribution restrictions or safety warnings;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subject to changes in the way the products are administered;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required to perform additional clinical trials to support approval or be subject to additional post-marketing testing requirements;</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regulatory authorities withdraw, or suspend, their approval of the product or impose restrictions on its distribution in the form of a modified REMS;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sued and held liable for harm caused to patients; or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experience damage to our reputation.</w:t>
      </w:r>
    </w:p>
    <w:p>
      <w:pPr>
        <w:spacing w:after="0" w:line="218" w:lineRule="exact"/>
        <w:rPr>
          <w:sz w:val="20"/>
          <w:szCs w:val="20"/>
          <w:color w:val="auto"/>
        </w:rPr>
      </w:pPr>
    </w:p>
    <w:p>
      <w:pPr>
        <w:ind w:left="1980" w:right="10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find it difficult to enroll or maintain patients in our clinical trials, which could delay or prevent us from proceeding with clinical trials of our product candidates.</w:t>
      </w:r>
    </w:p>
    <w:p>
      <w:pPr>
        <w:spacing w:after="0" w:line="3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Identifying and qualifying patients to participate in any clinical trials of our product candidates is critical to our success. The timing of any clinical trials depends on our ability to recruit patients and to complete required follow-up periods. If patients are unwilling to participate in our clinical trials due to negative publicity from</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0159"/>
          </w:cols>
          <w:pgMar w:left="300" w:top="36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60" w:lineRule="auto"/>
        <w:rPr>
          <w:sz w:val="20"/>
          <w:szCs w:val="20"/>
          <w:color w:val="auto"/>
        </w:rPr>
      </w:pPr>
      <w:r>
        <w:rPr>
          <w:rFonts w:ascii="Times New Roman" w:cs="Times New Roman" w:eastAsia="Times New Roman" w:hAnsi="Times New Roman"/>
          <w:sz w:val="12"/>
          <w:szCs w:val="12"/>
          <w:color w:val="auto"/>
        </w:rPr>
        <w:t>adverse events, competitive clinical trials for similar patient populations, or for other reasons, the timeline for recruiting patients, conducting trials and potentially obtaining regulatory approval may be delayed. We may also experience delays if patients withdraw from a clinical trial or do not complete the required monitoring period. These delays could result in increased costs, delays in advancing our product candidates, delays in testing the effectiveness of our product candidates or termination of clinical trials altogether.</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Patient enrollment is affected by many factors, including:</w:t>
      </w:r>
    </w:p>
    <w:p>
      <w:pPr>
        <w:spacing w:after="0" w:line="87" w:lineRule="exact"/>
        <w:rPr>
          <w:sz w:val="20"/>
          <w:szCs w:val="20"/>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and nature of the patient population;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proximity of patients to clinical sites;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eligibility and exclusion criteria for the trial;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 of the clinical trial;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competing clinical trials;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 that enrolled patients will not complete a clinical trial;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monitor patients adequately during and after treatment;</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65" w:lineRule="auto"/>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disruptions caused by COVID-19 (or other similar disruptions), including difficulties in initiating clinical sites, enrolling and retaining participants, diversion of healthcare resources away from clinical trials, travel or quarantine policies that may be implemented and other factors;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recruit clinical trial investigators with the appropriate competencies and experience;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clinicians’ and patients’ perceptions as to the potential advantages of the product candidate in relation to other available products.</w:t>
      </w:r>
    </w:p>
    <w:p>
      <w:pPr>
        <w:spacing w:after="0" w:line="15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conditions for which we currently plan to evaluate our product candidates are common, but the eligibility criteria of our clinical trials limit the pool of available trial participants. For example, we experienced a delay in the enrollment of our now completed SEMDEXA Phase 3 clinical trial in sciatica due to the selective eligibility criteria in place to reduce the placebo effect and the impacts of COVID-19, and may experience similar issues with enrollment of our other planned clinical trials.</w:t>
      </w:r>
    </w:p>
    <w:p>
      <w:pPr>
        <w:spacing w:after="0" w:line="12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Under the federal Food and Drug Omnibus Reform Act (the “FDORA”), sponsors are required to develop and submit a diversity action plan for each Phase 3 clinical trial or any other “pivotal study” of a new drug product. These plans are meant to encourage enrollment of more diverse patient populations in late-stage clinical trials of FDA-regulated products. In June 2024, as mandated by FDORA, the FDA issued draft guidance outlining the general requirements for diversity action plans. Unlike most guidance documents issued by the FDA, the diversity action plan guidance, when finalized, will have the force of law. In January 2025, in response to an executive order issued by President Trump on diversity, equity and inclusion programs, the FDA removed this draft guidance from its website. The implications of this action are not yet known. If we are not able to adhere to any new requirements, our ability to conduct clinical trials may be delayed or halted.</w:t>
      </w:r>
    </w:p>
    <w:p>
      <w:pPr>
        <w:spacing w:after="0" w:line="126"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In addition, our clinical trials will compete with other clinical trials for product candidates that are in the same therapeutic areas as our product candidates, and this competition will reduce the number and types of patients available to it,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0159"/>
          </w:cols>
          <w:pgMar w:left="300" w:top="36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91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incidence and prevalence for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w:t>
      </w:r>
    </w:p>
    <w:p>
      <w:pPr>
        <w:spacing w:after="0" w:line="46"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Periodically, we make estimates regarding the incidence and prevalence of target patient populations of our product candidates based on various third-party sources and internally generated analyses and use such estimates in making decisions regarding our product development strategy, including acquiring or in-licensing product candidates and determining indications on which to focus in preclinical studies or clinical trials.</w:t>
      </w:r>
    </w:p>
    <w:p>
      <w:pPr>
        <w:spacing w:after="0" w:line="119"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These estimates may be inaccurate or based on imprecise data. For example, the total addressable market opportunities will depend on, among other things, acceptance by the medical community and patient access,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face significant competition and our competitors may discover, develop or commercialize products faster or more successfully than us.</w:t>
      </w:r>
    </w:p>
    <w:p>
      <w:pPr>
        <w:spacing w:after="0" w:line="8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The biotechnology and pharmaceutical industries are characterized by intense competition and rapid technological advances. In addition, the competition in the pain management market, and other relevant markets, is intense.</w:t>
      </w:r>
    </w:p>
    <w:p>
      <w:pPr>
        <w:spacing w:after="0" w:line="111" w:lineRule="exact"/>
        <w:rPr>
          <w:sz w:val="20"/>
          <w:szCs w:val="20"/>
          <w:color w:val="auto"/>
        </w:rPr>
      </w:pPr>
    </w:p>
    <w:p>
      <w:pPr>
        <w:ind w:left="1980" w:right="859" w:firstLine="294"/>
        <w:spacing w:after="0" w:line="231" w:lineRule="auto"/>
        <w:rPr>
          <w:sz w:val="20"/>
          <w:szCs w:val="20"/>
          <w:color w:val="auto"/>
        </w:rPr>
      </w:pPr>
      <w:r>
        <w:rPr>
          <w:rFonts w:ascii="Times New Roman" w:cs="Times New Roman" w:eastAsia="Times New Roman" w:hAnsi="Times New Roman"/>
          <w:sz w:val="12"/>
          <w:szCs w:val="12"/>
          <w:color w:val="auto"/>
        </w:rPr>
        <w:t>ZTlido and our product candidate, SP-103, face and will likely face competition from other prescription patches, generic topical lidocaine patches, and OTC lidocaine patches, including Lidoderm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generic lidocaine patches manufactured by Mylan N.V., Teva and Par Pharmaceutical, Inc., and various OTC patches. Additionally, SP-103, if approved, will likely compete with various opioid pain medications, NSAIDs, muscle relaxants, antidepressants and anticonvulsants particularly as we seek approval for the treatment of chronic neck pain.</w:t>
      </w:r>
    </w:p>
    <w:p>
      <w:pPr>
        <w:spacing w:after="0" w:line="133"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SEMDEXA,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SEMDEXA, if approved, also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spacing w:after="0" w:line="125"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While there are currently no formulations containing naltrexone in clinical development for the treatment of fibromyalgia, we are aware of certain non-opioid therapeutics currently in a late-stage phase 3 pipeline containing two 505(b)(2) development programs. Our product candidate, SP-104, will likely face direct competition from these candidates.</w:t>
      </w:r>
    </w:p>
    <w:p>
      <w:pPr>
        <w:spacing w:after="0" w:line="119"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w:t>
      </w:r>
    </w:p>
    <w:p>
      <w:pPr>
        <w:spacing w:after="0" w:line="125"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Additional mergers and acquisitions in the biotechnology and pharmaceutical industries may result in even more resources being concentrated in our competitors. As a result, these companies may obtain regulatory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0159"/>
          </w:cols>
          <w:pgMar w:left="300" w:top="36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w:t>
      </w:r>
    </w:p>
    <w:p>
      <w:pPr>
        <w:spacing w:after="0" w:line="126"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w:t>
      </w:r>
    </w:p>
    <w:p>
      <w:pPr>
        <w:spacing w:after="0" w:line="190" w:lineRule="exact"/>
        <w:rPr>
          <w:sz w:val="20"/>
          <w:szCs w:val="20"/>
          <w:color w:val="auto"/>
        </w:rPr>
      </w:pPr>
    </w:p>
    <w:p>
      <w:pPr>
        <w:ind w:left="1980" w:right="9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third-party payor coverage and reimbursement status of newly approved products is uncertain. Failure to obtain or maintain coverage and adequate reimbursement for ZTlido, GLOPERBA, ELYXYB or our product candidates, if approved, could decrease our ability to generate product revenue.</w:t>
      </w:r>
    </w:p>
    <w:p>
      <w:pPr>
        <w:spacing w:after="0" w:line="46"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There is significant uncertainty related to the third-party coverage and reimbursement of existing and newly approved products. Market acceptance and sales of ZTlido, GLOPERBA, ELYXYB and our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ZTlido can differ significantly from payor to payor, and we may not be able to maintain adequate coverage and reimbursement in the future.</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Further, obtaining coverage and reimbursement approval for a product from a government or other third-party payor is a time-consuming and costly process that could require us to provide supporting scientific, clinical and cost-effectiveness data for the use of our products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w:t>
      </w:r>
    </w:p>
    <w:p>
      <w:pPr>
        <w:spacing w:after="0" w:line="128"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market for our products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w:t>
      </w:r>
    </w:p>
    <w:p>
      <w:pPr>
        <w:spacing w:after="0" w:line="122"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0159"/>
          </w:cols>
          <w:pgMar w:left="300" w:top="36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prices for products. 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do not follow price structures of the United States and generally prices tend to be significantly lower.</w:t>
      </w:r>
    </w:p>
    <w:p>
      <w:pPr>
        <w:spacing w:after="0" w:line="125"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Our product candidate SEMDEXA is expected to be a physician-administered injectable viscous gel and as such, separate reimbursement for the product itself may not be available. Instead, if SEMDEXA receives regulatory approval, the administering physician may be reimbursed only for providing the treatment or procedure in which SEMDEXA is used. To the extent separate coverage and reimbursement should become available for SEMDEXA,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w:t>
      </w:r>
    </w:p>
    <w:p>
      <w:pPr>
        <w:spacing w:after="0" w:line="128"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Further, the codes used by providers to bill for SEMDEXA,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any of our product candidates. If our product candidates are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spacing w:after="0" w:line="194" w:lineRule="exact"/>
        <w:rPr>
          <w:sz w:val="20"/>
          <w:szCs w:val="20"/>
          <w:color w:val="auto"/>
        </w:rPr>
      </w:pPr>
    </w:p>
    <w:p>
      <w:pPr>
        <w:ind w:left="1980" w:right="12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Because we have multiple programs and product candidates in our development pipeline and are pursuing a variety of target indications and treatment approaches, we may expend our limited resources to pursue a particular product candidate and fail to capitalize on development opportunities or product candidates that may be more profitable or for which there is a greater likelihood of success.</w:t>
      </w:r>
    </w:p>
    <w:p>
      <w:pPr>
        <w:spacing w:after="0" w:line="46"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Apart from our FDA-approved products, ZTlido, GLOPERBA and ELYXYB, we currently have several product candidates that are at various stages of development. We have limited financial and management resources. As a result, we may forego or delay pursuit of opportunities with potential target indications or product candidates that later prove to have greater commercial potential than our current and planned development programs and product candidates.</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We strive to progress product candidates that can address unmet or underserved medical needs and favor those candidates with large market opportunities. However, our resource allocation decisions may cause us to fail to capitalize on viable commercial product candidates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be required to relinquish valuable rights to that product candidate through collaboration, licensing or other royalty arrangements in cases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0159"/>
          </w:cols>
          <w:pgMar w:left="300" w:top="36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 which it would have been more advantageous for us to retain sole development and commercialization rights to such future product candidates.</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Additionally, we may pursue additional in-licenses or acquisitions of product candidates or programs, which entails additional risk to us.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93" w:lineRule="exact"/>
        <w:rPr>
          <w:sz w:val="20"/>
          <w:szCs w:val="20"/>
          <w:color w:val="auto"/>
        </w:rPr>
      </w:pPr>
    </w:p>
    <w:p>
      <w:pPr>
        <w:ind w:left="1980" w:right="13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Drug development involves a lengthy and expensive process with an uncertain outcome, and results of earlier studies and trials may not be predictive of future trial results.</w:t>
      </w:r>
    </w:p>
    <w:p>
      <w:pPr>
        <w:spacing w:after="0" w:line="3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Clinical testing is expensive, difficult to design and implement, and can take many years to complete, in part because it is subject to rigorous regulatory requirements. The FDA or other regulatory authorities may not agree with the proposed analysis plans or trial design for the clinical trials of our product candidates. They may also not agree with the scope of our proposed investigational plan. In addition, the outcome of our clinical trials is risky and uncertain. Failure can occur at any time during the clinical trial process. The results of preclinical studies and early clinical trials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pharmaceutical industry to suffer significant setbacks in advanced clinical trials due to lack of efficacy or adverse safety profiles, notwithstanding promising results in earlier trials. Our future clinical trial results may not be successful.</w:t>
      </w:r>
    </w:p>
    <w:p>
      <w:pPr>
        <w:spacing w:after="0" w:line="128"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This product candidate development risk is heightened by any changes in the planned clinical trials compared to the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 stage clinical trials, approval and commercialization, such changes carry the risk that they will not achieve their intended objectives.</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A Phase 3 trial was completed for SEMDEXA for the treatment of sciatica, a Phase 2 trial was completed for SP-103 in 2023, and multiple Phase 1 trials were completed in the first half of 2022 for SP-104. We may not have the necessary capabilities, including adequate staffing, to successfully manage the execution and completion of such clinical trials in a way that leads to our obtaining marketing approval for our product candidates in a timely manner, or at all. Our clinical trials may produce negative or inconclusive results, and, in the future, we may decide, or regulators may require us, to conduct additional clinical trials and preclinical studies in addition to those we have planned.</w:t>
      </w:r>
    </w:p>
    <w:p>
      <w:pPr>
        <w:spacing w:after="0" w:line="125" w:lineRule="exact"/>
        <w:rPr>
          <w:sz w:val="20"/>
          <w:szCs w:val="20"/>
          <w:color w:val="auto"/>
        </w:rPr>
      </w:pPr>
    </w:p>
    <w:p>
      <w:pPr>
        <w:ind w:left="1980" w:right="959" w:firstLine="294"/>
        <w:spacing w:after="0" w:line="254" w:lineRule="auto"/>
        <w:rPr>
          <w:sz w:val="20"/>
          <w:szCs w:val="20"/>
          <w:color w:val="auto"/>
        </w:rPr>
      </w:pPr>
      <w:r>
        <w:rPr>
          <w:rFonts w:ascii="Times New Roman" w:cs="Times New Roman" w:eastAsia="Times New Roman" w:hAnsi="Times New Roman"/>
          <w:sz w:val="12"/>
          <w:szCs w:val="12"/>
          <w:color w:val="auto"/>
        </w:rPr>
        <w:t>In March 2022, we announced final results from our Phase 3 trial for SEMDEXA, which reflect positive results with respect to primary and secondary endpoints, and we intend to use the results to support a NDA submission seeking approval for the treatment of sciatica. In November 2023, we had a Type C meeting with the FDA to discuss the requirements for filing a 505(b)(2) NDA for SEMDEXA. In the Type C meeting, the FDA indicated that it disagreed with us that the clinical data we had collected was sufficient to support the safety and efficacy of SEMDEXA. The FDA provided guidance regarding expectations for the additional confirmatory trial needed prior to a 505(b)(2) NDA filing and the circumstances under which one adequate and well-controlled trial would be sufficient for product registration. In February 2024, we had a Type D meeting with the FDA to preview a newly designed trial, in order to reduce the potential need for any other additional trials prior to a 505(b)(2) NDA filing. During the Type D meeting, the FDA provided further guidance with respect to efficacy</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0159"/>
          </w:cols>
          <w:pgMar w:left="300" w:top="36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requirements and expectations on the size of safety database needed to help best position us to be able to satisfy the requirements for a 505(b)(2) pathway approval. Our failure to adequately demonstrate the safety and effectiveness of our product candidates would prevent regulatory approval and, ultimately, the commercialization of that product for the proposed indication for use.</w:t>
      </w:r>
    </w:p>
    <w:p>
      <w:pPr>
        <w:spacing w:after="0" w:line="187"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w:t>
      </w:r>
    </w:p>
    <w:p>
      <w:pPr>
        <w:spacing w:after="0" w:line="12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w:t>
      </w:r>
    </w:p>
    <w:p>
      <w:pPr>
        <w:spacing w:after="0" w:line="197"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spacing w:after="0" w:line="35" w:lineRule="exact"/>
        <w:rPr>
          <w:sz w:val="20"/>
          <w:szCs w:val="20"/>
          <w:color w:val="auto"/>
        </w:rPr>
      </w:pPr>
    </w:p>
    <w:p>
      <w:pPr>
        <w:jc w:val="both"/>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Before obtaining regulatory approvals for the commercial sale of any of our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w:t>
      </w:r>
    </w:p>
    <w:p>
      <w:pPr>
        <w:spacing w:after="0" w:line="122"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We cannot be certain that our current clinical trials or any other future clinical trials will be successful. Additionally, any safety concerns observed in any one of our clinical trials in our targeted indications could limit</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44</w:t>
      </w:r>
    </w:p>
    <w:p>
      <w:pPr>
        <w:sectPr>
          <w:pgSz w:w="11900" w:h="16838" w:orient="portrait"/>
          <w:cols w:equalWidth="0" w:num="1">
            <w:col w:w="10159"/>
          </w:cols>
          <w:pgMar w:left="300" w:top="36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55" w:lineRule="auto"/>
        <w:rPr>
          <w:sz w:val="20"/>
          <w:szCs w:val="20"/>
          <w:color w:val="auto"/>
        </w:rPr>
      </w:pPr>
      <w:r>
        <w:rPr>
          <w:rFonts w:ascii="Times New Roman" w:cs="Times New Roman" w:eastAsia="Times New Roman" w:hAnsi="Times New Roman"/>
          <w:sz w:val="12"/>
          <w:szCs w:val="12"/>
          <w:color w:val="auto"/>
        </w:rPr>
        <w:t>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194"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3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order to market any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w:t>
      </w:r>
    </w:p>
    <w:p>
      <w:pPr>
        <w:spacing w:after="0" w:line="12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impeded.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suffer reputational harm due to failures of our product candidates.</w:t>
      </w:r>
    </w:p>
    <w:p>
      <w:pPr>
        <w:spacing w:after="0" w:line="8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The failure of any of our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spacing w:after="0" w:line="190" w:lineRule="exact"/>
        <w:rPr>
          <w:sz w:val="20"/>
          <w:szCs w:val="20"/>
          <w:color w:val="auto"/>
        </w:rPr>
      </w:pPr>
    </w:p>
    <w:p>
      <w:pPr>
        <w:ind w:left="1980" w:right="12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ZTlido, GLOPERBA and ELYXYB may have undesirable properties that could result in significant negative consequences, and our product candidates may cause undesirable side effects that could delay or prevent their regulatory approval.</w:t>
      </w:r>
    </w:p>
    <w:p>
      <w:pPr>
        <w:spacing w:after="0" w:line="3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As is the case with pharmaceuticals generally, it is likely that there may be side effects and adverse events associated with ZTlido, GLOPERBA, ELYXYB and our product candidates. In the event that ZTlido, GLOPERBA or ELYXYB is identified to have undesirable side effects, a number of potentially significant negative consequences could occur. Regulatory authorities may withdraw their approval of the product or seize the product. Restrictions may be imposed on the manufacturing or marketing of ZTlido, GLOPERBA or ELYXYB or any component thereof, including the imposition of a REMS plan that may require creation of a Medication Guide outlining the risks of such side effects for distribution to patients, as well as elements to assure safe use of the product, such as a patient registry and training and certification of prescribers. Any of these events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0159"/>
          </w:cols>
          <w:pgMar w:left="300" w:top="36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could damage our reputation and prevent us from achieving or maintaining market acceptance of ZTlido, GLOPERBA or ELYXYB.</w:t>
      </w:r>
    </w:p>
    <w:p>
      <w:pPr>
        <w:spacing w:after="0" w:line="150" w:lineRule="exact"/>
        <w:rPr>
          <w:sz w:val="20"/>
          <w:szCs w:val="20"/>
          <w:color w:val="auto"/>
        </w:rPr>
      </w:pPr>
    </w:p>
    <w:p>
      <w:pPr>
        <w:ind w:left="1980" w:right="1019" w:firstLine="294"/>
        <w:spacing w:after="0" w:line="256" w:lineRule="auto"/>
        <w:rPr>
          <w:sz w:val="20"/>
          <w:szCs w:val="20"/>
          <w:color w:val="auto"/>
        </w:rPr>
      </w:pPr>
      <w:r>
        <w:rPr>
          <w:rFonts w:ascii="Times New Roman" w:cs="Times New Roman" w:eastAsia="Times New Roman" w:hAnsi="Times New Roman"/>
          <w:sz w:val="12"/>
          <w:szCs w:val="12"/>
          <w:color w:val="auto"/>
        </w:rPr>
        <w:t>In the clinical trials we conduct with our product candidates, patients may experience changes in their health, including illnesses, injuries, discomforts or a fatal outcome. Often, it is not possible to determine whether the 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w:t>
      </w:r>
    </w:p>
    <w:p>
      <w:pPr>
        <w:spacing w:after="0" w:line="12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In the event that our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90" w:lineRule="exact"/>
        <w:rPr>
          <w:sz w:val="20"/>
          <w:szCs w:val="20"/>
          <w:color w:val="auto"/>
        </w:rPr>
      </w:pPr>
    </w:p>
    <w:p>
      <w:pPr>
        <w:ind w:left="1980" w:right="99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ZTlido, GLOPERBA, ELYXYB and our product candidates are complex and difficult to manufacture. We could experience delays in satisfying regulatory authorities or manufacturing problems that result in delays in our development or commercialization programs, limit the supply of our product candidates, or otherwise harm our business.</w:t>
      </w:r>
    </w:p>
    <w:p>
      <w:pPr>
        <w:spacing w:after="0" w:line="46"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We currently depend on contract manufacturers to conduct the manufacturing and supply activities for ZTlido, GLOPERBA, ELYXYB and our product candidates. Manufacturing these product candidates require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25"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If contaminations are discovered in our supply of ZTlido, GLOPERBA, ELYXYB or our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In addition, there are risks associated with large 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w:t>
      </w:r>
    </w:p>
    <w:p>
      <w:pPr>
        <w:spacing w:after="0" w:line="125"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0159"/>
          </w:cols>
          <w:pgMar w:left="300" w:top="36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which could limit our access to additional attractive development programs. Problems in our manufacturing process could restrict our ability to meet potential future market demand for products, which could harm our business, financial condition and results of operations.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Business and Operations</w:t>
      </w:r>
    </w:p>
    <w:p>
      <w:pPr>
        <w:spacing w:after="0" w:line="78" w:lineRule="exact"/>
        <w:rPr>
          <w:sz w:val="20"/>
          <w:szCs w:val="20"/>
          <w:color w:val="auto"/>
        </w:rPr>
      </w:pPr>
    </w:p>
    <w:p>
      <w:pPr>
        <w:ind w:left="1980" w:right="12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retain our key executives, it may delay our development efforts and harm our business, financial condition and results of operations.</w:t>
      </w:r>
    </w:p>
    <w:p>
      <w:pPr>
        <w:spacing w:after="0" w:line="3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Jaisim Shah, our President and Chief Executive Officer, Henry Ji, Ph.D., our Executive Chairperson, and Stephen Ma, our Chief Financial Officer. The loss of services of these executive officers could delay or prevent the successful development of our product pipeline, completion of our planned clinical trials and the successful commercialization of ZTlido, GLOPERBA and ELYXYB. We do not carry “key person” insurance on any of our executive officers or other employees.</w:t>
      </w:r>
    </w:p>
    <w:p>
      <w:pPr>
        <w:spacing w:after="0" w:line="126"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Competition for key executives in the biotechnology and pharmaceuticals field is intense, due to the limited number of individuals who possess the skills and experience required by our industry. Many of the 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need to increase the size of our company and may not effectively manage our growth.</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As of December 31, 2024, we had approximately 115 full-time employees. We may need to continue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w:t>
      </w:r>
    </w:p>
    <w:p>
      <w:pPr>
        <w:spacing w:after="0" w:line="59" w:lineRule="exact"/>
        <w:rPr>
          <w:sz w:val="20"/>
          <w:szCs w:val="20"/>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identifying, recruiting, integrating, maintaining and motivating additional employees;</w:t>
      </w:r>
    </w:p>
    <w:p>
      <w:pPr>
        <w:spacing w:after="0" w:line="87"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managing our internal development efforts effectively, including the clinical, FDA and internal regulatory review process for our product candidates, while complying with our contractual obligations to contractors and other third parties;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improving our operational, financial and management controls, reporting systems and procedures.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Our future financial performance and our ability to commercialize our product candidates will depend, in part, on our ability to effectively manage any future growth, if any, which may cause a significant strain on our</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0159"/>
          </w:cols>
          <w:pgMar w:left="300" w:top="36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management, and our operational, financial and other resources. Our ability to manage our growth 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w:t>
      </w:r>
    </w:p>
    <w:p>
      <w:pPr>
        <w:spacing w:after="0" w:line="193" w:lineRule="exact"/>
        <w:rPr>
          <w:sz w:val="20"/>
          <w:szCs w:val="20"/>
          <w:color w:val="auto"/>
        </w:rPr>
      </w:pPr>
    </w:p>
    <w:p>
      <w:pPr>
        <w:ind w:left="1980" w:right="10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There is no assurance that we will complete the Semnur Business Combination with respect to the sale of our wholly owned subsidiary, Semnur, and/or our SP-102 product candidate, under the terms of the Merger Agreement or otherwise and the failure to complete the Semnur Business Combination could adversely affect our stock price and future business and financial results.</w:t>
      </w:r>
    </w:p>
    <w:p>
      <w:pPr>
        <w:spacing w:after="0" w:line="46" w:lineRule="exact"/>
        <w:rPr>
          <w:sz w:val="20"/>
          <w:szCs w:val="20"/>
          <w:color w:val="auto"/>
        </w:rPr>
      </w:pPr>
    </w:p>
    <w:p>
      <w:pPr>
        <w:ind w:left="1980" w:right="859" w:firstLine="294"/>
        <w:spacing w:after="0" w:line="244" w:lineRule="auto"/>
        <w:rPr>
          <w:sz w:val="20"/>
          <w:szCs w:val="20"/>
          <w:color w:val="auto"/>
        </w:rPr>
      </w:pPr>
      <w:r>
        <w:rPr>
          <w:rFonts w:ascii="Times New Roman" w:cs="Times New Roman" w:eastAsia="Times New Roman" w:hAnsi="Times New Roman"/>
          <w:sz w:val="12"/>
          <w:szCs w:val="12"/>
          <w:color w:val="auto"/>
        </w:rPr>
        <w:t>As previously announced, our Board authorized our management to explore ways in which to maximize the value of Semnur and SP-102 (SEMDEXA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the product candidate held by Semnur, for us and our stockholders, including by way of conducting a spin-off, merger, dividend, reclassification or other similar transaction. On August 30, 2024, Semnur entered into an Agreement and Plan of Merger (as amended by that certain Amendment No. 1 to Agreement and Plan of Merger, dated as of April 16, 2025, the “Semnur Business Combination Agreement”) with Denali Capital Acquisition Corp. (“Denali”) and Denali Merger Sub Inc., a Delaware corporation and wholly owned subsidiary of Denali (“Denali Merger Sub”), in connection with the Semnur Business Combination (as defined below). The consummation of the Semnur Business Combination is subject to the satisfaction or waiver of a number of closing conditions of the respective parties. The completion of the Semnur Business Combination is not assured and is subject to risks, including, among others, the risk that approval of the Semnur Business Combination by Denali’s shareholders is not obtained or that other closing conditions are not satisfied. There is also no assurance the Semnur Business Combination will actually maximize the value of Semnur and/or the SP-102 asset for us or our stockholders. In addition, we will remain liable for significant transaction costs, including legal, accounting and financial advisory fees. Furthermore, the market price of our Common Stock may reflect various market assumptions as to whether the Semnur Business Combination will occur. Consequently, the failure to complete the Semnur Business Combination could result in a significant change in the market price of our Common Stock.</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insurance policies are expensive and protect us only from some business risks, which leaves us exposed to significant uninsured liabilities.</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Although we endeavor to obtain appropriate insurance coverage for insurable risks that we identify, we do not carry insurance for all categories of risk that our business may encounter.</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 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26"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We do not know if we will be able to maintain existing insurance with adequate levels of coverage. Any significant uninsured liability may require us to pay substantial amounts, which would adversely affect our business, financial condition and results of operations.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48</w:t>
      </w:r>
    </w:p>
    <w:p>
      <w:pPr>
        <w:sectPr>
          <w:pgSz w:w="11900" w:h="16838" w:orient="portrait"/>
          <w:cols w:equalWidth="0" w:num="1">
            <w:col w:w="10159"/>
          </w:cols>
          <w:pgMar w:left="300" w:top="36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12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3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Manufacturing and marketing of ZTlido, GLOPERBA and ELYXYB and 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products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63" w:lineRule="exact"/>
        <w:rPr>
          <w:sz w:val="20"/>
          <w:szCs w:val="20"/>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 from product sales;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our product candidates or products that we develop;</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clinical trial participants;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investigations by regulators;</w:t>
      </w:r>
    </w:p>
    <w:p>
      <w:pPr>
        <w:spacing w:after="0" w:line="87" w:lineRule="exact"/>
        <w:rPr>
          <w:rFonts w:ascii="Times New Roman" w:cs="Times New Roman" w:eastAsia="Times New Roman" w:hAnsi="Times New Roman"/>
          <w:sz w:val="12"/>
          <w:szCs w:val="12"/>
          <w:color w:val="auto"/>
        </w:rPr>
      </w:pPr>
    </w:p>
    <w:p>
      <w:pPr>
        <w:ind w:left="2620" w:right="1299" w:hanging="288"/>
        <w:spacing w:after="0" w:line="279" w:lineRule="auto"/>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labeling, the marketing or manufacturing of the product, withdrawal of the product from the market or voluntary or mandatory product recalls;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to defend the related litigation;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diversion of management’s time and our resources;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to trial participants or patients;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inability to commercialize our product candidates.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Any disruption in our research and development facilities could adversely affect our business, financial condition and results of operations.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10159"/>
          </w:cols>
          <w:pgMar w:left="300" w:top="36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19"/>
        <w:spacing w:after="0" w:line="260" w:lineRule="auto"/>
        <w:rPr>
          <w:sz w:val="20"/>
          <w:szCs w:val="20"/>
          <w:color w:val="auto"/>
        </w:rPr>
      </w:pPr>
      <w:r>
        <w:rPr>
          <w:rFonts w:ascii="Times New Roman" w:cs="Times New Roman" w:eastAsia="Times New Roman" w:hAnsi="Times New Roman"/>
          <w:sz w:val="12"/>
          <w:szCs w:val="12"/>
          <w:color w:val="auto"/>
        </w:rPr>
        <w:t>of our research and development activities. Although we believe we possess adequate insurance for damage to our property and the disruption of our business from casualties, such insurance may not be sufficient to cover all of our potential losses and 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w:t>
      </w:r>
    </w:p>
    <w:p>
      <w:pPr>
        <w:spacing w:after="0" w:line="190"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seek to grow our business through acquisitions and may fail to realize the anticipated benefits of any acquisition, and acquisitions can be costly and dilutive.</w:t>
      </w:r>
    </w:p>
    <w:p>
      <w:pPr>
        <w:spacing w:after="0" w:line="3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w:t>
      </w:r>
    </w:p>
    <w:p>
      <w:pPr>
        <w:spacing w:after="0" w:line="122" w:lineRule="exact"/>
        <w:rPr>
          <w:sz w:val="20"/>
          <w:szCs w:val="20"/>
          <w:color w:val="auto"/>
        </w:rPr>
      </w:pPr>
    </w:p>
    <w:p>
      <w:pPr>
        <w:jc w:val="both"/>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for acquisitions that are not ultimately consummated. Those negotiations could result in diversion of management time and significant out-of-pocket costs.</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success of any acquisition depends on, among other things, our ability to combine our business with an acquired business in a manner that does not materially disrupt existing relationships and that allows us to achieve 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w:t>
      </w:r>
    </w:p>
    <w:p>
      <w:pPr>
        <w:spacing w:after="0" w:line="126"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w:t>
      </w:r>
    </w:p>
    <w:p>
      <w:pPr>
        <w:spacing w:after="0" w:line="190" w:lineRule="exact"/>
        <w:rPr>
          <w:sz w:val="20"/>
          <w:szCs w:val="20"/>
          <w:color w:val="auto"/>
        </w:rPr>
      </w:pPr>
    </w:p>
    <w:p>
      <w:pPr>
        <w:ind w:left="1980" w:right="10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International components of our business expose us to business, legal, regulatory, political, operational, financial and economic risks associated with conducting business outside of the United States.</w:t>
      </w:r>
    </w:p>
    <w:p>
      <w:pPr>
        <w:spacing w:after="0" w:line="35"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We currently collaborate with international manufacturing partners and may potentially expand our business internationally in the future. The purchase and shipment of components from international sources subjects us to U.S. and foreign governmental trade, import and export, and customs regulations and laws.</w:t>
      </w:r>
    </w:p>
    <w:p>
      <w:pPr>
        <w:spacing w:after="0" w:line="119"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0159"/>
          </w:cols>
          <w:pgMar w:left="300" w:top="36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80" w:lineRule="auto"/>
        <w:rPr>
          <w:sz w:val="20"/>
          <w:szCs w:val="20"/>
          <w:color w:val="auto"/>
        </w:rPr>
      </w:pPr>
      <w:r>
        <w:rPr>
          <w:rFonts w:ascii="Times New Roman" w:cs="Times New Roman" w:eastAsia="Times New Roman" w:hAnsi="Times New Roman"/>
          <w:sz w:val="11"/>
          <w:szCs w:val="11"/>
          <w:color w:val="auto"/>
        </w:rPr>
        <w:t>Moreover, the new administration has substantially altered prior U.S. government international trade policy and has commenced activities to renegotiate, or potentially terminate, certain existing bilateral or multi-lateral trade agreements and treaties with foreign countries. In addition, the new administration has initiated or is considering imposing tariffs on certain foreign goods. Related to this action, certain foreign governments, including China, have instituted or are considering imposing tariffs on certain U.S. goods. It remains unclear what the new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 prices and/or to affect the United States or global economy or certain sectors thereof and, thus, could adversely impact our business.</w:t>
      </w:r>
    </w:p>
    <w:p>
      <w:pPr>
        <w:spacing w:after="0" w:line="1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Conducting business internationally involves a number of risks, including:</w:t>
      </w:r>
    </w:p>
    <w:p>
      <w:pPr>
        <w:spacing w:after="0" w:line="87" w:lineRule="exact"/>
        <w:rPr>
          <w:sz w:val="20"/>
          <w:szCs w:val="20"/>
          <w:color w:val="auto"/>
        </w:rPr>
      </w:pPr>
    </w:p>
    <w:p>
      <w:pPr>
        <w:ind w:left="2620" w:right="85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multiple, sometimes conflicting and changing laws and regulations such as tax laws, export and import restrictions, employment laws, anti-bribery and anti-corruption laws, regulatory requirements and other governmental approvals, permits and licenses;</w:t>
      </w:r>
    </w:p>
    <w:p>
      <w:pPr>
        <w:spacing w:after="0" w:line="48"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enforcing our intellectual property rights and in defending against third-party threats and intellectual property enforcement actions against us, our distributors or any of our third-party suppliers;</w:t>
      </w:r>
    </w:p>
    <w:p>
      <w:pPr>
        <w:spacing w:after="0" w:line="48" w:lineRule="exact"/>
        <w:rPr>
          <w:rFonts w:ascii="Times New Roman" w:cs="Times New Roman" w:eastAsia="Times New Roman" w:hAnsi="Times New Roman"/>
          <w:sz w:val="12"/>
          <w:szCs w:val="12"/>
          <w:color w:val="auto"/>
        </w:rPr>
      </w:pPr>
    </w:p>
    <w:p>
      <w:pPr>
        <w:ind w:left="2620" w:right="117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by us or our distributors to obtain appropriate licenses or regulatory approvals for the sale or use of our product candidates, if approved, in various countries;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managing foreign operations;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and availability of shipping and other means of product transportation;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foreign currency exchange rate fluctuations;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duties and tariffs, license obligations and other non-tariff barriers to trade;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imposition of new trade restrictions;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enforcing agreements and collecting receivables through certain foreign legal systems;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complexities associated with managing multiple payor-reimbursement regimes or self-pay systems;</w:t>
      </w:r>
    </w:p>
    <w:p>
      <w:pPr>
        <w:spacing w:after="0" w:line="87" w:lineRule="exact"/>
        <w:rPr>
          <w:rFonts w:ascii="Times New Roman" w:cs="Times New Roman" w:eastAsia="Times New Roman" w:hAnsi="Times New Roman"/>
          <w:sz w:val="12"/>
          <w:szCs w:val="12"/>
          <w:color w:val="auto"/>
        </w:rPr>
      </w:pPr>
    </w:p>
    <w:p>
      <w:pPr>
        <w:ind w:left="2620" w:right="1399" w:hanging="288"/>
        <w:spacing w:after="0" w:line="279"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natural disasters, political and economic instability, including wars, terrorism and political unrest, outbreak of disease, boycotts, curtailment of trade and other business restrictions; and</w:t>
      </w:r>
    </w:p>
    <w:p>
      <w:pPr>
        <w:spacing w:after="0" w:line="48" w:lineRule="exact"/>
        <w:rPr>
          <w:rFonts w:ascii="Times New Roman" w:cs="Times New Roman" w:eastAsia="Times New Roman" w:hAnsi="Times New Roman"/>
          <w:sz w:val="12"/>
          <w:szCs w:val="12"/>
          <w:color w:val="auto"/>
        </w:rPr>
      </w:pPr>
    </w:p>
    <w:p>
      <w:pPr>
        <w:ind w:left="2620" w:right="959" w:hanging="288"/>
        <w:spacing w:after="0" w:line="265" w:lineRule="auto"/>
        <w:tabs>
          <w:tab w:leader="none" w:pos="26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w:t>
      </w:r>
    </w:p>
    <w:p>
      <w:pPr>
        <w:spacing w:after="0" w:line="119"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Any of these risks, if encountered, could significantly harm our future international expansion and operations and, consequently, negatively impact our business, financial condition and results of operations.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increasing use of social media platforms presents new risks and challenges.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blinded clinical study or to report an alleged adverse event. When such disclosures occur, there is a risk that we may fail to monitor and comply with applicable adverse event reporting obligations or we may not be able to defend our business or the public’s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0159"/>
          </w:cols>
          <w:pgMar w:left="300" w:top="36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business and operations would suffer in the event of a system failure.</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While we have implemented and maintain security measures, our computer systems and those of our CROs and other contractors and consultants are vulnerable to, and have experienced, computer viruses, unauthorized access, cybersecurity attacks, and other security incidents, including as perpetrated by hackers, or as the result of natural disasters, terrorism, war, or telecommunications or electrical failures. For example, there was a cyberattack on Change Healthcare in March 2024. We worked diligently with our co-pay savings card adjudicators to resolve the breakdown of processing of insurance claims by Change Healthcare, and restored the co-pay savings card processing for ZTlido and ELYXYB, which has been restored to normal operations. This incident did not have a material impact on the Company as a whole. A material system failure or security breach, if such an event were to occur, could result in a material disruption of our product development programs or a loss of our trade secrets or other proprietary information. For example, the 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ZTlido, GLOPERBA, ELYXYB and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w:t>
      </w:r>
    </w:p>
    <w:p>
      <w:pPr>
        <w:spacing w:after="0" w:line="131"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Further, a security incident or privacy violation of the Company, those of our CROs and other contractors and consultants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 under laws and regulations that protect personal data, resulting in increased costs or loss of revenue. Our ability, and the ability of our CROs and other contractors and consultants, to effectively manage and maintain our internal business information, and to ship products to customers and invoice them on a timely basis, depends significantly on our enterprise resource planning system and other information systems. Portions of our information technology systems and those of our CROs’ and other contractors’ and consultants may experience, and have experienced, interruptions, delays, or cessations of service or produce errors in connection with ongoing systems implementation work. Cybersecurity attacks in particular are continually evolving and include, but are not limited to, malicious software, ransomware, attempts to gain unauthorized access to data under our custody or control, and other electronic security breaches that could lead, and have led to disruptions in systems, misappropriation of confidential or otherwise protected information, and corruption of data. If we, our CROs and other contractors and consultants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and may be material to our Company as a whole. In addition, these breaches and other</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0159"/>
          </w:cols>
          <w:pgMar w:left="300" w:top="36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259"/>
        <w:spacing w:after="0" w:line="279" w:lineRule="auto"/>
        <w:rPr>
          <w:sz w:val="20"/>
          <w:szCs w:val="20"/>
          <w:color w:val="auto"/>
        </w:rPr>
      </w:pPr>
      <w:r>
        <w:rPr>
          <w:rFonts w:ascii="Times New Roman" w:cs="Times New Roman" w:eastAsia="Times New Roman" w:hAnsi="Times New Roman"/>
          <w:sz w:val="12"/>
          <w:szCs w:val="12"/>
          <w:color w:val="auto"/>
        </w:rPr>
        <w:t>unauthorized access to our systems can be difficult to detect, and any delay in identifying any such event may lead to increased harm of the type described above.</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Unstable market and economic conditions may have serious adverse consequences on our business, financial condition and results of operations.</w:t>
      </w:r>
    </w:p>
    <w:p>
      <w:pPr>
        <w:spacing w:after="0" w:line="8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continued hostilities between Russia and Ukraine and, more recently, Hamas’ attack against Israel and the ensuing conflict.</w:t>
      </w:r>
    </w:p>
    <w:p>
      <w:pPr>
        <w:spacing w:after="0" w:line="12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In addition, Russia’s invasion of Ukraine and sanctions against Russia are causing disruptions to global economic conditions. The escalation in October 2023 of the conflict between Israel and Hamas also could cause disruptions to global economic conditions and affect the stability of the Middle East region. It is not possible to predict the broader consequences of these ongoing conflicts. It is also not possible to predict with certainty these ongoing conflicts and additional adverse effects on existing U.S. macroeconomic conditions and financial markets, all of which could impact the business, financial condition, and results of operations of the Company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w:t>
      </w:r>
    </w:p>
    <w:p>
      <w:pPr>
        <w:spacing w:after="0" w:line="126"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w:t>
      </w:r>
    </w:p>
    <w:p>
      <w:pPr>
        <w:spacing w:after="0" w:line="193" w:lineRule="exact"/>
        <w:rPr>
          <w:sz w:val="20"/>
          <w:szCs w:val="20"/>
          <w:color w:val="auto"/>
        </w:rPr>
      </w:pPr>
    </w:p>
    <w:p>
      <w:pPr>
        <w:jc w:val="both"/>
        <w:ind w:left="1980" w:right="8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ability to effectively monitor and respond to the rapid and evolving developments and expectations relating to corporate responsibility, corporate governance, sustainability and/or corporate involvement in social issues, may impose unexpected costs or results in reputational or other harm that could have a material adverse effect on our business.</w:t>
      </w:r>
    </w:p>
    <w:p>
      <w:pPr>
        <w:spacing w:after="0" w:line="4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There is an increasing focus from certain investors, employees, regulators, listing exchanges and other stakeholders concerning factors such as corporate responsibility, corporate governance, sustainability and/or corporate involvement in social issues. Some investors and investor groups may use these factors—either in support or opposition— to guide their investment strategies and, in some cases, investors may choose not to invest in us if they believe our policies or practices relating to these factors do not align with their expectations. Currently, a variety of third-party providers of corporate responsibility and sustainability ratings measure the performance of companies on these factors, and the results of these assessments are widely publicized. Certain investors, particularly institutional investors, use these ratings to benchmark companies against their peers, and certain major institutional investors have publicly emphasized the importance of these factors to their investment decisions. Topics taken into account in such assessments include, among others, the risks faced by companies arising out of climate change, human rights, business ethics and compliance, and the role of companies’ board of directors in overseeing various sustainability-related risks. Equally, certain investors, including institutional investors, actively reject the consideration of these matters when making their investment decisions. In light of certain investors’ increased focus on these factors, if we are, for example, perceived as deviating from our peers in respect of practices and initiatives related to these factors, we may be exposed to shareholder activism and litigation (both in support of, or in opposition to, such practices and initiatives).</w:t>
      </w:r>
    </w:p>
    <w:p>
      <w:pPr>
        <w:spacing w:after="0" w:line="126"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In addition, there are rapidly evolving developments and changing expectations relating to such factors. As a result, the criteria by which our corporate responsibility and sustainability practices are assessed may change,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53</w:t>
      </w:r>
    </w:p>
    <w:p>
      <w:pPr>
        <w:sectPr>
          <w:pgSz w:w="11900" w:h="16838" w:orient="portrait"/>
          <w:cols w:equalWidth="0" w:num="1">
            <w:col w:w="10159"/>
          </w:cols>
          <w:pgMar w:left="300" w:top="36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which could cause us to undertake costly initiatives or actions to satisfy new demands. If we elect not to or are unable to adequately recognize and respond to such developments and changing (and sometimes conflicting) governmental, societal, investor and/or consumer expectations relating to such factors, we may miss corporate opportunities, become subject to additional scrutiny or incur unexpected costs. We may also face risk of consumer litigation or reputational damage in the event that our policies or practices do not meet the standards set by various constituencies.</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We may also face reputational damage if we are unable to achieve an acceptable sustainability rating from third-party rating services. A low sustainability rating by a third-party rating service could also result in the exclusion of our Common Stock from consideration by certain investors who may elect to invest with our competitors instead. Ongoing focus on corporate responsibility and sustainability matters by investors and other stakeholders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w:t>
      </w:r>
    </w:p>
    <w:p>
      <w:pPr>
        <w:spacing w:after="0" w:line="125"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Further, our risk management related to these factors may not maximize short-term financial results and may yield financial results that conflict with the market’s expectations. We may in the future make business decisions consistent with our risk management related to these factors that we believe, based on considered analysis, will create value and improve our financial performance over the long-term. These decisions, however, may not be consistent with the short-term expectations of our stockholders and may not produce the long-term benefits that we expect, in which case our business, financial condition and results of operations could be harmed.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Intellectual Property</w:t>
      </w:r>
    </w:p>
    <w:p>
      <w:pPr>
        <w:spacing w:after="0" w:line="78" w:lineRule="exact"/>
        <w:rPr>
          <w:sz w:val="20"/>
          <w:szCs w:val="20"/>
          <w:color w:val="auto"/>
        </w:rPr>
      </w:pPr>
    </w:p>
    <w:p>
      <w:pPr>
        <w:ind w:left="1980" w:right="8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substantially dependent on the intellectual property we in-license from Oishi and Itochu, and if we lose the right to license such intellectual property or if the Product Development Agreement is terminated for any reason, our ability to commercialize ZTlido and develop and commercialize SP-103 would be harmed.</w:t>
      </w:r>
    </w:p>
    <w:p>
      <w:pPr>
        <w:spacing w:after="0" w:line="118" w:lineRule="exact"/>
        <w:rPr>
          <w:sz w:val="20"/>
          <w:szCs w:val="20"/>
          <w:color w:val="auto"/>
        </w:rPr>
      </w:pPr>
    </w:p>
    <w:p>
      <w:pPr>
        <w:ind w:left="1980" w:right="1039" w:firstLine="294"/>
        <w:spacing w:after="0" w:line="277" w:lineRule="auto"/>
        <w:rPr>
          <w:sz w:val="20"/>
          <w:szCs w:val="20"/>
          <w:color w:val="auto"/>
        </w:rPr>
      </w:pPr>
      <w:r>
        <w:rPr>
          <w:rFonts w:ascii="Times New Roman" w:cs="Times New Roman" w:eastAsia="Times New Roman" w:hAnsi="Times New Roman"/>
          <w:sz w:val="11"/>
          <w:szCs w:val="11"/>
          <w:color w:val="auto"/>
        </w:rPr>
        <w:t>Our business is substantially dependent upon the intellectual property licensed from Oishi and Itochu. Pursuant to the Product Development Agreement, we have been granted an exclusive, worldwide license (except with respect to Japan) under current and future intellectual property rights relating to ZTlido and SP-103 lidocaine tape products and the lidocaine in such products, including, among other things: (1) any patent applications, continuation applications, any issued or issuing patents, as well as any foreign patent applications; (2) all know-how, work product, trade secrets, inventions, data, processes, techniques, procedures, compositions, devices, methods, formulas, protocols and information, whether patentable or not;</w:t>
      </w:r>
    </w:p>
    <w:p>
      <w:pPr>
        <w:spacing w:after="0" w:line="1" w:lineRule="exact"/>
        <w:rPr>
          <w:sz w:val="20"/>
          <w:szCs w:val="20"/>
          <w:color w:val="auto"/>
        </w:rPr>
      </w:pPr>
    </w:p>
    <w:p>
      <w:pPr>
        <w:ind w:left="1980" w:right="919" w:hanging="8"/>
        <w:spacing w:after="0" w:line="281" w:lineRule="auto"/>
        <w:tabs>
          <w:tab w:leader="none" w:pos="215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copyrightable works, copyrights and applications, registrations and renewals; (4) logos, trademarks, service marks, and all applications and registrations relating thereto; (5) other proprietary rights; (6) abbreviated new drug applications or other applications to market; and (7) any regulatory exclusivities or supplemental protection certificates. Our ability to commercialize ZTlido and develop SP-103 depends on the effectiveness and continuation of the Product Development Agreement. If we lose the right to license the intellectual property rights granted by the Product Development Agreement, our ability to develop ZTlido and SP-103 as well as new product candidates based on the licensed intellectual property would be harmed.</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Product Development Agreement imposes various development, regulatory and/or commercial diligence obligations, payments and other obligations. Oishi and Itochu have the right to terminate the Product Development Agreement under certain circumstances, including, among other things: (1) if we are in material breach of the agreement and the breach is not curable or if the breach is curable and we fail to cure such material breach within 180 days after notice requesting to cure; (2) if, at any time during the term of the Product Development Agreement, the market conditions are such that (a) our total net profits for ZTlido and SP-103 are equal to or less than five percent of our net sales of ZTlido and SP-103 for a period of four or more consecutive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0159"/>
          </w:cols>
          <w:pgMar w:left="300" w:top="36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quarters, or (b) the economic viability of ZTlido and SP-103 is affected significantly as evidenced by documentation and substantial information by any external circumstances deemed detrimental to all parties as agreed to by us, on the one hand, and Oishi and Itochu, on the other hand, and the parties are unable to resolve the concerns under the foregoing clauses (a) and (b) after 30 days of good-faith discussion; and (3) in the event of our bankruptcy or assignment for the benefit of creditors. As of December 31, 2024, Scilex’s net profits for ZTlido and SP-103 have not exceeded five percent of net sales. Accordingly, Oishi and Itochu have the right to terminate the Product Development Agreement and Commercial Supply Agreement. As of December 31, 2024, neither Oishi nor Itochu has exercised its right of termination. If the Product Development Agreement is terminated for certain reasons, such as our material breach of the agreement, our bankruptcy, or lack of economic viability, we will be required to transfer all licensed intellectual property rights, including those relating to ZTlido and SP-103, to Oishi and Itochu or their designee, at our own cost and expense. The loss of such licenses could materially harm our business, financial condition and results of operations.</w:t>
      </w:r>
    </w:p>
    <w:p>
      <w:pPr>
        <w:spacing w:after="0" w:line="194" w:lineRule="exact"/>
        <w:rPr>
          <w:sz w:val="20"/>
          <w:szCs w:val="20"/>
          <w:color w:val="auto"/>
        </w:rPr>
      </w:pPr>
    </w:p>
    <w:p>
      <w:pPr>
        <w:ind w:left="1980" w:right="8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party to the Romeg License Agreement for the in-licensing of certain intellectual property rights from Romeg with respect to the commercialization of GLOPERBA, and if we lose the right to license such intellectual property or if the Romeg License Agreement is terminated for any reason, our ability to commercialize GLOPERBA would be harmed.</w:t>
      </w:r>
    </w:p>
    <w:p>
      <w:pPr>
        <w:spacing w:after="0" w:line="46"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On June 14, 2022 (the “Original Signing Date”), we entered into the Romeg License Agreement for the in-licensing of certain intellectual property rights from Romeg with respect to the commercialization of GLOPERBA, which was amended by that First Amendment to License and Commercialization Agreement, dated as of January 16, 2025. Under the Romeg License Agreement, among other things, Romeg granted us (1) a license, with the right to sublicense, under the patents and know-how specified therein to (a) commercialize a pharmaceutical product comprising liquid formulations of colchicine for the prophylactic treatment of gout in adult humans (the “Initial Licensed Product”) in the United States (including its territories) (the “Romeg U.S. Territory”), (b) develop other products comprising the Initial Licensed Product as an active pharmaceutical ingredient (together with the Initial Licensed Product, the “Licensed Products”) and commercialize any such products in the Romeg U.S. Territory and</w:t>
      </w:r>
    </w:p>
    <w:p>
      <w:pPr>
        <w:spacing w:after="0" w:line="1" w:lineRule="exact"/>
        <w:rPr>
          <w:sz w:val="20"/>
          <w:szCs w:val="20"/>
          <w:color w:val="auto"/>
        </w:rPr>
      </w:pPr>
    </w:p>
    <w:p>
      <w:pPr>
        <w:ind w:left="1980" w:right="879" w:hanging="8"/>
        <w:spacing w:after="0" w:line="273" w:lineRule="auto"/>
        <w:tabs>
          <w:tab w:leader="none" w:pos="2143"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manufacture Licensed Products anywhere in the world, solely for commercialization in the Romeg U.S. Territory; (2) an exclusive license, with right to sublicense, to use the trademark “GLOPERBA” and logos, designs, translations, and modifications thereof (collectively, the “Licensed Trademark”) in connection with the commercialization of the Initial Licensed Product solely in the Romeg U.S. Territory; and (3) pursuant to the amendment thereto, a license, with the right to (a) sublicense under the know-how and, if any, patents existing worldwide other than the Romeg U.S. Territory (the “Romeg Ex-U.S. Territory”), as specified therein, to develop, manufacture and commercialize Licensed Products in the Romeg Ex-U.S. Territory and (b) to use the Licensed Trademark in connection with the commercialization of the Licensed Products in the Romeg Ex-U.S. Territory. With respect to the foregoing clause (1), the license to know-how is exclusive for purposes of developing and commercializing Licensed Products in the Romeg U.S. Territory during the Romeg U.S. Territory Royalty Term, but is otherwise non-exclusive, and the license to patents is exclusive for purposes of developing and commercializing Licensed Products in the Romeg U.S. Territory until July 1, 2027 and, thereafter, is co-exclusive with Granules Pharmaceuticals, Inc. for the royalty term for such purposes. The Romeg U.S. Territory begins on the Original Signing Date and ends on the later of</w:t>
      </w:r>
    </w:p>
    <w:p>
      <w:pPr>
        <w:spacing w:after="0" w:line="1" w:lineRule="exact"/>
        <w:rPr>
          <w:rFonts w:ascii="Times New Roman" w:cs="Times New Roman" w:eastAsia="Times New Roman" w:hAnsi="Times New Roman"/>
          <w:sz w:val="11"/>
          <w:szCs w:val="11"/>
          <w:color w:val="auto"/>
        </w:rPr>
      </w:pPr>
    </w:p>
    <w:p>
      <w:pPr>
        <w:ind w:left="1980" w:right="839" w:hanging="8"/>
        <w:spacing w:after="0" w:line="252" w:lineRule="auto"/>
        <w:tabs>
          <w:tab w:leader="none" w:pos="2123"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expiration of the last-to-expire of the patents that covers the manufacture or commercialization of the Licensed Products in the Romeg U.S. Territory or (ii) the tenth anniversary of the Original Signing Date. With respect to the foregoing clause (3), the license to know-how patents (if any) is exclusive during the Romeg Ex-U.S. Territory Royalty Term, but is otherwise non-exclusive. The Romeg Ex-U.S. Territory Royalty Term begins on the date of the amendment agreement and ends on the tenth anniversary of such date. Our ability to commercialize GLOPERBA and develop Licensed Products depends on the effectiveness and continuation of the Romeg License Agreement. If we lose the right to license the intellectual property rights granted by the Romeg License Agreement, our ability to develop GLOPERBA as well as new product candidates based on the licensed intellectual property would be harmed.</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0159"/>
          </w:cols>
          <w:pgMar w:left="300" w:top="36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firstLine="294"/>
        <w:spacing w:after="0" w:line="280" w:lineRule="auto"/>
        <w:rPr>
          <w:sz w:val="20"/>
          <w:szCs w:val="20"/>
          <w:color w:val="auto"/>
        </w:rPr>
      </w:pPr>
      <w:r>
        <w:rPr>
          <w:rFonts w:ascii="Times New Roman" w:cs="Times New Roman" w:eastAsia="Times New Roman" w:hAnsi="Times New Roman"/>
          <w:sz w:val="11"/>
          <w:szCs w:val="11"/>
          <w:color w:val="auto"/>
        </w:rPr>
        <w:t>The Romeg License Agreement imposes various development, regulatory and/or commercial diligence obligations, payments and other obligations. Romeg has the right to terminate the Romeg License Agreement under certain circumstances, including, among other things: (a) in the event we are in material breach of the Romeg License Agreement, unless we have cured any such breach within 60 days after any notice thereof was provided;</w:t>
      </w:r>
    </w:p>
    <w:p>
      <w:pPr>
        <w:ind w:left="1980" w:right="859" w:hanging="8"/>
        <w:spacing w:after="0" w:line="251" w:lineRule="auto"/>
        <w:tabs>
          <w:tab w:leader="none" w:pos="215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notice to us, if we fail to timely pay any milestone payment, percentage royalties or minimum quarterly royalties or fail to timely deliver the requisite quarterly report, which termination will be effective 30 days after the date of such notice, unless we have made such payment in full or delivered such quarterly report within such 30 day period; (c) immediately, if we challenge the licensed patents under any court action or proceeding or before any patent office or assist any third party to conduct any of these activities; (d) by written notice to us if sales of the Licensed Products do not commence or continue within specified periods agreed to by the parties; or (e) in the event of our bankruptcy or assignment for the benefit of creditors. If the Romeg License Agreement is terminated for certain reasons, such as our material breach of the agreement, our bankruptcy, or our failure to timely pay milestone payments, we will be required upon Romeg’s request to transfer all licensed intellectual property rights, including those relating to GLOPERBA and the Licensed Products, to Romeg or its designee, within thirty days after the termination of the Romeg License Agreement at a price to be agreed upon by the parties. The loss of such licenses could materially harm our business, financial condition and results of operations.</w:t>
      </w:r>
    </w:p>
    <w:p>
      <w:pPr>
        <w:spacing w:after="0" w:line="198" w:lineRule="exact"/>
        <w:rPr>
          <w:sz w:val="20"/>
          <w:szCs w:val="20"/>
          <w:color w:val="auto"/>
        </w:rPr>
      </w:pPr>
    </w:p>
    <w:p>
      <w:pPr>
        <w:ind w:left="1980" w:right="12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Potential disputes over intellectual property rights that we have licensed may prevent or impair our ability to maintain our current licensing arrangements on acceptable terms.</w:t>
      </w:r>
    </w:p>
    <w:p>
      <w:pPr>
        <w:spacing w:after="0" w:line="35"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Licensing of intellectual property rights is of high importance to our business and involves complex legal, business and scientific issues. Disputes may arise between us and our licensors regarding intellectual property rights subject to a license agreement, including:</w:t>
      </w:r>
    </w:p>
    <w:p>
      <w:pPr>
        <w:spacing w:after="0" w:line="48" w:lineRule="exact"/>
        <w:rPr>
          <w:sz w:val="20"/>
          <w:szCs w:val="20"/>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of rights granted under the license agreement and other interpretation-related issues;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financial or other obligations under the license agreement;</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and the extent to which our technology and processes infringe on intellectual property rights of the licensor that are not subject to the licensing agreement;</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right to sublicense intellectual property rights to third parties under collaborative development relationships;</w:t>
      </w:r>
    </w:p>
    <w:p>
      <w:pPr>
        <w:spacing w:after="0" w:line="87" w:lineRule="exact"/>
        <w:rPr>
          <w:rFonts w:ascii="Times New Roman" w:cs="Times New Roman" w:eastAsia="Times New Roman" w:hAnsi="Times New Roman"/>
          <w:sz w:val="12"/>
          <w:szCs w:val="12"/>
          <w:color w:val="auto"/>
        </w:rPr>
      </w:pPr>
    </w:p>
    <w:p>
      <w:pPr>
        <w:ind w:left="2620" w:right="1019" w:hanging="288"/>
        <w:spacing w:after="0" w:line="279" w:lineRule="auto"/>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diligence obligations with respect to the use of the licensed technology in relation to our development and commercialization of our product candidates, and what activities satisfy those diligence obligations; and</w:t>
      </w:r>
    </w:p>
    <w:p>
      <w:pPr>
        <w:spacing w:after="0" w:line="48"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of inventions and know-how resulting from the joint creation or use of intellectual property by our licensors and us and our partners.</w:t>
      </w:r>
    </w:p>
    <w:p>
      <w:pPr>
        <w:spacing w:after="0" w:line="111"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w:t>
      </w:r>
    </w:p>
    <w:p>
      <w:pPr>
        <w:spacing w:after="0" w:line="119"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candidates. Any of the foregoing could have a material adverse effect on our business, financial condition and results of operations.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0159"/>
          </w:cols>
          <w:pgMar w:left="300" w:top="36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13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are unable to maintain patent protection for ZTlido, GLOPERBA, ELYXYB and our product candidates, or if the scope of the patent protection obtained is not sufficiently broad, we may not be able to compete effectively in our markets.</w:t>
      </w:r>
    </w:p>
    <w:p>
      <w:pPr>
        <w:spacing w:after="0" w:line="3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We rely upon a combination of patents, trademarks, trade secret protection, and confidentiality agreements to protect the intellectual property related to ZTlido, GLOPERBA, ELYXYB and our product candidates. Our success depends in part on our ability to obtain and maintain patent protection in the United States for GLOPERBA, in the United States and Canada for ELYXYB, and in the United States and other countries with respect to ZTlido and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w:t>
      </w:r>
    </w:p>
    <w:p>
      <w:pPr>
        <w:spacing w:after="0" w:line="125"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patents and patent applications that we own or in-license may fail to result in issued patents with claims that protect ZTlido, GLOPERBA, ELYXYB and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ZTlido, GLOPERBA, ELYXYB and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28"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6" w:lineRule="exact"/>
        <w:rPr>
          <w:sz w:val="20"/>
          <w:szCs w:val="20"/>
          <w:color w:val="auto"/>
        </w:rPr>
      </w:pPr>
    </w:p>
    <w:p>
      <w:pPr>
        <w:ind w:left="2620" w:right="1059" w:hanging="288"/>
        <w:spacing w:after="0" w:line="265"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 Patent and Trademark Office (“PTO”)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 applications may not result in any patents being issued;</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patents may be challenged, invalidated, modified, revoked, circumvented, found to be unenforceable or otherwise may not provide any competitive advantage;</w:t>
      </w:r>
    </w:p>
    <w:p>
      <w:pPr>
        <w:spacing w:after="0" w:line="48" w:lineRule="exact"/>
        <w:rPr>
          <w:rFonts w:ascii="Times New Roman" w:cs="Times New Roman" w:eastAsia="Times New Roman" w:hAnsi="Times New Roman"/>
          <w:sz w:val="12"/>
          <w:szCs w:val="12"/>
          <w:color w:val="auto"/>
        </w:rPr>
      </w:pPr>
    </w:p>
    <w:p>
      <w:pPr>
        <w:ind w:left="2620" w:right="879" w:hanging="288"/>
        <w:spacing w:after="0" w:line="265"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55" w:lineRule="exact"/>
        <w:rPr>
          <w:rFonts w:ascii="Times New Roman" w:cs="Times New Roman" w:eastAsia="Times New Roman" w:hAnsi="Times New Roman"/>
          <w:sz w:val="12"/>
          <w:szCs w:val="12"/>
          <w:color w:val="auto"/>
        </w:rPr>
      </w:pPr>
    </w:p>
    <w:p>
      <w:pPr>
        <w:jc w:val="both"/>
        <w:ind w:left="2620" w:right="1059" w:hanging="288"/>
        <w:spacing w:after="0" w:line="265"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55"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countries other than the United States may have patent laws less favorable to patentees than those upheld by U.S. courts, allowing foreign competitors a better opportunity to create, develop and market competing products;</w:t>
      </w:r>
    </w:p>
    <w:p>
      <w:pPr>
        <w:spacing w:after="0" w:line="48" w:lineRule="exact"/>
        <w:rPr>
          <w:rFonts w:ascii="Times New Roman" w:cs="Times New Roman" w:eastAsia="Times New Roman" w:hAnsi="Times New Roman"/>
          <w:sz w:val="12"/>
          <w:szCs w:val="12"/>
          <w:color w:val="auto"/>
        </w:rPr>
      </w:pPr>
    </w:p>
    <w:p>
      <w:pPr>
        <w:ind w:left="2620" w:right="859" w:hanging="288"/>
        <w:spacing w:after="0" w:line="265" w:lineRule="auto"/>
        <w:tabs>
          <w:tab w:leader="none" w:pos="26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10159"/>
          </w:cols>
          <w:pgMar w:left="300" w:top="36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1239" w:hanging="288"/>
        <w:spacing w:after="0" w:line="279" w:lineRule="auto"/>
        <w:tabs>
          <w:tab w:leader="none" w:pos="26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successful intellectual property challenge to any patents owned by or licensed to us could deprive us of rights necessary for the practice of our technologies or the successful commercialization of any products or product candidates that we may develop;</w:t>
      </w:r>
    </w:p>
    <w:p>
      <w:pPr>
        <w:spacing w:after="0" w:line="48" w:lineRule="exact"/>
        <w:rPr>
          <w:rFonts w:ascii="Times New Roman" w:cs="Times New Roman" w:eastAsia="Times New Roman" w:hAnsi="Times New Roman"/>
          <w:sz w:val="12"/>
          <w:szCs w:val="12"/>
          <w:color w:val="auto"/>
        </w:rPr>
      </w:pPr>
    </w:p>
    <w:p>
      <w:pPr>
        <w:ind w:left="2620" w:right="959" w:hanging="288"/>
        <w:spacing w:after="0" w:line="265" w:lineRule="auto"/>
        <w:tabs>
          <w:tab w:leader="none" w:pos="262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w:t>
      </w:r>
    </w:p>
    <w:p>
      <w:pPr>
        <w:spacing w:after="0" w:line="55" w:lineRule="exact"/>
        <w:rPr>
          <w:rFonts w:ascii="Times New Roman" w:cs="Times New Roman" w:eastAsia="Times New Roman" w:hAnsi="Times New Roman"/>
          <w:sz w:val="12"/>
          <w:szCs w:val="12"/>
          <w:color w:val="auto"/>
        </w:rPr>
      </w:pPr>
    </w:p>
    <w:p>
      <w:pPr>
        <w:ind w:left="2620" w:right="1039" w:hanging="288"/>
        <w:spacing w:after="0" w:line="327" w:lineRule="auto"/>
        <w:tabs>
          <w:tab w:leader="none" w:pos="262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 interference proceeding can be provoked by a third party or instituted by the PTO to determine who was the first to invent any of the subject matter covered by the patent claims of our applications for any application with an effective filing date before March 16, 2013.</w:t>
      </w:r>
    </w:p>
    <w:p>
      <w:pPr>
        <w:spacing w:after="0" w:line="87"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w:t>
      </w:r>
    </w:p>
    <w:p>
      <w:pPr>
        <w:spacing w:after="0" w:line="122"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If the patent applications we hold or in-license with respect to our development programs and product candidates fail to issue, if their breadth or strength of protection is threatened, or if they fail to provide meaningful exclusivity for ZTlido, GLOPERBA, ELYXYB and our product candidates, it could dissuade other companies from collaborating with us to develop product candidates, and threaten our ability to commercialize ZTlido, GLOPERBA, ELYXYB and our product candidates. Any such outcome could have a materially adverse effect on our business.</w:t>
      </w:r>
    </w:p>
    <w:p>
      <w:pPr>
        <w:spacing w:after="0" w:line="190" w:lineRule="exact"/>
        <w:rPr>
          <w:sz w:val="20"/>
          <w:szCs w:val="20"/>
          <w:color w:val="auto"/>
        </w:rPr>
      </w:pPr>
    </w:p>
    <w:p>
      <w:pPr>
        <w:ind w:left="1980" w:right="12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not be successful in obtaining or maintaining necessary rights to product components and processes and brands for our development pipeline through acquisitions and in-licenses.</w:t>
      </w:r>
    </w:p>
    <w:p>
      <w:pPr>
        <w:spacing w:after="0" w:line="3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Presently we have intellectual property rights, through acquisitions and licenses from third parties, related to ZTlido, SP-103 and GLOPERBA. Because our programs for ZTlido, GLOPERBA, ELYXYB, SP-103 and SP-104 may require the use of additional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28"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issue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0159"/>
          </w:cols>
          <w:pgMar w:left="300" w:top="36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80" w:lineRule="auto"/>
        <w:rPr>
          <w:sz w:val="20"/>
          <w:szCs w:val="20"/>
          <w:color w:val="auto"/>
        </w:rPr>
      </w:pPr>
      <w:r>
        <w:rPr>
          <w:rFonts w:ascii="Times New Roman" w:cs="Times New Roman" w:eastAsia="Times New Roman" w:hAnsi="Times New Roman"/>
          <w:sz w:val="11"/>
          <w:szCs w:val="11"/>
          <w:color w:val="auto"/>
        </w:rPr>
        <w:t>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1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their proprietary rights to other parties, potentially blocking our ability to pursue our program.</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results of operations could suffer.</w:t>
      </w:r>
    </w:p>
    <w:p>
      <w:pPr>
        <w:spacing w:after="0" w:line="1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i w:val="1"/>
          <w:iCs w:val="1"/>
          <w:color w:val="auto"/>
        </w:rPr>
        <w:t>We may become subject to claims challenging the inventorship or ownership of our patents and other intellectual property.</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may be subject to claims that former employees (including former employees of our licensors),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Claims that we infringe, misappropriate, or violate the intellectual property rights of third parties may give rise to costly and lengthy litigation, and we could be prevented from selling products, forced to pay damages, and defend against litigation.</w:t>
      </w:r>
    </w:p>
    <w:p>
      <w:pPr>
        <w:spacing w:after="0" w:line="35"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Third parties may assert patent or other intellectual property infringement or misappropriation claims against us or our strategic partners, licensors or licensees with respect to ZTlido, GLOPERBA, ELYXYB and our product candidates. If ZTlido, GLOPERBA, ELYXYB or any of our product candidates, methods, processes and other technologies are alleged to infringe on or be improperly based on the proprietary rights of other parties, we could face adverse consequences.</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10159"/>
          </w:cols>
          <w:pgMar w:left="300" w:top="36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firstLine="294"/>
        <w:spacing w:after="0" w:line="291" w:lineRule="auto"/>
        <w:rPr>
          <w:sz w:val="20"/>
          <w:szCs w:val="20"/>
          <w:color w:val="auto"/>
        </w:rPr>
      </w:pPr>
      <w:r>
        <w:rPr>
          <w:rFonts w:ascii="Times New Roman" w:cs="Times New Roman" w:eastAsia="Times New Roman" w:hAnsi="Times New Roman"/>
          <w:sz w:val="11"/>
          <w:szCs w:val="11"/>
          <w:color w:val="auto"/>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are infringed by one of our current or future product candidates.</w:t>
      </w:r>
    </w:p>
    <w:p>
      <w:pPr>
        <w:spacing w:after="0" w:line="107" w:lineRule="exact"/>
        <w:rPr>
          <w:sz w:val="20"/>
          <w:szCs w:val="20"/>
          <w:color w:val="auto"/>
        </w:rPr>
      </w:pPr>
    </w:p>
    <w:p>
      <w:pPr>
        <w:ind w:left="1980" w:right="979" w:firstLine="294"/>
        <w:spacing w:after="0" w:line="254" w:lineRule="auto"/>
        <w:rPr>
          <w:sz w:val="20"/>
          <w:szCs w:val="20"/>
          <w:color w:val="auto"/>
        </w:rPr>
      </w:pPr>
      <w:r>
        <w:rPr>
          <w:rFonts w:ascii="Times New Roman" w:cs="Times New Roman" w:eastAsia="Times New Roman" w:hAnsi="Times New Roman"/>
          <w:sz w:val="12"/>
          <w:szCs w:val="12"/>
          <w:color w:val="auto"/>
        </w:rPr>
        <w:t>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product candidates. Defense of these claims, regardless of their merit, could involve substantial expenses and could be a substantial diversion of our valuable management and employee resources from our business.</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w:t>
      </w:r>
    </w:p>
    <w:p>
      <w:pPr>
        <w:spacing w:after="0" w:line="62" w:lineRule="exact"/>
        <w:rPr>
          <w:sz w:val="20"/>
          <w:szCs w:val="20"/>
          <w:color w:val="auto"/>
        </w:rPr>
      </w:pPr>
    </w:p>
    <w:p>
      <w:pPr>
        <w:ind w:left="2620" w:hanging="288"/>
        <w:spacing w:after="0"/>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costly litigation;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divert the time and attention of our technical personnel and management;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development delays;</w:t>
      </w:r>
    </w:p>
    <w:p>
      <w:pPr>
        <w:spacing w:after="0" w:line="87" w:lineRule="exact"/>
        <w:rPr>
          <w:rFonts w:ascii="Times New Roman" w:cs="Times New Roman" w:eastAsia="Times New Roman" w:hAnsi="Times New Roman"/>
          <w:sz w:val="12"/>
          <w:szCs w:val="12"/>
          <w:color w:val="auto"/>
        </w:rPr>
      </w:pPr>
    </w:p>
    <w:p>
      <w:pPr>
        <w:ind w:left="2620" w:right="1099" w:hanging="288"/>
        <w:spacing w:after="0" w:line="279"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us from commercializing our product candidates until the asserted patent expires or is held finally invalid or not infringed in a court of law;</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develop non-infringing technology, which may not be possible on a cost-effective basis;</w:t>
      </w:r>
    </w:p>
    <w:p>
      <w:pPr>
        <w:spacing w:after="0" w:line="87"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pay damages to the party whose intellectual property rights we may be found to be infringing, which may include treble damages if we are found to have been willfully infringing such intellectual property;</w:t>
      </w:r>
    </w:p>
    <w:p>
      <w:pPr>
        <w:spacing w:after="0" w:line="48"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pay the attorney’s fees and costs of litigation to the party whose intellectual property rights we may be found to be infringing; and/or</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us to enter into royalty or licensing agreements, which may not be available on commercially reasonable terms, or at all.</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If we are sued for patent infringement, we would need to demonstrate that our products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time-consuming. We may not have sufficient resources to bring these actions to a successful conclusion. In addition, if</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0159"/>
          </w:cols>
          <w:pgMar w:left="300" w:top="36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99"/>
        <w:spacing w:after="0" w:line="265" w:lineRule="auto"/>
        <w:rPr>
          <w:sz w:val="20"/>
          <w:szCs w:val="20"/>
          <w:color w:val="auto"/>
        </w:rPr>
      </w:pPr>
      <w:r>
        <w:rPr>
          <w:rFonts w:ascii="Times New Roman" w:cs="Times New Roman" w:eastAsia="Times New Roman" w:hAnsi="Times New Roman"/>
          <w:sz w:val="12"/>
          <w:szCs w:val="12"/>
          <w:color w:val="auto"/>
        </w:rPr>
        <w:t>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119"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We cannot be certain that others have not filed patent applications for technology covered by our pending applications, or that we were the first to invent the technology, because:</w:t>
      </w:r>
    </w:p>
    <w:p>
      <w:pPr>
        <w:spacing w:after="0" w:line="48" w:lineRule="exact"/>
        <w:rPr>
          <w:sz w:val="20"/>
          <w:szCs w:val="20"/>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some patent applications in the United States may be maintained in secrecy until the patents are issued;</w:t>
      </w:r>
    </w:p>
    <w:p>
      <w:pPr>
        <w:spacing w:after="0" w:line="87" w:lineRule="exact"/>
        <w:rPr>
          <w:rFonts w:ascii="Times New Roman" w:cs="Times New Roman" w:eastAsia="Times New Roman" w:hAnsi="Times New Roman"/>
          <w:sz w:val="12"/>
          <w:szCs w:val="12"/>
          <w:color w:val="auto"/>
        </w:rPr>
      </w:pPr>
    </w:p>
    <w:p>
      <w:pPr>
        <w:ind w:left="2620" w:right="1199" w:hanging="288"/>
        <w:spacing w:after="0" w:line="279" w:lineRule="auto"/>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 applications in the United States and elsewhere can be pending for many years before issuance, or unintentionally abandoned patents or applications can be revived;</w:t>
      </w:r>
    </w:p>
    <w:p>
      <w:pPr>
        <w:spacing w:after="0" w:line="48"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pending patent applications that have been published can, subject to certain limitations, be later amended in a manner that could cover our technologies, our product candidates or the use of our product candidates;</w:t>
      </w:r>
    </w:p>
    <w:p>
      <w:pPr>
        <w:spacing w:after="0" w:line="48"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 applications in the United States are typically not published until 18 months after the priority date;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publications in the scientific literature often lag behind actual discoveries.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spacing w:after="0" w:line="12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spacing w:after="0" w:line="128"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19"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Even if we were to prevail, any litigation or administrative proceeding could be costly and time-consuming and would divert the attention of our management and key personnel from our business operations. Furthermore,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10159"/>
          </w:cols>
          <w:pgMar w:left="300" w:top="36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w:t>
      </w:r>
    </w:p>
    <w:p>
      <w:pPr>
        <w:spacing w:after="0" w:line="193"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become involved in lawsuits to protect or enforce our patents or other intellectual property, which could be expensive, time-consuming and unsuccessful.</w:t>
      </w:r>
    </w:p>
    <w:p>
      <w:pPr>
        <w:spacing w:after="0" w:line="35"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For example, on June 22, 2022, we filed a complaint against Aveva and Apotex in the U.S. District Court for the Southern District of Florida alleging infringement of certain Orange Book patents covering ZTlido. See the section of this prospectus titled “</w:t>
      </w:r>
      <w:r>
        <w:rPr>
          <w:rFonts w:ascii="Times New Roman" w:cs="Times New Roman" w:eastAsia="Times New Roman" w:hAnsi="Times New Roman"/>
          <w:sz w:val="12"/>
          <w:szCs w:val="12"/>
          <w:i w:val="1"/>
          <w:iCs w:val="1"/>
          <w:color w:val="auto"/>
        </w:rPr>
        <w:t>Business — Legal Proceedings</w:t>
      </w:r>
      <w:r>
        <w:rPr>
          <w:rFonts w:ascii="Times New Roman" w:cs="Times New Roman" w:eastAsia="Times New Roman" w:hAnsi="Times New Roman"/>
          <w:sz w:val="12"/>
          <w:szCs w:val="12"/>
          <w:color w:val="auto"/>
        </w:rPr>
        <w:t>” for additional information regarding such proceedings.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31" w:lineRule="exact"/>
        <w:rPr>
          <w:sz w:val="20"/>
          <w:szCs w:val="20"/>
          <w:color w:val="auto"/>
        </w:rPr>
      </w:pPr>
    </w:p>
    <w:p>
      <w:pPr>
        <w:ind w:left="1980" w:right="1079" w:firstLine="294"/>
        <w:spacing w:after="0" w:line="260" w:lineRule="auto"/>
        <w:rPr>
          <w:sz w:val="20"/>
          <w:szCs w:val="20"/>
          <w:color w:val="auto"/>
        </w:rPr>
      </w:pPr>
      <w:r>
        <w:rPr>
          <w:rFonts w:ascii="Times New Roman" w:cs="Times New Roman" w:eastAsia="Times New Roman" w:hAnsi="Times New Roman"/>
          <w:sz w:val="12"/>
          <w:szCs w:val="12"/>
          <w:color w:val="auto"/>
        </w:rPr>
        <w:t>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w:t>
      </w:r>
    </w:p>
    <w:p>
      <w:pPr>
        <w:spacing w:after="0" w:line="12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19"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0159"/>
          </w:cols>
          <w:pgMar w:left="300" w:top="36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11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our intellectual property rights are invalidated or circumvented, our business, financial condition and results of operations will be adversely affected.</w:t>
      </w:r>
    </w:p>
    <w:p>
      <w:pPr>
        <w:spacing w:after="0" w:line="35" w:lineRule="exact"/>
        <w:rPr>
          <w:sz w:val="20"/>
          <w:szCs w:val="20"/>
          <w:color w:val="auto"/>
        </w:rPr>
      </w:pPr>
    </w:p>
    <w:p>
      <w:pPr>
        <w:ind w:left="1980" w:right="979" w:firstLine="294"/>
        <w:spacing w:after="0" w:line="300" w:lineRule="auto"/>
        <w:rPr>
          <w:sz w:val="20"/>
          <w:szCs w:val="20"/>
          <w:color w:val="auto"/>
        </w:rPr>
      </w:pPr>
      <w:r>
        <w:rPr>
          <w:rFonts w:ascii="Times New Roman" w:cs="Times New Roman" w:eastAsia="Times New Roman" w:hAnsi="Times New Roman"/>
          <w:sz w:val="11"/>
          <w:szCs w:val="11"/>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w:t>
      </w:r>
    </w:p>
    <w:p>
      <w:pPr>
        <w:spacing w:after="0" w:line="10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Intellectual property protection varies throughout the world and is subject to change over time. In the United States, for small molecule drug products, such as ZTlido, GLOPERBA and ELYXYB, the Hatch-Waxman Act provides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w:t>
      </w:r>
    </w:p>
    <w:p>
      <w:pPr>
        <w:spacing w:after="0" w:line="196"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our trademarks and trade names are not adequately protected, then we may not be able to build name recognition and our business, financial condition and results of operations may be adversely affected.</w:t>
      </w:r>
    </w:p>
    <w:p>
      <w:pPr>
        <w:spacing w:after="0" w:line="35" w:lineRule="exact"/>
        <w:rPr>
          <w:sz w:val="20"/>
          <w:szCs w:val="20"/>
          <w:color w:val="auto"/>
        </w:rPr>
      </w:pPr>
    </w:p>
    <w:p>
      <w:pPr>
        <w:ind w:left="1980" w:right="859" w:firstLine="294"/>
        <w:spacing w:after="0" w:line="145" w:lineRule="exact"/>
        <w:rPr>
          <w:sz w:val="20"/>
          <w:szCs w:val="20"/>
          <w:color w:val="auto"/>
        </w:rPr>
      </w:pPr>
      <w:r>
        <w:rPr>
          <w:rFonts w:ascii="Times New Roman" w:cs="Times New Roman" w:eastAsia="Times New Roman" w:hAnsi="Times New Roman"/>
          <w:sz w:val="12"/>
          <w:szCs w:val="12"/>
          <w:color w:val="auto"/>
        </w:rPr>
        <w:t xml:space="preserve">We have registered trademarks with the PTO for the mark “ZTlido,” “SCILEX,” “ELYXYB,” and “RESPONSIBLE BY DESIGN,” and we have filed trademark applications for the marks “SEMNUR PHARMACEUTICALS,” “SCILEX BIO,” and “SEMDEXA” in the United States. We also have trademark registrations for ZTlido in the UK and Greece and we have a pending trademark application for ZTlido in China. In China, we were involved in an ongoing dispute regarding third-party trademarks for ZTlido filed in the name of </w:t>
      </w:r>
      <w:r>
        <w:rPr>
          <w:rFonts w:ascii="PMingLiU" w:cs="PMingLiU" w:eastAsia="PMingLiU" w:hAnsi="PMingLiU"/>
          <w:sz w:val="10"/>
          <w:szCs w:val="10"/>
          <w:color w:val="auto"/>
        </w:rPr>
        <w:t>秦皇島恆駿商貿有限公司</w:t>
      </w:r>
      <w:r>
        <w:rPr>
          <w:rFonts w:ascii="Times New Roman" w:cs="Times New Roman" w:eastAsia="Times New Roman" w:hAnsi="Times New Roman"/>
          <w:sz w:val="12"/>
          <w:szCs w:val="12"/>
          <w:color w:val="auto"/>
        </w:rPr>
        <w:t xml:space="preserve"> (Qinhuangdao Hengjun Trading Co., Ltd.). The China National Intellectual Property Administration issued a decision in our favor in February 2025, which has now become final.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09"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Changes in patent laws or patent jurisprudence could diminish the value of patents in general, thereby impairing our ability to protect our product candidates.</w:t>
      </w:r>
    </w:p>
    <w:p>
      <w:pPr>
        <w:spacing w:after="0" w:line="3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biotechnology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10159"/>
          </w:cols>
          <w:pgMar w:left="300" w:top="36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w:t>
      </w:r>
    </w:p>
    <w:p>
      <w:pPr>
        <w:spacing w:after="0" w:line="125"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Among some of the other changes introduced by the AIA are changes that limit where a patentee may file a patent infringement suit and providing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w:t>
      </w:r>
    </w:p>
    <w:p>
      <w:pPr>
        <w:spacing w:after="0" w:line="125"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Accordingly, a third party may attempt to use the 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20" w:lineRule="exact"/>
        <w:rPr>
          <w:sz w:val="20"/>
          <w:szCs w:val="20"/>
          <w:color w:val="auto"/>
        </w:rPr>
      </w:pPr>
    </w:p>
    <w:p>
      <w:pPr>
        <w:ind w:left="1980" w:right="859" w:firstLine="294"/>
        <w:spacing w:after="0" w:line="258" w:lineRule="auto"/>
        <w:rPr>
          <w:sz w:val="20"/>
          <w:szCs w:val="20"/>
          <w:color w:val="auto"/>
        </w:rPr>
      </w:pPr>
      <w:r>
        <w:rPr>
          <w:rFonts w:ascii="Times New Roman" w:cs="Times New Roman" w:eastAsia="Times New Roman" w:hAnsi="Times New Roman"/>
          <w:sz w:val="12"/>
          <w:szCs w:val="12"/>
          <w:color w:val="auto"/>
        </w:rPr>
        <w:t xml:space="preserve">We may become involved in opposition, interference, derivation,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post-grant review, or other proceedings challenging our or our licensors’ patent rights, and the outcome of any proceedings are highly uncertain. An adverse determination in any such proceeding could reduce the scope of, or invalidate, our owned or in-licensed patent rights, allow third parties to commercialize ZTlido, GLOPERBA, ELYXYB and our product candidates and compete directly with us, without payment to us, or result in our inability to manufacture or commercialize products without infringing third-party patent rights.</w:t>
      </w:r>
    </w:p>
    <w:p>
      <w:pPr>
        <w:spacing w:after="0" w:line="124"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PTA for patents in families where related patents have issued without PTA. Thus, it cannot be said with certainty how PTA will or will not be viewed in the future and whether patent expiration dates may be impacted. In addition, the European patent system is relatively stringent in the type of amendments that are allowed during prosecution, but, the complexity and uncertainty of European patent laws has also increased in recent years.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10159"/>
          </w:cols>
          <w:pgMar w:left="300" w:top="36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19"/>
        <w:spacing w:after="0" w:line="279" w:lineRule="auto"/>
        <w:rPr>
          <w:sz w:val="20"/>
          <w:szCs w:val="20"/>
          <w:color w:val="auto"/>
        </w:rPr>
      </w:pPr>
      <w:r>
        <w:rPr>
          <w:rFonts w:ascii="Times New Roman" w:cs="Times New Roman" w:eastAsia="Times New Roman" w:hAnsi="Times New Roman"/>
          <w:sz w:val="12"/>
          <w:szCs w:val="12"/>
          <w:color w:val="auto"/>
        </w:rPr>
        <w:t>signatories to the UPC. We cannot predict with certainty the long-term effects of any potential changes. Complying with these laws and regulations could limit our ability to obtain new patents in the future that may be important for our business.</w:t>
      </w:r>
    </w:p>
    <w:p>
      <w:pPr>
        <w:spacing w:after="0" w:line="179" w:lineRule="exact"/>
        <w:rPr>
          <w:sz w:val="20"/>
          <w:szCs w:val="20"/>
          <w:color w:val="auto"/>
        </w:rPr>
      </w:pPr>
    </w:p>
    <w:p>
      <w:pPr>
        <w:jc w:val="both"/>
        <w:ind w:left="1980" w:right="10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ZTlido, GLOPERBA, ELYXYB and our product candidates, our competitors may be able to enter the market, which would have an adverse effect on our business, financial condition and results of operations.</w:t>
      </w:r>
    </w:p>
    <w:p>
      <w:pPr>
        <w:spacing w:after="0" w:line="196" w:lineRule="exact"/>
        <w:rPr>
          <w:sz w:val="20"/>
          <w:szCs w:val="20"/>
          <w:color w:val="auto"/>
        </w:rPr>
      </w:pPr>
    </w:p>
    <w:p>
      <w:pPr>
        <w:ind w:left="1980" w:right="10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Confidentiality agreements with employees may not adequately prevent disclosure of our trade secrets and other proprietary information and may not adequately protect our intellectual property, which could limit our ability to compete.</w:t>
      </w:r>
    </w:p>
    <w:p>
      <w:pPr>
        <w:spacing w:after="0" w:line="35"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To help protect our proprietary know-how and our inventions for which patents may be unobtainable or difficult to obtain, or prior to seeking patent protection, we rely on trade secret protection and confidentiality agreements. To this end, we require all our employees to enter into agreements that prohibit the disclosure of confidential information and, where applicable, require disclosure and assignment to us of the ideas, 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w:t>
      </w:r>
    </w:p>
    <w:p>
      <w:pPr>
        <w:spacing w:after="0" w:line="125"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However, current or former employees may unintentionally or willfully disclose our confidential information to competitors, and confidentiality agreements may not provide an adequate remedy in the event of unauthorized disclosure of confidential information. For example, on March 12, 2021, we filed the Former Employee Action, as described under the section titled “</w:t>
      </w:r>
      <w:r>
        <w:rPr>
          <w:rFonts w:ascii="Times New Roman" w:cs="Times New Roman" w:eastAsia="Times New Roman" w:hAnsi="Times New Roman"/>
          <w:sz w:val="12"/>
          <w:szCs w:val="12"/>
          <w:i w:val="1"/>
          <w:iCs w:val="1"/>
          <w:color w:val="auto"/>
        </w:rPr>
        <w:t>Legal Proceedings</w:t>
      </w:r>
      <w:r>
        <w:rPr>
          <w:rFonts w:ascii="Times New Roman" w:cs="Times New Roman" w:eastAsia="Times New Roman" w:hAnsi="Times New Roman"/>
          <w:sz w:val="12"/>
          <w:szCs w:val="12"/>
          <w:color w:val="auto"/>
        </w:rPr>
        <w:t>” of this prospectus.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a claim that a third party obtained illegally, and is using, trade secrets and/or confidential know-how is expensive, time-consuming and unpredictable, and the enforceability of confidentiality agreements may vary from jurisdiction to jurisdiction.</w:t>
      </w:r>
    </w:p>
    <w:p>
      <w:pPr>
        <w:spacing w:after="0" w:line="126"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If any of our trade secrets, know-how or other proprietary information is disclosed, the value of our trade secrets, know-how and other proprietary rights would be significantly impaired and our business and competitive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0159"/>
          </w:cols>
          <w:pgMar w:left="300" w:top="36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w:t>
      </w:r>
    </w:p>
    <w:p>
      <w:pPr>
        <w:spacing w:after="0" w:line="187" w:lineRule="exact"/>
        <w:rPr>
          <w:sz w:val="20"/>
          <w:szCs w:val="20"/>
          <w:color w:val="auto"/>
        </w:rPr>
      </w:pPr>
    </w:p>
    <w:p>
      <w:pPr>
        <w:ind w:left="1980" w:right="10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ZTlido, GLOPERBA, ELYXYB and our product candidates, if approved. Moreover, any such litigation or the threat of such litigation may adversely affect our ability to hire employees or contract with independent contractors. A loss of key personnel or their work product could hamper or prevent our ability to commercialize ZTlido, GLOPERBA, ELYXYB and our product candidates, if approved. Even if we are successful in defending against such claims, litigation could result in substantial costs and be a distraction to management.</w:t>
      </w:r>
    </w:p>
    <w:p>
      <w:pPr>
        <w:spacing w:after="0" w:line="126"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w:t>
      </w:r>
    </w:p>
    <w:p>
      <w:pPr>
        <w:spacing w:after="0" w:line="193" w:lineRule="exact"/>
        <w:rPr>
          <w:sz w:val="20"/>
          <w:szCs w:val="20"/>
          <w:color w:val="auto"/>
        </w:rPr>
      </w:pPr>
    </w:p>
    <w:p>
      <w:pPr>
        <w:ind w:left="1980" w:right="11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position as a relatively small company may cause us to be at a significant disadvantage in defending our intellectual property rights and in defending against infringement claims by third parties.</w:t>
      </w:r>
    </w:p>
    <w:p>
      <w:pPr>
        <w:spacing w:after="0" w:line="35"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Litigation relating to the ownership and use of intellectual property is expensive, and our position as a relatively small company in an industry dominated by very large companies may cause us to be at a significant disadvantage in defending our intellectual property rights and in defending against claims that ZTlido, GLOPERBA, ELYXYB or any of our product candidates infringes or misappropriates third-party intellectual property rights. However, we may seek to use various post-grant administrative proceedings, including procedures created under the AIA, to invalidate potentially overly-broad third-party rights. Even if we can defend 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10159"/>
          </w:cols>
          <w:pgMar w:left="300" w:top="36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i w:val="1"/>
          <w:iCs w:val="1"/>
          <w:color w:val="auto"/>
        </w:rPr>
        <w:t>Third-party claims of intellectual property infringement may prevent or delay our drug discovery and development efforts.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 xml:space="preserve">There is a substantial amount of litigation involving patent and other intellectual property rights in the biotechnology and pharmaceutical industries, including PTO administrative proceedings, such as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the development and/or commercialization of ZTlido, GLOPERBA, ELYXYB or our product candidates may give rise to claims of infringement of the patent rights of others.</w:t>
      </w:r>
    </w:p>
    <w:p>
      <w:pPr>
        <w:spacing w:after="0" w:line="12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ZTlido, GLOPERBA, ELYXYB or our product candidates. Because patent applications can take many years to issue, there may be currently pending unpublished patent applications which may later result in issued patents that ZTlido, GLOPERBA, ELYXYB or our product candidates may infringe. In addition, third parties may obtain patents in the future and claim that the use of our technologies infringes these patents. If any third-party patents were held by a court of competent jurisdiction to cover the manufacturing process of ZTlido, GLOPERBA, ELYXYB or any of our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w:t>
      </w:r>
    </w:p>
    <w:p>
      <w:pPr>
        <w:spacing w:after="0" w:line="126"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w:t>
      </w:r>
    </w:p>
    <w:p>
      <w:pPr>
        <w:spacing w:after="0" w:line="12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Parties making claims against us may obtain injunctive or other equitable relief, which could effectively block our ability to further commercialize ZTlido, GLOPERBA and ELYXYB, or develop and commercialize one or more of our product candidates. For example, Takeda filed the GLOPERBA Patent Litigation against us and Scilex Pharma on November 6, 2023, alleging that our filing with the FDA of an application for approval of a proposed revision to the product label for our GLOPERBA product infringed the Colcrys Patents. Takeda sought an order that the effective date of any FDA approval of our labeling revision be no earlier than the expiration date of the Colcrys Patents, and such further and other relief as the court may deem appropriate. On March 7, 2024, we entered into a Settlement Agreement (the “Settlement Agreement”) with Takeda to resolve the action and entered into a license agreement with Takeda pursuant to which Takeda granted a non-exclusive license to us and our affiliates of certain patents owned by Takeda. The Settlement Agreement was subject to review by the Federal Trade Commission and the U.S. Department of Justice, neither of which objected during the review period. After the expiration of the review period, the U.S. District Court for the District of Delaware entered a final consent judgment on May 3, 2024. See the section of this prospectus titled “</w:t>
      </w:r>
      <w:r>
        <w:rPr>
          <w:rFonts w:ascii="Times New Roman" w:cs="Times New Roman" w:eastAsia="Times New Roman" w:hAnsi="Times New Roman"/>
          <w:sz w:val="12"/>
          <w:szCs w:val="12"/>
          <w:i w:val="1"/>
          <w:iCs w:val="1"/>
          <w:color w:val="auto"/>
        </w:rPr>
        <w:t>Business – Legal Proceedings</w:t>
      </w:r>
      <w:r>
        <w:rPr>
          <w:rFonts w:ascii="Times New Roman" w:cs="Times New Roman" w:eastAsia="Times New Roman" w:hAnsi="Times New Roman"/>
          <w:sz w:val="12"/>
          <w:szCs w:val="12"/>
          <w:color w:val="auto"/>
        </w:rPr>
        <w:t>” for additional information regarding such proceedings.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cease marketing ZTlido, GLOPERBA or ELYXYB, or developing our product candidates, limit our uses, pay royalties or redesign our infringing product candidates, which may be impossible or require substantial</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10159"/>
          </w:cols>
          <w:pgMar w:left="300" w:top="36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ZTlido, GLOPERBA or ELYXYB or our product candidates, if approved. We may fail to obtain any of these licenses at a reasonable cost or on reasonable terms, if at all. In that event, we would be unable to further commercialize ZTlido, GLOPERBA or ELYXYB, or develop and commercialize one or more of our product candidates, which could harm our business, financial condition and results of operations significantly.</w:t>
      </w:r>
    </w:p>
    <w:p>
      <w:pPr>
        <w:spacing w:after="0" w:line="193"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do not obtain patent term extension and data exclusivity for any of our product candidates we are developing or may develop,our business may be materially harmed.</w:t>
      </w:r>
    </w:p>
    <w:p>
      <w:pPr>
        <w:spacing w:after="0" w:line="35"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00"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3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As is common in the biotechnology and 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requirements for patentability and the patent enforcement differ in many countries. Filing, prosecuting and defending patents on ZTlido, GLOPERBA, ELYXYB and all of our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10159"/>
          </w:cols>
          <w:pgMar w:left="300" w:top="36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ZTlido, GLOPERBA, ELYXYB or our product candidates, if approved, in jurisdictions where we do not have any issued patents and our patent claims or other intellectual property rights may not be effective or sufficient to prevent them from so competing.</w:t>
      </w:r>
    </w:p>
    <w:p>
      <w:pPr>
        <w:spacing w:after="0" w:line="125"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The ongoing conflict in Ukraine and related sanctions could significantly devalue our Ukrainian and Russian patent applications. Russian decrees may significantly limit our ability to enforce Russian patents. We cannot predict when or how this situation will change.</w:t>
      </w:r>
    </w:p>
    <w:p>
      <w:pPr>
        <w:spacing w:after="0" w:line="111" w:lineRule="exact"/>
        <w:rPr>
          <w:sz w:val="20"/>
          <w:szCs w:val="20"/>
          <w:color w:val="auto"/>
        </w:rPr>
      </w:pPr>
    </w:p>
    <w:p>
      <w:pPr>
        <w:ind w:left="1980" w:right="839" w:firstLine="294"/>
        <w:spacing w:after="0" w:line="282" w:lineRule="auto"/>
        <w:rPr>
          <w:sz w:val="20"/>
          <w:szCs w:val="20"/>
          <w:color w:val="auto"/>
        </w:rPr>
      </w:pPr>
      <w:r>
        <w:rPr>
          <w:rFonts w:ascii="Times New Roman" w:cs="Times New Roman" w:eastAsia="Times New Roman" w:hAnsi="Times New Roman"/>
          <w:sz w:val="11"/>
          <w:szCs w:val="11"/>
          <w:color w:val="auto"/>
        </w:rPr>
        <w:t>Many companies have encountered significant problems in protecting and defending intellectual property rights in certain foreign jurisdictions. The legal systems of certain countries, particularly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1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and results of operations.</w:t>
      </w:r>
    </w:p>
    <w:p>
      <w:pPr>
        <w:spacing w:after="0" w:line="1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the confidentiality of our trade secrets, our business and competitive position would be harmed.</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10159"/>
          </w:cols>
          <w:pgMar w:left="300" w:top="36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w:t>
      </w:r>
    </w:p>
    <w:p>
      <w:pPr>
        <w:spacing w:after="0" w:line="128"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97" w:lineRule="exact"/>
        <w:rPr>
          <w:sz w:val="20"/>
          <w:szCs w:val="20"/>
          <w:color w:val="auto"/>
        </w:rPr>
      </w:pPr>
    </w:p>
    <w:p>
      <w:pPr>
        <w:ind w:left="1980" w:right="8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reliance on third parties may require us to share our trade secrets, which increases the possibility that our trade secrets will be misappropriated or disclosed.</w:t>
      </w:r>
    </w:p>
    <w:p>
      <w:pPr>
        <w:spacing w:after="0" w:line="35"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Because we rely on third parties to help manufacture and supply our products and product candidates,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w:t>
      </w:r>
    </w:p>
    <w:p>
      <w:pPr>
        <w:spacing w:after="0" w:line="128"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In addition, these agreements typically restrict the ability of our advisors,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10159"/>
          </w:cols>
          <w:pgMar w:left="300" w:top="36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Intellectual property rights and regulatory exclusivity rights do not necessarily address all potential threats to our competitive advantage.</w:t>
      </w:r>
    </w:p>
    <w:p>
      <w:pPr>
        <w:spacing w:after="0" w:line="82"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w:t>
      </w:r>
    </w:p>
    <w:p>
      <w:pPr>
        <w:spacing w:after="0" w:line="59" w:lineRule="exact"/>
        <w:rPr>
          <w:sz w:val="20"/>
          <w:szCs w:val="20"/>
          <w:color w:val="auto"/>
        </w:rPr>
      </w:pPr>
    </w:p>
    <w:p>
      <w:pPr>
        <w:ind w:left="2620" w:right="879" w:hanging="288"/>
        <w:spacing w:after="0" w:line="279" w:lineRule="auto"/>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products that are similar to ZTlido, GLOPERBA, ELYXYB or our product candidates but that are not covered by the claims of the patents that we own or have exclusively licensed;</w:t>
      </w:r>
    </w:p>
    <w:p>
      <w:pPr>
        <w:spacing w:after="0" w:line="48"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our licensors or strategic partners might not have been the first to make the inventions covered by the issued patent or pending patent application that we own or have exclusively licensed;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our licensors or strategic partners might not have been the first to file patent applications covering certain of our inventions;</w:t>
      </w:r>
    </w:p>
    <w:p>
      <w:pPr>
        <w:spacing w:after="0" w:line="87" w:lineRule="exact"/>
        <w:rPr>
          <w:rFonts w:ascii="Times New Roman" w:cs="Times New Roman" w:eastAsia="Times New Roman" w:hAnsi="Times New Roman"/>
          <w:sz w:val="12"/>
          <w:szCs w:val="12"/>
          <w:color w:val="auto"/>
        </w:rPr>
      </w:pPr>
    </w:p>
    <w:p>
      <w:pPr>
        <w:ind w:left="2620" w:right="1339" w:hanging="288"/>
        <w:spacing w:after="0" w:line="279" w:lineRule="auto"/>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independently develop similar or alternative technologies or duplicate any of our technologies without infringing our intellectual property rights;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pending patent applications may not lead to issued patents;</w:t>
      </w:r>
    </w:p>
    <w:p>
      <w:pPr>
        <w:spacing w:after="0" w:line="87"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patents that we own or have exclusively licensed may not provide us with any competitive advantage, or may be held invalid or unenforceable, as a result of legal challenges by our competitors;</w:t>
      </w:r>
    </w:p>
    <w:p>
      <w:pPr>
        <w:spacing w:after="0" w:line="48" w:lineRule="exact"/>
        <w:rPr>
          <w:rFonts w:ascii="Times New Roman" w:cs="Times New Roman" w:eastAsia="Times New Roman" w:hAnsi="Times New Roman"/>
          <w:sz w:val="12"/>
          <w:szCs w:val="12"/>
          <w:color w:val="auto"/>
        </w:rPr>
      </w:pPr>
    </w:p>
    <w:p>
      <w:pPr>
        <w:ind w:left="2620" w:right="1179" w:hanging="288"/>
        <w:spacing w:after="0" w:line="279" w:lineRule="auto"/>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proprietary technologies that are patentable;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patents of others may have an adverse effect on our business.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Should any of these events occur, they could significantly harm our business, financial condition and results of operations.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It is possible that defects of form in the preparation or filing of our patents or patent applications may exist, or may arise in the future, for example with respect to proper priority claims, inventorship, claim scope or requests for PTA.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w:t>
      </w:r>
    </w:p>
    <w:p>
      <w:pPr>
        <w:spacing w:after="0" w:line="128"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The patent position of biotechnology and pharmaceutical companies generally is highly uncertain, involves complex legal and factual questions, and has been and will continue to be the subject of litigation and new 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10159"/>
          </w:cols>
          <w:pgMar w:left="300" w:top="36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79"/>
        <w:spacing w:after="0" w:line="265" w:lineRule="auto"/>
        <w:rPr>
          <w:sz w:val="20"/>
          <w:szCs w:val="20"/>
          <w:color w:val="auto"/>
        </w:rPr>
      </w:pPr>
      <w:r>
        <w:rPr>
          <w:rFonts w:ascii="Times New Roman" w:cs="Times New Roman" w:eastAsia="Times New Roman" w:hAnsi="Times New Roman"/>
          <w:sz w:val="12"/>
          <w:szCs w:val="12"/>
          <w:color w:val="auto"/>
        </w:rPr>
        <w:t>value of our patent rights are highly uncertain. Our pending and future patent applications may not result in patents being issued that protect ZTlido, GLOPERBA, ELYXYB and our product candidates, in whole or in part, or which effectively prevent others from commercializing competitive technologies and products.</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16"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 xml:space="preserve">Moreover, we may be subject to a third-party pre-issuance submission of prior art to the PTO or become involved in opposition, derivation, reexamination,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ZTlido, GLOPERBA, ELYXYB and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8"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ZTlido, GLOPERBA, ELYXYB or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10159"/>
          </w:cols>
          <w:pgMar w:left="300" w:top="36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Government Regulations</w:t>
      </w:r>
    </w:p>
    <w:p>
      <w:pPr>
        <w:spacing w:after="0" w:line="78" w:lineRule="exact"/>
        <w:rPr>
          <w:sz w:val="20"/>
          <w:szCs w:val="20"/>
          <w:color w:val="auto"/>
        </w:rPr>
      </w:pPr>
    </w:p>
    <w:p>
      <w:pPr>
        <w:ind w:left="1980" w:right="1039"/>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w:t>
      </w:r>
    </w:p>
    <w:p>
      <w:pPr>
        <w:spacing w:after="0" w:line="51" w:lineRule="exact"/>
        <w:rPr>
          <w:sz w:val="20"/>
          <w:szCs w:val="20"/>
          <w:color w:val="auto"/>
        </w:rPr>
      </w:pPr>
    </w:p>
    <w:p>
      <w:pPr>
        <w:ind w:left="1980" w:right="859" w:firstLine="294"/>
        <w:spacing w:after="0" w:line="277" w:lineRule="auto"/>
        <w:rPr>
          <w:sz w:val="20"/>
          <w:szCs w:val="20"/>
          <w:color w:val="auto"/>
        </w:rPr>
      </w:pPr>
      <w:r>
        <w:rPr>
          <w:rFonts w:ascii="Times New Roman" w:cs="Times New Roman" w:eastAsia="Times New Roman" w:hAnsi="Times New Roman"/>
          <w:sz w:val="11"/>
          <w:szCs w:val="11"/>
          <w:color w:val="auto"/>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following our March 2022 announcement of the final results from our Phase 3 trial for SEMDEXA, we believed that we had sufficient data to support the safety and efficacy of SEMDEXA, which would provide us with a pathway for a 505(b)(2) NDA submission. In November 2023, we had a Type C meeting with the FDA to discuss the requirements for filing a 505(b)(2) NDA for SEMDEXA. In the Type C meeting, the FDA indicated that it disagreed with us that the clinical data we had collected was sufficient to support the safety and efficacy of SEMDEXA. The FDA provided guidance regarding expectations for the additional confirmatory trial needed prior to a 505(b)(2) NDA filing and the circumstances under which one adequate and well-controlled trial would be sufficient for product registration. In February 2024, we had a Type D meeting with the FDA to preview a newly designed trial, in order to reduce the potential need for any other additional trials prior to a 505(b)(2) NDA filing. During the Type D meeting, the FDA provided further guidance with respect to efficacy requirements and expectations on the size of safety database needed to help best position us to be able to satisfy the requirements for a 505(b)(2) pathway approval. Our future success depends on our ability to develop, receive regulatory approval for, and introduce new products or product enhancements that will be accepted by the market in a timely manner.</w:t>
      </w:r>
    </w:p>
    <w:p>
      <w:pPr>
        <w:spacing w:after="0" w:line="2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FDA or comparable non-U.S. regulatory authorities can delay, limit or deny approval of a product candidate for many reasons, including:</w:t>
      </w:r>
    </w:p>
    <w:p>
      <w:pPr>
        <w:spacing w:after="0" w:line="87" w:lineRule="exact"/>
        <w:rPr>
          <w:sz w:val="20"/>
          <w:szCs w:val="20"/>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may disagree with the design or implementation of our clinical trials;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unable to demonstrate to such authorities’ satisfaction that a product candidate is safe and effective for its proposed indication;</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negative or ambiguous results from our clinical trials may not meet the level of statistical significance required for approval by the FDA;</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may disagree with our interpretation of data from preclinical studies or clinical trials;</w:t>
      </w:r>
    </w:p>
    <w:p>
      <w:pPr>
        <w:spacing w:after="0" w:line="87" w:lineRule="exact"/>
        <w:rPr>
          <w:rFonts w:ascii="Times New Roman" w:cs="Times New Roman" w:eastAsia="Times New Roman" w:hAnsi="Times New Roman"/>
          <w:sz w:val="12"/>
          <w:szCs w:val="12"/>
          <w:color w:val="auto"/>
        </w:rPr>
      </w:pPr>
    </w:p>
    <w:p>
      <w:pPr>
        <w:ind w:left="2620" w:right="939" w:hanging="288"/>
        <w:spacing w:after="0" w:line="265"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may not agree that the data collected from clinical trials of our product candidates are acceptable or sufficient to support the submission of an NDA or other submission or to obtain regulatory approval in the United States, and such authorities may impose requirements for additional preclinical studies or clinical trials;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may disagree regarding the formulation, labeling and/or the specifications of our product candidates;</w:t>
      </w:r>
    </w:p>
    <w:p>
      <w:pPr>
        <w:spacing w:after="0" w:line="87"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authorities may decline to approve the manufacturing processes or facilities of third-party manufacturers with which we contract for clinical and commercial supplies; and</w:t>
      </w:r>
    </w:p>
    <w:p>
      <w:pPr>
        <w:spacing w:after="0" w:line="48" w:lineRule="exact"/>
        <w:rPr>
          <w:rFonts w:ascii="Times New Roman" w:cs="Times New Roman" w:eastAsia="Times New Roman" w:hAnsi="Times New Roman"/>
          <w:sz w:val="12"/>
          <w:szCs w:val="12"/>
          <w:color w:val="auto"/>
        </w:rPr>
      </w:pPr>
    </w:p>
    <w:p>
      <w:pPr>
        <w:ind w:left="2620" w:right="1199" w:hanging="288"/>
        <w:spacing w:after="0" w:line="279" w:lineRule="auto"/>
        <w:tabs>
          <w:tab w:leader="none" w:pos="26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policies or regulations of the FDA or comparable non-U.S. regulatory authorities may significantly change in a manner rendering our clinical data insufficient for approval.</w:t>
      </w:r>
    </w:p>
    <w:p>
      <w:pPr>
        <w:spacing w:after="0" w:line="111" w:lineRule="exact"/>
        <w:rPr>
          <w:sz w:val="20"/>
          <w:szCs w:val="20"/>
          <w:color w:val="auto"/>
        </w:rPr>
      </w:pPr>
    </w:p>
    <w:p>
      <w:pPr>
        <w:ind w:left="1980" w:right="1419" w:firstLine="294"/>
        <w:spacing w:after="0" w:line="279" w:lineRule="auto"/>
        <w:rPr>
          <w:sz w:val="20"/>
          <w:szCs w:val="20"/>
          <w:color w:val="auto"/>
        </w:rPr>
      </w:pPr>
      <w:r>
        <w:rPr>
          <w:rFonts w:ascii="Times New Roman" w:cs="Times New Roman" w:eastAsia="Times New Roman" w:hAnsi="Times New Roman"/>
          <w:sz w:val="12"/>
          <w:szCs w:val="12"/>
          <w:color w:val="auto"/>
        </w:rPr>
        <w:t>Of the large number of drugs in development, only a small percentage successfully complete the regulatory approval processes and are commercialized. This lengthy approval process, as well as the unpredictability of</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10159"/>
          </w:cols>
          <w:pgMar w:left="300" w:top="36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future clinical trial results, may result in our failing to obtain regulatory approval to market our product candidates, which would significantly harm our business, financial condition and results of operations. In addition, regulatory authorities may approve any of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25"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have limited experience submitting applications for marketing authorization to the FDA, and we cannot be certain that any of our product candidates will be successful in clinical trials or receive regulatory approval. Further, our product candidates may not receive regulatory approval even if our clinical trials are successful.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 Furthermore,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3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Moreover,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candidates, our business, financial condition and results of operations will be substantially harmed.</w:t>
      </w:r>
    </w:p>
    <w:p>
      <w:pPr>
        <w:spacing w:after="0" w:line="194" w:lineRule="exact"/>
        <w:rPr>
          <w:sz w:val="20"/>
          <w:szCs w:val="20"/>
          <w:color w:val="auto"/>
        </w:rPr>
      </w:pPr>
    </w:p>
    <w:p>
      <w:pPr>
        <w:ind w:left="1980" w:right="899"/>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anticipated, and in either case may not be successful.</w:t>
      </w:r>
    </w:p>
    <w:p>
      <w:pPr>
        <w:spacing w:after="0" w:line="49"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For our product candidates SEMDEXA, SP-103 and SP-104, we may seek FDA approval through the Section 505(b)(2) regulatory pathway. The Hatch-Waxman Act added Section 505(b)(2) to the Federal Food, Drug and Cosmetic Act (the “FDCA”). Section 505(b)(2) permits the filing of an NDA where at least some of the information required for approval comes from trials that were not conducted by or for the applicant and for which the applicant has not obtained a right of reference. Section 505(b)(2) allows an NDA we submit to the FDA to rely in part on data in the public domain or the FDA’s prior conclusions regarding the safety and effectiveness of approved compounds, which could expedite the development program for our product candidates by potentially decreasing the amount of data that we would need to generate in order to obtain FDA approval. If the FDA does not agree that the Section 505(b)(2) regulatory pathway is acceptable as we anticipated, we may need to conduct</w:t>
      </w:r>
    </w:p>
    <w:p>
      <w:pPr>
        <w:spacing w:after="0" w:line="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10159"/>
          </w:cols>
          <w:pgMar w:left="300" w:top="36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additional clinical trials, provide additional data and information and meet additional standards for regulatory approval.</w:t>
      </w:r>
    </w:p>
    <w:p>
      <w:pPr>
        <w:spacing w:after="0" w:line="150"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Even if FDA accepts our plan to pursue the Section 505(b)(2) regulatory pathway, we cannot assure that our product candidates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for up to 30 months or longer depending on the outcome of any litigation. Further, a manufacturer of an approved product may file a citizen petition with the FDA seeking to delay approval of, or impose additional approval requirements for, pending competing products.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w:t>
      </w:r>
    </w:p>
    <w:p>
      <w:pPr>
        <w:spacing w:after="0" w:line="197" w:lineRule="exact"/>
        <w:rPr>
          <w:sz w:val="20"/>
          <w:szCs w:val="20"/>
          <w:color w:val="auto"/>
        </w:rPr>
      </w:pPr>
    </w:p>
    <w:p>
      <w:pPr>
        <w:ind w:left="1980" w:right="10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approved product candidate will be subject to ongoing and continued regulatory requirements, which may result in significant expense and limit our ability to commercialize such products.</w:t>
      </w:r>
    </w:p>
    <w:p>
      <w:pPr>
        <w:spacing w:after="0" w:line="35"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w:t>
      </w:r>
    </w:p>
    <w:p>
      <w:pPr>
        <w:spacing w:after="0" w:line="126"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Other requirements include submissions of safety and other post-marketing information and reports, registration and listing, product tracking and tracing, as well as continued compliance with cGMPs and GCPs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w:t>
      </w:r>
    </w:p>
    <w:p>
      <w:pPr>
        <w:spacing w:after="0" w:line="59" w:lineRule="exact"/>
        <w:rPr>
          <w:sz w:val="20"/>
          <w:szCs w:val="20"/>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investigation or additional study obligations;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communications to prescribers or patients about specific information or issues;</w:t>
      </w:r>
    </w:p>
    <w:p>
      <w:pPr>
        <w:spacing w:after="0" w:line="87" w:lineRule="exact"/>
        <w:rPr>
          <w:rFonts w:ascii="Times New Roman" w:cs="Times New Roman" w:eastAsia="Times New Roman" w:hAnsi="Times New Roman"/>
          <w:sz w:val="12"/>
          <w:szCs w:val="12"/>
          <w:color w:val="auto"/>
        </w:rPr>
      </w:pPr>
    </w:p>
    <w:p>
      <w:pPr>
        <w:ind w:left="2620" w:right="1179" w:hanging="288"/>
        <w:spacing w:after="0" w:line="279" w:lineRule="auto"/>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or manufacturing of the product, withdrawal of the product from the market, or voluntary or mandatory product recalls;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 warning or untitled letters or holds on clinical trials;</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79" w:lineRule="auto"/>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by the FDA to approve pending applications or supplements to approved applications filed by us, or suspension or revocation of product license approvals;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seizure or detention, or refusal to permit the import or export of products;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occurrence of any event or penalty described above may inhibit our ability to successfully commercialize our product candidates and generate revenue and could require us to expend significant time and</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10159"/>
          </w:cols>
          <w:pgMar w:left="300" w:top="36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resources in response and could generate negative publicity. We may not be able to regain compliance, or we may only be able to regain compliance after a lengthy delay, significant expense, lost revenues and damage to our reputation.</w:t>
      </w:r>
    </w:p>
    <w:p>
      <w:pPr>
        <w:spacing w:after="0" w:line="111" w:lineRule="exact"/>
        <w:rPr>
          <w:sz w:val="20"/>
          <w:szCs w:val="20"/>
          <w:color w:val="auto"/>
        </w:rPr>
      </w:pPr>
    </w:p>
    <w:p>
      <w:pPr>
        <w:ind w:left="1980" w:right="1079" w:firstLine="294"/>
        <w:spacing w:after="0" w:line="257" w:lineRule="auto"/>
        <w:rPr>
          <w:sz w:val="20"/>
          <w:szCs w:val="20"/>
          <w:color w:val="auto"/>
        </w:rPr>
      </w:pPr>
      <w:r>
        <w:rPr>
          <w:rFonts w:ascii="Times New Roman" w:cs="Times New Roman" w:eastAsia="Times New Roman" w:hAnsi="Times New Roman"/>
          <w:sz w:val="12"/>
          <w:szCs w:val="12"/>
          <w:color w:val="auto"/>
        </w:rPr>
        <w:t>The FDA’s and other regulatory authorities’ policies may change, and additional laws or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w:t>
      </w:r>
    </w:p>
    <w:p>
      <w:pPr>
        <w:spacing w:after="0" w:line="125"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Certain manufacturers in the market in which we compete distribute certain products without completing the FDA approval process. For example, we believe certain lidocaine topical patches, plaster or poultice products marketed OTC and without FDA approval, require approval and compete inappropriately with ZTlido. In December 2018, we filed a citizen’s petition asking the FDA to clarify its requirements and take enforcement action against such products. Furthermore, we believe the labeling and marketing of certain OTC lidocaine patches products are false and deceptive, which could cause significant damages to our business and a diminution of goodwill in our intellectual property. In addition, on March 7, 2020, the Coronavirus Aid, Relief, and Economic Security Act (the “CARES Act”) was signed into law, which included statutory provisions reforming FDA’s mechanisms for regulating OTC drugs. Under the CARES Act, the FDA considers a drug to be generally recognized as safe and effective (“GRASE”) if it meets certain requirements, including items such as the active ingredient, indication for use, dosage, route of administration, and labeling set forth in the OTC monograph and related rulemakings. Historically, the FDA was required to establish, revise, and amend an OTC monograph by notice-and-comment rulemaking, which was lengthy and resource-intensive. The CARES Act replaces the rulemaking process with a final administrative order process. Administrative orders may be initiated by the FDA or at the request of a drug manufacturer or any other person. After a period for public comment on the administrative order, the FDA is able to issue a final administrative order, rather than a regulation, permitting the drug to be marketed over the counter. In 2023, the FDA has posted a final administrative order for external analgesic drug products for OTC human use. As this process is much more streamlined and less burdensome, this may benefit the manufacturers of lidocaine topical patches to obtain GRASE status from the FDA and thereby legally market these products over-the-counter and compete with ZTlido.</w:t>
      </w:r>
    </w:p>
    <w:p>
      <w:pPr>
        <w:spacing w:after="0" w:line="131"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FDA ultimately denied our citizen’s petition in light of the new administrative order process under the CARES Act for considering OTC drug products. In February 2021, we filed a complaint against Sanofi and Hisamitsu, certain manufacturers of OTC lidocaine patches, to seek an award of damages and the entry of injunctive relief enjoining further dissemination of false and deceptive advertisement concerning claims about their lidocaine patches. On January 26 and February 2, 2024, Scilex Pharma entered into two separate settlement agreements and mutual releases with the two manufacturers that resolve the Action. The terms of those agreements are confidential.</w:t>
      </w:r>
    </w:p>
    <w:p>
      <w:pPr>
        <w:spacing w:after="0" w:line="125"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financial condition and results of operations may be negatively affected.</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10159"/>
          </w:cols>
          <w:pgMar w:left="300" w:top="36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other agency regulations, policies, and decisions may become subject to increasing legal challenges, delays and changes.</w:t>
      </w:r>
    </w:p>
    <w:p>
      <w:pPr>
        <w:spacing w:after="0" w:line="196"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3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 We have received fast track designation for SEMDEXA for the treatment of sciatica and SP-103 for the treatment of chronic neck pain. Even though SEMDEXA and SP-103 have received fast track designation, we may not experience a faster process, review or approval compared to 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 FDA as they become finalized. The FDA may rescind the fast track designation if it believes that the designation is no longer supported by data from our clinical development program. The FDA may also withdraw any fast track designation at any time.</w:t>
      </w:r>
    </w:p>
    <w:p>
      <w:pPr>
        <w:spacing w:after="0" w:line="194" w:lineRule="exact"/>
        <w:rPr>
          <w:sz w:val="20"/>
          <w:szCs w:val="20"/>
          <w:color w:val="auto"/>
        </w:rPr>
      </w:pPr>
    </w:p>
    <w:p>
      <w:pPr>
        <w:ind w:left="1980" w:right="101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Changes in funding for the FDA could hinder its ability to hire and retain key leadership and other personnel, or otherwise prevent new products and services from being developed or commercialized in a timely manner, which could negatively impact our business, financial condition and results of operations.</w:t>
      </w:r>
    </w:p>
    <w:p>
      <w:pPr>
        <w:spacing w:after="0" w:line="46"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ability of the FDA to review and approve new products and conduct other regulatory activities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35 days beginning on December 22, 2018, the U.S. government has shut down several times and certain regulatory agencies, such as the FDA, have had to furlough critical employees and stop critical activities. Separately, in response to the COVID-19 pandemic, the FDA temporarily postponed routine surveillance inspections of manufacturing facilities in 2020. Additionally, the new administration recently announced plans to reduce the number of federal employees by establishing voluntary termination programs, by position eliminations or by involuntary terminations. If a prolonged government shutdown occurs, if funding for the FDA or other federal agencies (including their workforce) is reduced or if future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and results of operations.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77</w:t>
      </w:r>
    </w:p>
    <w:p>
      <w:pPr>
        <w:sectPr>
          <w:pgSz w:w="11900" w:h="16838" w:orient="portrait"/>
          <w:cols w:equalWidth="0" w:num="1">
            <w:col w:w="10159"/>
          </w:cols>
          <w:pgMar w:left="300" w:top="36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13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Failure to comply with health and data protection laws and regulations could lead to government enforcement actions and civil or criminal penalties, private litigation or adverse publicity and could negatively affect our operating results and business.</w:t>
      </w:r>
    </w:p>
    <w:p>
      <w:pPr>
        <w:spacing w:after="0" w:line="35"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FTC Act, each of which govern the collection, use, disclosure and protection of health-related and other personal information.</w:t>
      </w:r>
    </w:p>
    <w:p>
      <w:pPr>
        <w:spacing w:after="0" w:line="12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Although we are not subject to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w:t>
      </w:r>
    </w:p>
    <w:p>
      <w:pPr>
        <w:spacing w:after="0" w:line="126"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Furthermore, U.S. state laws and regulations relating to data privacy and security and consumer protection are constantly evolving. For example, the California Consumer Privacy Act and its implementing regulations (the “CCPA”), which went into effect on January 1, 2020, created new individual privacy rights for California consumers and placed increased privacy and security obligations on entities handling personal data of consumers or households. The CCPA has been amended by the California Privacy Rights Act (the “CPRA”), which largely took effect on January 1, 2023. The CPRA also created a new state agency, the CPPA, vested with authority to implement and, along with the California Attorney General, enforce the CCPA. Further, Washington’s My Health My Data Act, taking effect July 1, 2024, imposes requirements specific to consumer health data. Several other states have enacted or are considering similar state consumer privacy laws.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to so comply. Privacy laws and regulations are constantly evolving and there are a number of legislative proposals at both the state and federal levels that could impose new obligations or limitations in areas affecting our business.</w:t>
      </w:r>
    </w:p>
    <w:p>
      <w:pPr>
        <w:spacing w:after="0" w:line="128"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International data protection laws, including the EU’s and UK’s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78</w:t>
      </w:r>
    </w:p>
    <w:p>
      <w:pPr>
        <w:sectPr>
          <w:pgSz w:w="11900" w:h="16838" w:orient="portrait"/>
          <w:cols w:equalWidth="0" w:num="1">
            <w:col w:w="10159"/>
          </w:cols>
          <w:pgMar w:left="300" w:top="36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79" w:lineRule="auto"/>
        <w:rPr>
          <w:sz w:val="20"/>
          <w:szCs w:val="20"/>
          <w:color w:val="auto"/>
        </w:rPr>
      </w:pPr>
      <w:r>
        <w:rPr>
          <w:rFonts w:ascii="Times New Roman" w:cs="Times New Roman" w:eastAsia="Times New Roman" w:hAnsi="Times New Roman"/>
          <w:sz w:val="12"/>
          <w:szCs w:val="12"/>
          <w:color w:val="auto"/>
        </w:rPr>
        <w:t>regulators and affected individuals of personal data breaches, extensive new internal privacy governance obligations and obligations to honor expanded rights of individuals in relation to their personal information, including the right to access, correct and delete their data.</w:t>
      </w:r>
    </w:p>
    <w:p>
      <w:pPr>
        <w:spacing w:after="0" w:line="111"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Compliance with international data protection laws and regulations could require us to take on more onerous 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 against and could result in adverse publicity that could harm our business, financial condition, and results of operations.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business may be impacted by actions of the new U.S. administration, including executive orders, policies, new legislation and judicial decisions.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impact of the new U.S. administration is currently unknown. However, actions of the administration may cause us to change our business operations, with an unknown impact to our stakeholders, including patients, healthcare providers and employees. Failure to comply with new administration actions could expose us to litigation or other government actions. There can be no assurance that our compliance with new administration actions will provide sufficient mitigation.</w:t>
      </w:r>
    </w:p>
    <w:p>
      <w:pPr>
        <w:spacing w:after="0" w:line="190" w:lineRule="exact"/>
        <w:rPr>
          <w:sz w:val="20"/>
          <w:szCs w:val="20"/>
          <w:color w:val="auto"/>
        </w:rPr>
      </w:pPr>
    </w:p>
    <w:p>
      <w:pPr>
        <w:ind w:left="1980" w:right="10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involves the use of hazardous materials and we and third parties with whom we contract must comply with environmental laws and regulations, which can be expensive and restrict how we do business.</w:t>
      </w:r>
    </w:p>
    <w:p>
      <w:pPr>
        <w:spacing w:after="0" w:line="35"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w:t>
      </w:r>
    </w:p>
    <w:p>
      <w:pPr>
        <w:spacing w:after="0" w:line="198" w:lineRule="exact"/>
        <w:rPr>
          <w:sz w:val="20"/>
          <w:szCs w:val="20"/>
          <w:color w:val="auto"/>
        </w:rPr>
      </w:pPr>
    </w:p>
    <w:p>
      <w:pPr>
        <w:ind w:left="1980" w:right="10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w:t>
      </w:r>
    </w:p>
    <w:p>
      <w:pPr>
        <w:spacing w:after="0" w:line="46"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We are exposed to the risk of fraud, illegal activity or other misconduct by our employees, independent contractors, consultants, commercial partners and vendors. Misconduct by employees could include intentional,</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79</w:t>
      </w:r>
    </w:p>
    <w:p>
      <w:pPr>
        <w:sectPr>
          <w:pgSz w:w="11900" w:h="16838" w:orient="portrait"/>
          <w:cols w:equalWidth="0" w:num="1">
            <w:col w:w="10159"/>
          </w:cols>
          <w:pgMar w:left="300" w:top="36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or contracting,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FDA debarment, exclusion from government-funded healthcare programs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and serious harm to our reputation.</w:t>
      </w:r>
    </w:p>
    <w:p>
      <w:pPr>
        <w:spacing w:after="0" w:line="199" w:lineRule="exact"/>
        <w:rPr>
          <w:sz w:val="20"/>
          <w:szCs w:val="20"/>
          <w:color w:val="auto"/>
        </w:rPr>
      </w:pPr>
    </w:p>
    <w:p>
      <w:pPr>
        <w:ind w:left="1980" w:right="10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may be subject, directly or indirectly, to federal and state healthcare fraud and abuse laws, false claims laws, transparency and disclosure, or sunshine, laws, government price reporting, and health information privacy and security laws. If we are unable to comply, or have not fully complied, with such laws, we could face substantial penalties.</w:t>
      </w:r>
    </w:p>
    <w:p>
      <w:pPr>
        <w:spacing w:after="0" w:line="46"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or advocacy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w:t>
      </w:r>
    </w:p>
    <w:p>
      <w:pPr>
        <w:spacing w:after="0" w:line="62" w:lineRule="exact"/>
        <w:rPr>
          <w:sz w:val="20"/>
          <w:szCs w:val="20"/>
          <w:color w:val="auto"/>
        </w:rPr>
      </w:pPr>
    </w:p>
    <w:p>
      <w:pPr>
        <w:ind w:left="2620" w:right="939" w:hanging="288"/>
        <w:spacing w:after="0" w:line="255" w:lineRule="auto"/>
        <w:tabs>
          <w:tab w:leader="none" w:pos="26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Medicaid programs — a person or entity does not need to have actual knowledge of the federal Anti-Kickback Statute or special intent to violate the statute in order to have committed a violation; in addition, the government may assert that a claim including items or services resulting from a violation of the federal Anti-Kickback Statute constitutes a false or fraudulent claim for purposes of the federal False Claims Act;</w:t>
      </w:r>
    </w:p>
    <w:p>
      <w:pPr>
        <w:spacing w:after="0" w:line="62" w:lineRule="exact"/>
        <w:rPr>
          <w:rFonts w:ascii="Times New Roman" w:cs="Times New Roman" w:eastAsia="Times New Roman" w:hAnsi="Times New Roman"/>
          <w:sz w:val="12"/>
          <w:szCs w:val="12"/>
          <w:color w:val="auto"/>
        </w:rPr>
      </w:pPr>
    </w:p>
    <w:p>
      <w:pPr>
        <w:ind w:left="2620" w:right="879" w:hanging="288"/>
        <w:spacing w:after="0" w:line="256" w:lineRule="auto"/>
        <w:tabs>
          <w:tab w:leader="none" w:pos="26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Average Manufacturer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10159"/>
          </w:cols>
          <w:pgMar w:left="300" w:top="36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2"/>
          <w:szCs w:val="12"/>
          <w:color w:val="auto"/>
        </w:rPr>
        <w:t>Price, and improper promotion of off-label uses (i.e., uses not expressly approved by the FDA in a drug’s label);</w:t>
      </w:r>
    </w:p>
    <w:p>
      <w:pPr>
        <w:spacing w:after="0" w:line="87" w:lineRule="exact"/>
        <w:rPr>
          <w:sz w:val="20"/>
          <w:szCs w:val="20"/>
          <w:color w:val="auto"/>
        </w:rPr>
      </w:pPr>
    </w:p>
    <w:p>
      <w:pPr>
        <w:ind w:left="2620" w:right="1019" w:hanging="288"/>
        <w:spacing w:after="0" w:line="257" w:lineRule="auto"/>
        <w:tabs>
          <w:tab w:leader="none" w:pos="26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w:t>
      </w:r>
    </w:p>
    <w:p>
      <w:pPr>
        <w:spacing w:after="0" w:line="62"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consumer protection and unfair competition laws, which broadly regulate marketplace activities and activities that potentially harm consumers;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FDCA, which prohibits, among other things, the adulteration or misbranding of drugs, biologics and medical devices;</w:t>
      </w:r>
    </w:p>
    <w:p>
      <w:pPr>
        <w:spacing w:after="0" w:line="87" w:lineRule="exact"/>
        <w:rPr>
          <w:rFonts w:ascii="Times New Roman" w:cs="Times New Roman" w:eastAsia="Times New Roman" w:hAnsi="Times New Roman"/>
          <w:sz w:val="12"/>
          <w:szCs w:val="12"/>
          <w:color w:val="auto"/>
        </w:rPr>
      </w:pPr>
    </w:p>
    <w:p>
      <w:pPr>
        <w:ind w:left="2620" w:right="879" w:hanging="288"/>
        <w:spacing w:after="0" w:line="253" w:lineRule="auto"/>
        <w:tabs>
          <w:tab w:leader="none" w:pos="26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federal government price reporting laws, which require drug manufacturers to calculate and report complex pricing metrics to government agencies, including CMS and Department of Veterans Affairs (“VA”), referred to as Government Program Statutory Price Reporting, where such reported prices are used in the calculation of reimbursement and/or discounts on marketed products paid by government healthcare programs. Participation in these programs and compliance 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Additionally, if it is determined by the government, which could include a government agency such as CMS, Health Resources and Services Administration (“HRSA”), the VA, or by the Office of Inspector General or Department of Justice, that the Statutory Price Reporting was incorrect, causing the government to essentially pay more than they should through the reimbursement and/or discount, the manufacturer may be subject to significant False Claims Act investigations, civil monetary penalties and/or additional fines;</w:t>
      </w:r>
    </w:p>
    <w:p>
      <w:pPr>
        <w:spacing w:after="0" w:line="66"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Prescription Drug Marketing Act, which restricts the manner in which manufacturers may disseminate complimentary drug samples to healthcare practitioners, requires physical and accounting controls, and establishes penalties for improper sample distribution; and</w:t>
      </w:r>
    </w:p>
    <w:p>
      <w:pPr>
        <w:spacing w:after="0" w:line="48" w:lineRule="exact"/>
        <w:rPr>
          <w:rFonts w:ascii="Times New Roman" w:cs="Times New Roman" w:eastAsia="Times New Roman" w:hAnsi="Times New Roman"/>
          <w:sz w:val="12"/>
          <w:szCs w:val="12"/>
          <w:color w:val="auto"/>
        </w:rPr>
      </w:pPr>
    </w:p>
    <w:p>
      <w:pPr>
        <w:ind w:left="2620" w:right="879" w:hanging="288"/>
        <w:spacing w:after="0" w:line="254" w:lineRule="auto"/>
        <w:tabs>
          <w:tab w:leader="none" w:pos="26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w:t>
      </w:r>
    </w:p>
    <w:p>
      <w:pPr>
        <w:spacing w:after="0" w:line="128" w:lineRule="exact"/>
        <w:rPr>
          <w:sz w:val="20"/>
          <w:szCs w:val="20"/>
          <w:color w:val="auto"/>
        </w:rPr>
      </w:pPr>
    </w:p>
    <w:p>
      <w:pPr>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w:t>
      </w:r>
    </w:p>
    <w:p>
      <w:pPr>
        <w:spacing w:after="0" w:line="119"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81</w:t>
      </w:r>
    </w:p>
    <w:p>
      <w:pPr>
        <w:sectPr>
          <w:pgSz w:w="11900" w:h="16838" w:orient="portrait"/>
          <w:cols w:equalWidth="0" w:num="1">
            <w:col w:w="10159"/>
          </w:cols>
          <w:pgMar w:left="300" w:top="368"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i w:val="1"/>
          <w:iCs w:val="1"/>
          <w:color w:val="auto"/>
        </w:rPr>
        <w:t>The FDA and other regulatory agencies actively enforce the laws and regulations prohibiting the promotion of off-label uses.</w:t>
      </w:r>
    </w:p>
    <w:p>
      <w:pPr>
        <w:spacing w:after="0" w:line="82"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If we are found to have improperly promoted off-label uses of ZTlido, GLOPERBA, ELYXYB, or our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ZTlido, GLOPERBA, ELYXYB, and our product candidates, if approved. In particular, a product may not be promoted for uses that are not approved by the FDA or such other regulatory agencies as reflected in the product’s approved labeling. Physicians may use our products, and our product candidates if they receive marketing approval, for their patients in a manner that is inconsistent with the approved labels, if the physicians believe in their professional medical judgment they could be used in such manner. However, if we are found to have promoted any of our products for any off-label uses, the federal government could levy civil, criminal and/or administrative penalties, and seek fines against us. The FDA, Department of Justice or other regulatory authorities could also request that we enter into a consent decree or a corporate integrity agreement or corporate mentorship, or seek a permanent injunction against us under which specified promotional conduct is monitored, changed or curtailed. If we cannot successfully manage the promotion of ZTlido, GLOPERBA, ELYXYB, or our product candidates, if approved, we could become subject to significant liability, which would materially adversely affect our business, financial condition and results of operations.</w:t>
      </w:r>
    </w:p>
    <w:p>
      <w:pPr>
        <w:spacing w:after="0" w:line="1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Healthcare reform measures could hinder or prevent our product candidates’ commercial success.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There have been, and we expect there will continue to be, a number of legislative and regulatory changes to health care systems in the United States and abroad that could impact our ability to sell our products profitably. The United States government and other governments have shown significant interest in pursuing healthcare reform. For example, in 2010,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82</w:t>
      </w:r>
    </w:p>
    <w:p>
      <w:pPr>
        <w:sectPr>
          <w:pgSz w:w="11900" w:h="16838" w:orient="portrait"/>
          <w:cols w:equalWidth="0" w:num="1">
            <w:col w:w="10159"/>
          </w:cols>
          <w:pgMar w:left="300" w:top="36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implemented by the Trump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w:t>
      </w:r>
    </w:p>
    <w:p>
      <w:pPr>
        <w:spacing w:after="0" w:line="119"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 addition, other legislative changes have been proposed and adopted in the United States since the ACA was enacted. 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28"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as addressed further in the risk factor below titled “</w:t>
      </w:r>
      <w:r>
        <w:rPr>
          <w:rFonts w:ascii="Times New Roman" w:cs="Times New Roman" w:eastAsia="Times New Roman" w:hAnsi="Times New Roman"/>
          <w:sz w:val="12"/>
          <w:szCs w:val="12"/>
          <w:i w:val="1"/>
          <w:iCs w:val="1"/>
          <w:color w:val="auto"/>
        </w:rPr>
        <w:t>If we fail to comply with our reporting and payment obligations under the Medicaid Drug Rebate Program or other governmental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pricing programs applicable to our product or product candidates, if approved,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2"/>
          <w:szCs w:val="12"/>
          <w:color w:val="auto"/>
        </w:rPr>
        <w:t>.” While any proposed measures may require authorization through additional legislation to become effective, Congress and recent presidential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administrations have each indicated an intent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ZTlido, GLOPERBA, ELYXYB and our product candidates, if approved, or additional pricing pressures.</w:t>
      </w:r>
    </w:p>
    <w:p>
      <w:pPr>
        <w:spacing w:after="0" w:line="13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ZTlido, GLOPERBA, ELYXYB and our product candidates, if approved, or put pressure on our product pricing.</w:t>
      </w:r>
    </w:p>
    <w:p>
      <w:pPr>
        <w:spacing w:after="0" w:line="126"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ZTlido, GLOPERBA and/or ELYXYB may lose any regulatory approval that may have been obtained and we may not achieve or sustain profitability.</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83</w:t>
      </w:r>
    </w:p>
    <w:p>
      <w:pPr>
        <w:sectPr>
          <w:pgSz w:w="11900" w:h="16838" w:orient="portrait"/>
          <w:cols w:equalWidth="0" w:num="1">
            <w:col w:w="10159"/>
          </w:cols>
          <w:pgMar w:left="300" w:top="36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both"/>
        <w:ind w:left="1980" w:right="8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we fail to comply with our reporting and payment obligations under the Medicaid Drug Rebate Program or other governmental pricing programs applicable to our product or product candidates, if approved, we could be subject to additional reimbursement requirements, penalties, sanctions and fines, which could have a material adverse effect on our business, financial condition, results of operations and future prospects.</w:t>
      </w:r>
    </w:p>
    <w:p>
      <w:pPr>
        <w:spacing w:after="0" w:line="46"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Pricing and rebate calculations vary across products and programs, are complex, and are often subject to interpretation by manufacturers, governmental or regulatory agencies and the courts. Such interpretation can change and evolve over time. In the case of Medicaid pricing data, if a manufacturer becomes aware that its reporting for a prior quarter was incorrect, or has changed as a result of recalculation of the pricing data, the manufacturer is obligated to resubmit the corrected data for up to three years after those data originally were due. Such restatements and recalculations increase costs for complying with the laws and regulations governing the Medicaid Drug Rebate Program and could result in an overage or underage in rebate liability for past quarters. Price recalculations also may affect the ceiling price at which a manufacturer is required to offer its products under the 340B program.</w:t>
      </w:r>
    </w:p>
    <w:p>
      <w:pPr>
        <w:spacing w:after="0" w:line="12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A failure to comply with reporting and payment obligations under the Medicaid Drug Rebate program and other governmental programs could negatively affect financial results. CMS issued a final regulation, which became effective on April 1, 2016, to implement the changes under the ACA to the Medicaid Drug Rebate Program. The final regulation has increased and will continue to increase costs and the complexity of compliance, has been and will continue to be time-consuming to implement, and could have a material adverse effect on the results of operations, particularly if CMS challenges the approach a manufacturer has taken in the implementation of the final regulation. Other regulations and coverage expansion by various governmental agencies relating to the Medicaid Drug Rebate Program may have a similar impact. In addition, potential policy changes by the new administration may introduce additional uncertainty for our business, including changes to the level of scrutiny applied by the HRSA to enforce non-compliance with the 340B program, new price restrictions on products we sell to Medicaid, Medicare or other government purchasers, or other regulatory changes impacting reimbursement or competitive dynamics in multisource markets. Any such policy shifts could significantly impact our business and operations.</w:t>
      </w:r>
    </w:p>
    <w:p>
      <w:pPr>
        <w:spacing w:after="0" w:line="12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Manufacturers have obligations to report the average sales price for certain of drugs to the Medicare program as a part of the agreement to participate in the Medicaid Drug Rebate program. For calendar quarters beginning January 1, 2022, manufacturers are required to report the average sales price for certain drugs under the Medicare program regardless of whether they participate in the Medicaid Drug Rebate program. Statutory or regulatory changes or CMS guidance could affect the average sales price calculations for products and the resulting Medicare payment rate, and could negatively affect results of operations. Starting in 2023, manufacturers must pay refunds to Medicare for single source drugs or biologics,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of 125% of the refund amount. Congress further could enact a Medicare Part B inflation rebate, under which manufacturers would owe additional rebates if the average sales price of a drug were to increase faster than the pace of inflation.</w:t>
      </w:r>
    </w:p>
    <w:p>
      <w:pPr>
        <w:spacing w:after="0" w:line="126"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HRSA issued a final regulation regarding the calculation of the 340B ceiling price and the imposition of civil monetary penalties on manufacturers that knowingly and intentionally overcharge covered entities, which became effective on January 1, 2019. Implementation of this regulation has affected manufacturer obligations and potential liability under the 340B program. Manufacturers are also required to report the 340B ceiling prices for covered outpatient drugs to HRSA, which then publishes them to 340B covered entities. Any charge by HRSA that a manufacturer has violated the requirements of the program or the regulation could negatively affect financial results. Moreover, under a final regulation effective January 13, 2021, HRSA newly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84</w:t>
      </w:r>
    </w:p>
    <w:p>
      <w:pPr>
        <w:sectPr>
          <w:pgSz w:w="11900" w:h="16838" w:orient="portrait"/>
          <w:cols w:equalWidth="0" w:num="1">
            <w:col w:w="10159"/>
          </w:cols>
          <w:pgMar w:left="300" w:top="36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55" w:lineRule="auto"/>
        <w:rPr>
          <w:sz w:val="20"/>
          <w:szCs w:val="20"/>
          <w:color w:val="auto"/>
        </w:rPr>
      </w:pPr>
      <w:r>
        <w:rPr>
          <w:rFonts w:ascii="Times New Roman" w:cs="Times New Roman" w:eastAsia="Times New Roman" w:hAnsi="Times New Roman"/>
          <w:sz w:val="12"/>
          <w:szCs w:val="12"/>
          <w:color w:val="auto"/>
        </w:rPr>
        <w:t>decision that can be appealed to a federal court. An ADR proceeding could subject a manufacturer to onerous procedural requirements and could result in additional liability. Further, any additional future changes to the definition of average manufacturer price and the Medicaid rebate amount under the ACA or otherwise could affect our 340B ceiling price calculations and negatively affect results of operations. In recent years, two U.S. Courts of Appeals for the Third Circuit and District of Columbia Circuits (the “Third Circuit” and “D.C. Circuit,” respectively) have ruled that, under</w:t>
      </w: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Section 340B, manufacturers are not required to provide the discounted drugs to an unlimited number of contract pharmacies, but can impose some contractual limitations on how products may be distributed. The Third Circuit also upheld the ADR rules. One other case is pending in the U.S. Court of Appeals for the Seventh Circuit. Various states have also enacted laws prohibiting manufacturers from placing conditions on covered entities’ use of contract pharmacies. There is ongoing litigation over these state laws.</w:t>
      </w:r>
    </w:p>
    <w:p>
      <w:pPr>
        <w:spacing w:after="0" w:line="127"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Civil monetary penalties can be applied if a manufacturer (i) is found to have knowingly submitted any false price or product information to the government, (ii) is found to have made a misrepresentation in the reporting of its average sales price, (iii) fails to submit the required price data on a timely basis, or (iv) is found to have knowingly and intentionally charged 340B covered entities more than the statutorily mandated ceiling price. CMS could also decide to terminate the Medicaid Drug Rebate Agreement, or HRSA, or to terminate the 340B program participation agreement, in which case federal payments may not be available under Medicaid or Medicare Part B for the manufacturer’s covered outpatient drugs.</w:t>
      </w:r>
    </w:p>
    <w:p>
      <w:pPr>
        <w:spacing w:after="0" w:line="12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 addition, manufacturers are required to provide to CMS a 70% discount on brand name prescription drugs utilized by Medicare Part D beneficiaries when those beneficiaries are in the coverage gap phase of the Part D benefit design. Congress could enact legislation that sunsets this discount program and replaces it with a new manufacturer discount program. Under either program, civil monetary penalties could be applied if a manufacturer fails to provide these discounts in the amount of 125% of the discount that was due. Furthermore, the Inflation Reduction Act of 2022 (the “IRA”), PL 117-169, seeks to limit manufacturers’ price increases for drugs reimbursed by Medicare, to not more than the rate of inflation, at least where those increases would otherwise affect payments under Medicare. Under the provisions, beginning in October 2022, if a manufacturer increases the price of a drug reimbursed under Medicare by more than the rate of inflation (as measured by the consumer price index), the manufacturer must pay rebates to the federal government, equal to the amount by which the increase exceeds the rate of inflation in the relevant period.</w:t>
      </w:r>
    </w:p>
    <w:p>
      <w:pPr>
        <w:spacing w:after="0" w:line="128"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Congress could also enact additional changes that affect our overall rebate liability and the information we report to the government as part of price reporting calculations. The IRA also requires the U.S. Department of Health and Human Services (“HHS”) to negotiate prices for a limited number of single-source brand-name drugs or biologics without generic or biosimilar competitors that are covered under Medicare Part D (starting in 2026) and Part B (starting in 2028). The number of drugs affected is limited to ten Part D drugs for 2026, another fifteen Part D drugs for 2027, another fifteen Part D and Part B drugs for 2028, and another twenty Part D and Part B drugs for 2029 and later years. On August 29, 2023, HHS announced the list of the ten drugs for which negotiations will occur. Drugs that are less than 9 years (for small-molecule drugs) or 13 years (for biological products) from their FDA approval or licensure date are excluded from the negotiation process. Small biotech drugs, defined as those which account for 1% or less of Part D or Part B spending and account for 80% or more of spending under each part on that manufacturer’s drugs, are also excluded until 2029. CMS has issued initial guidance on the implementation of the provisions.</w:t>
      </w:r>
    </w:p>
    <w:p>
      <w:pPr>
        <w:spacing w:after="0" w:line="126" w:lineRule="exact"/>
        <w:rPr>
          <w:sz w:val="20"/>
          <w:szCs w:val="20"/>
          <w:color w:val="auto"/>
        </w:rPr>
      </w:pPr>
    </w:p>
    <w:p>
      <w:pPr>
        <w:ind w:left="1980" w:right="939" w:firstLine="294"/>
        <w:spacing w:after="0" w:line="284" w:lineRule="auto"/>
        <w:rPr>
          <w:sz w:val="20"/>
          <w:szCs w:val="20"/>
          <w:color w:val="auto"/>
        </w:rPr>
      </w:pPr>
      <w:r>
        <w:rPr>
          <w:rFonts w:ascii="Times New Roman" w:cs="Times New Roman" w:eastAsia="Times New Roman" w:hAnsi="Times New Roman"/>
          <w:sz w:val="11"/>
          <w:szCs w:val="11"/>
          <w:color w:val="auto"/>
        </w:rPr>
        <w:t>Pursuant to applicable law, knowing provision of false information in connection with price reporting or contract-based requirements under the VA Federal Supply Schedule and/or Tricare programs can subject a manufacturer to civil monetary penalties. These programs and contract-based obligations also contain extensive disclosure and certification requirements. If a manufacturer overcharges the government in connection with its arrangements with Federal Supply Schedule or Tricare, the manufacturer may be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would be expensive and time-</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85</w:t>
      </w:r>
    </w:p>
    <w:p>
      <w:pPr>
        <w:sectPr>
          <w:pgSz w:w="11900" w:h="16838" w:orient="portrait"/>
          <w:cols w:equalWidth="0" w:num="1">
            <w:col w:w="10159"/>
          </w:cols>
          <w:pgMar w:left="300" w:top="36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2"/>
          <w:szCs w:val="12"/>
          <w:color w:val="auto"/>
        </w:rPr>
        <w:t>consuming, and could have a material adverse effect on our business, financial condition, results of operations and future prospects.</w:t>
      </w:r>
    </w:p>
    <w:p>
      <w:pPr>
        <w:spacing w:after="0" w:line="218"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need to obtain prior FDA authorization for any proposed product brand names, and any failure or delay associated with such approval may adversely impact our business, financial condition and results of operations.</w:t>
      </w:r>
    </w:p>
    <w:p>
      <w:pPr>
        <w:spacing w:after="0" w:line="3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Any brand names we intend to use for our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w:t>
      </w:r>
    </w:p>
    <w:p>
      <w:pPr>
        <w:spacing w:after="0" w:line="196" w:lineRule="exact"/>
        <w:rPr>
          <w:sz w:val="20"/>
          <w:szCs w:val="20"/>
          <w:color w:val="auto"/>
        </w:rPr>
      </w:pPr>
    </w:p>
    <w:p>
      <w:pPr>
        <w:ind w:left="1980" w:right="8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w:t>
      </w:r>
    </w:p>
    <w:p>
      <w:pPr>
        <w:spacing w:after="0" w:line="118"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26" w:lineRule="exact"/>
        <w:rPr>
          <w:sz w:val="20"/>
          <w:szCs w:val="20"/>
          <w:color w:val="auto"/>
        </w:rPr>
      </w:pPr>
    </w:p>
    <w:p>
      <w:pPr>
        <w:ind w:left="1980" w:right="939" w:firstLine="294"/>
        <w:spacing w:after="0" w:line="284" w:lineRule="auto"/>
        <w:rPr>
          <w:sz w:val="20"/>
          <w:szCs w:val="20"/>
          <w:color w:val="auto"/>
        </w:rPr>
      </w:pPr>
      <w:r>
        <w:rPr>
          <w:rFonts w:ascii="Times New Roman" w:cs="Times New Roman" w:eastAsia="Times New Roman" w:hAnsi="Times New Roman"/>
          <w:sz w:val="11"/>
          <w:szCs w:val="11"/>
          <w:color w:val="auto"/>
        </w:rPr>
        <w:t>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European Union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spacing w:after="0" w:line="178" w:lineRule="exact"/>
        <w:rPr>
          <w:sz w:val="20"/>
          <w:szCs w:val="20"/>
          <w:color w:val="auto"/>
        </w:rPr>
      </w:pPr>
    </w:p>
    <w:p>
      <w:pPr>
        <w:ind w:left="1980" w:right="129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35"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We expect to conduct clinical trials internationally in the future. The acceptance of data from clinical trials conducted outside the U.S. or another jurisdiction by the FDA or comparable foreign regulatory authority may be subject to certain conditions or may not be accepted at all. In cases where data from foreign clinical trials are</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86</w:t>
      </w:r>
    </w:p>
    <w:p>
      <w:pPr>
        <w:sectPr>
          <w:pgSz w:w="11900" w:h="16838" w:orient="portrait"/>
          <w:cols w:equalWidth="0" w:num="1">
            <w:col w:w="10159"/>
          </w:cols>
          <w:pgMar w:left="300" w:top="368"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79"/>
        <w:spacing w:after="0" w:line="254" w:lineRule="auto"/>
        <w:rPr>
          <w:sz w:val="20"/>
          <w:szCs w:val="20"/>
          <w:color w:val="auto"/>
        </w:rPr>
      </w:pPr>
      <w:r>
        <w:rPr>
          <w:rFonts w:ascii="Times New Roman" w:cs="Times New Roman" w:eastAsia="Times New Roman" w:hAnsi="Times New Roman"/>
          <w:sz w:val="12"/>
          <w:szCs w:val="12"/>
          <w:color w:val="auto"/>
        </w:rPr>
        <w:t>intended to serve as the basis for marketing approval in the U.S.,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our Relationship with Sorrento</w:t>
      </w:r>
    </w:p>
    <w:p>
      <w:pPr>
        <w:spacing w:after="0" w:line="78" w:lineRule="exact"/>
        <w:rPr>
          <w:sz w:val="20"/>
          <w:szCs w:val="20"/>
          <w:color w:val="auto"/>
        </w:rPr>
      </w:pPr>
    </w:p>
    <w:p>
      <w:pPr>
        <w:ind w:left="1980" w:right="8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Sorrento previously supported many of our important corporate functions. Accordingly, our historical consolidated financial statements may not necessarily be indicative of the conditions that would have existed or our results of operations if we had been operated as an unaffiliated company of Sorrento, and we have and will continue to incur incremental costs as a stand-alone public company.</w:t>
      </w:r>
    </w:p>
    <w:p>
      <w:pPr>
        <w:spacing w:after="0" w:line="46"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We have completed the process of replicating and replacing certain functions, systems and infrastructure previously provided by Sorrento (our former controlling stockholder) prior to and subsequent to the Business Combination. We currently have no shared services or other intercompany arrangements. We have made and continue to make investments and hire additional employees to operate without access to Sorrento’s operational and administrative infrastructure. These functions, systems and infrastructure are costly to implement.</w:t>
      </w:r>
    </w:p>
    <w:p>
      <w:pPr>
        <w:spacing w:after="0" w:line="12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Historically, Sorrento performed or supported many important corporate functions for us. Our consolidated financial statements for the fiscal years ended December 31, 2023, 2022 and 2021 reflect charges for these services on an allocation basis. As a result, such consolidated financial statements may not be reflective of conditions that would have existed or what our results of operations would have been had we been a stand-alone public company and no longer a majority-owned subsidiary of Sorrento during such periods. We have incurred significant costs to replace the services and resources that are no longer provided by Sorrento. We are also incurring additional costs as a stand-alone public company. As a stand-alone public company, our total costs related to certain support functions may differ from the costs that were historically allocated to us from Sorrento. As we now operate separately from Sorrento, if we are not able to maintain adequate systems and business functions, we may not be able to operate our business effectively or at comparable costs, and our profitability may decline.</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Risks Related to Ownership of our Common Stock</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market price of our Common Stock may fluctuate significantly, and investors in our Common Stock may lose all or a part of their investment.</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For example, from November 11, 2022 (the first trading day following the closing of the Business Combination) to May 5, 2025, our closing stock price ranged from $3.99 to $518.00. The market price of our Common Stock may fluctuate significantly in response to numerous factors, some of which are beyond our control, such as:</w:t>
      </w:r>
    </w:p>
    <w:p>
      <w:pPr>
        <w:spacing w:after="0" w:line="62" w:lineRule="exact"/>
        <w:rPr>
          <w:sz w:val="20"/>
          <w:szCs w:val="20"/>
          <w:color w:val="auto"/>
        </w:rPr>
      </w:pPr>
    </w:p>
    <w:p>
      <w:pPr>
        <w:ind w:left="2620" w:hanging="288"/>
        <w:spacing w:after="0"/>
        <w:tabs>
          <w:tab w:leader="none" w:pos="26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commercialize ZTlido, GLOPERBA, ELYXYB or our product candidates, if approved;</w:t>
      </w:r>
    </w:p>
    <w:p>
      <w:pPr>
        <w:spacing w:after="0" w:line="87" w:lineRule="exact"/>
        <w:rPr>
          <w:rFonts w:ascii="Times New Roman" w:cs="Times New Roman" w:eastAsia="Times New Roman" w:hAnsi="Times New Roman"/>
          <w:sz w:val="12"/>
          <w:szCs w:val="12"/>
          <w:color w:val="auto"/>
        </w:rPr>
      </w:pPr>
    </w:p>
    <w:p>
      <w:pPr>
        <w:ind w:left="2620" w:right="1139" w:hanging="288"/>
        <w:spacing w:after="0" w:line="279" w:lineRule="auto"/>
        <w:tabs>
          <w:tab w:leader="none" w:pos="262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disputes or other developments relating to proprietary rights, including patents, litigation matters and our ability to obtain patent protection for ZTlido, GLOPERBA, ELYXYB or our product</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87</w:t>
      </w:r>
    </w:p>
    <w:p>
      <w:pPr>
        <w:sectPr>
          <w:pgSz w:w="11900" w:h="16838" w:orient="portrait"/>
          <w:cols w:equalWidth="0" w:num="1">
            <w:col w:w="10159"/>
          </w:cols>
          <w:pgMar w:left="300" w:top="36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999"/>
        <w:spacing w:after="0" w:line="279" w:lineRule="auto"/>
        <w:rPr>
          <w:sz w:val="20"/>
          <w:szCs w:val="20"/>
          <w:color w:val="auto"/>
        </w:rPr>
      </w:pPr>
      <w:r>
        <w:rPr>
          <w:rFonts w:ascii="Times New Roman" w:cs="Times New Roman" w:eastAsia="Times New Roman" w:hAnsi="Times New Roman"/>
          <w:sz w:val="12"/>
          <w:szCs w:val="12"/>
          <w:color w:val="auto"/>
        </w:rPr>
        <w:t>candidates, government investigations and the results of any proceedings or lawsuits, including, but not limited to, patent or stockholder litigation;</w:t>
      </w:r>
    </w:p>
    <w:p>
      <w:pPr>
        <w:spacing w:after="0" w:line="48" w:lineRule="exact"/>
        <w:rPr>
          <w:sz w:val="20"/>
          <w:szCs w:val="20"/>
          <w:color w:val="auto"/>
        </w:rPr>
      </w:pPr>
    </w:p>
    <w:p>
      <w:pPr>
        <w:ind w:left="2620" w:right="959" w:hanging="288"/>
        <w:spacing w:after="0" w:line="279" w:lineRule="auto"/>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extension of the lock-up restriction by court order in the Chapter 11 Cases (as defined below) on the 76,000,000 shares (on a pre-Reverse Stock Split basis) of our Common Stock that were previously distributed by Sorrento to Sorrento equityholders as a dividend;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the introduction of new products by our company and our competitors;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issuances of debt or equity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and trends in the pharmaceutical and biotechnology sectors;</w:t>
      </w:r>
    </w:p>
    <w:p>
      <w:pPr>
        <w:spacing w:after="0" w:line="87" w:lineRule="exact"/>
        <w:rPr>
          <w:rFonts w:ascii="Times New Roman" w:cs="Times New Roman" w:eastAsia="Times New Roman" w:hAnsi="Times New Roman"/>
          <w:sz w:val="12"/>
          <w:szCs w:val="12"/>
          <w:color w:val="auto"/>
        </w:rPr>
      </w:pPr>
    </w:p>
    <w:p>
      <w:pPr>
        <w:ind w:left="2620" w:right="1399" w:hanging="288"/>
        <w:spacing w:after="0" w:line="279" w:lineRule="auto"/>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performance of the equity markets and other factors that may be unrelated to our operating performance or the operating performance of our competitors, including changes in market valuations of similar companies;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volume of our Common Stock;</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ineffectiveness of our internal controls;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events or factors, many of which are beyond our control.</w:t>
      </w:r>
    </w:p>
    <w:p>
      <w:pPr>
        <w:spacing w:after="0" w:line="148" w:lineRule="exact"/>
        <w:rPr>
          <w:sz w:val="20"/>
          <w:szCs w:val="20"/>
          <w:color w:val="auto"/>
        </w:rPr>
      </w:pPr>
    </w:p>
    <w:p>
      <w:pPr>
        <w:ind w:left="1980" w:right="939" w:firstLine="294"/>
        <w:spacing w:after="0" w:line="261" w:lineRule="auto"/>
        <w:rPr>
          <w:sz w:val="20"/>
          <w:szCs w:val="20"/>
          <w:color w:val="auto"/>
        </w:rPr>
      </w:pPr>
      <w:r>
        <w:rPr>
          <w:rFonts w:ascii="Times New Roman" w:cs="Times New Roman" w:eastAsia="Times New Roman" w:hAnsi="Times New Roman"/>
          <w:sz w:val="12"/>
          <w:szCs w:val="12"/>
          <w:color w:val="auto"/>
        </w:rPr>
        <w:t>See the risk factor below titled “</w:t>
      </w:r>
      <w:r>
        <w:rPr>
          <w:rFonts w:ascii="Times New Roman" w:cs="Times New Roman" w:eastAsia="Times New Roman" w:hAnsi="Times New Roman"/>
          <w:sz w:val="12"/>
          <w:szCs w:val="12"/>
          <w:i w:val="1"/>
          <w:iCs w:val="1"/>
          <w:color w:val="auto"/>
        </w:rPr>
        <w:t>If our operations and performance do not meet the expectations of investors or securities analysts, the market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price of our securities may decline</w:t>
      </w:r>
      <w:r>
        <w:rPr>
          <w:rFonts w:ascii="Times New Roman" w:cs="Times New Roman" w:eastAsia="Times New Roman" w:hAnsi="Times New Roman"/>
          <w:sz w:val="12"/>
          <w:szCs w:val="12"/>
          <w:color w:val="auto"/>
        </w:rPr>
        <w:t>” for more factors affecting the trading price of our securities. The realization of any of the above risks or any of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broad range of other risks, including those described in these “Risk Factors,” could have a dramatic and material adverse impact on the market price of our Common Stock.</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equity markets in general have recently experienced extreme price and volume fluctuations. Continued market fluctuations could result in extreme volatility in the price of our Common Stock. Further, price volatility of our Common Stock might worsen if the trading volume of our Common Stock is low. Although we have had periods of high-volume daily trading in our Common Stock, generally our stock is thinly traded. As a consequence of this lack of liquidity, the trading of relatively small quantities of shares by our stockholders may disproportionately influence the price of those shares in either direction. If an active trading market for our Common Stock does not continue, the price of our Common Stock may be more volatile and it may be more difficult and time consuming to complete a transaction in our Common Stock, which could have an adverse effect on the realized price of our Common Stock. In addition, an adverse development in the market price for our Common Stock could negatively affect our ability to issue new equity to fund our activities.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If our operations and performance do not meet the expectations of investors or securities analysts, the market price of our securities may decline.</w:t>
      </w:r>
    </w:p>
    <w:p>
      <w:pPr>
        <w:spacing w:after="0" w:line="8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Factors affecting the trading price of our securities may include:</w:t>
      </w:r>
    </w:p>
    <w:p>
      <w:pPr>
        <w:spacing w:after="0" w:line="87" w:lineRule="exact"/>
        <w:rPr>
          <w:sz w:val="20"/>
          <w:szCs w:val="20"/>
          <w:color w:val="auto"/>
        </w:rPr>
      </w:pPr>
    </w:p>
    <w:p>
      <w:pPr>
        <w:ind w:left="2620" w:hanging="288"/>
        <w:spacing w:after="0"/>
        <w:tabs>
          <w:tab w:leader="none" w:pos="26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commercialize ZTlido, GLOPERBA, ELYXYB or our product candidates, if approved;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status and cost of our marketing commitments for ZTlido, GLOPERBA, ELYXYB and our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regarding results of any clinical trials relating to our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unanticipated serious safety concerns related to the use of ZTlido, GLOPERBA, ELYXYB or any of our product candidates;</w:t>
      </w:r>
    </w:p>
    <w:p>
      <w:pPr>
        <w:spacing w:after="0" w:line="105"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88</w:t>
      </w:r>
    </w:p>
    <w:p>
      <w:pPr>
        <w:sectPr>
          <w:pgSz w:w="11900" w:h="16838" w:orient="portrait"/>
          <w:cols w:equalWidth="0" w:num="1">
            <w:col w:w="10159"/>
          </w:cols>
          <w:pgMar w:left="300" w:top="36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regulatory decisions;</w:t>
      </w:r>
    </w:p>
    <w:p>
      <w:pPr>
        <w:spacing w:after="0" w:line="87" w:lineRule="exact"/>
        <w:rPr>
          <w:rFonts w:ascii="Times New Roman" w:cs="Times New Roman" w:eastAsia="Times New Roman" w:hAnsi="Times New Roman"/>
          <w:sz w:val="12"/>
          <w:szCs w:val="12"/>
          <w:color w:val="auto"/>
        </w:rPr>
      </w:pPr>
    </w:p>
    <w:p>
      <w:pPr>
        <w:ind w:left="2620" w:right="1219" w:hanging="288"/>
        <w:spacing w:after="0" w:line="279"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or regulations applicable to ZTlido, GLOPERBA, ELYXYB or our product candidates, including but not limited to clinical trial requirements for approvals;</w:t>
      </w:r>
    </w:p>
    <w:p>
      <w:pPr>
        <w:spacing w:after="0" w:line="48"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disputes or other developments relating to proprietary rights, including patents, litigation matters and our ability to obtain patent protection for ZTlido, GLOPERBA, ELYXYB or our product candidates, government investigations and the results of any proceedings or lawsuits, including, but not limited to, patent or stockholder litigation;</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decision to initiate a clinical trial, not initiate a clinical trial or to terminate an existing clinical trial;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dependence on third parties;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the introduction of new products by our competitors;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and trends in the pharmaceutical and biotechnology sectors;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concerning product development results or intellectual property rights of others;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future issuances of common stock or other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recruitment or departure of key personnel;</w:t>
      </w:r>
    </w:p>
    <w:p>
      <w:pPr>
        <w:spacing w:after="0" w:line="87"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meet or exceed any financial guidance or expectations regarding product development milestones that we may provide to the public;</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variations in quarterly operating results;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meet or exceed the estimates and projections of the investment community;</w:t>
      </w:r>
    </w:p>
    <w:p>
      <w:pPr>
        <w:spacing w:after="0" w:line="87" w:lineRule="exact"/>
        <w:rPr>
          <w:rFonts w:ascii="Times New Roman" w:cs="Times New Roman" w:eastAsia="Times New Roman" w:hAnsi="Times New Roman"/>
          <w:sz w:val="12"/>
          <w:szCs w:val="12"/>
          <w:color w:val="auto"/>
        </w:rPr>
      </w:pPr>
    </w:p>
    <w:p>
      <w:pPr>
        <w:ind w:left="2620" w:right="1399" w:hanging="288"/>
        <w:spacing w:after="0" w:line="279"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performance of the equity markets and other factors that may be unrelated to our operating performance or the operating performance of our competitors, including changes in market valuations of similar companies;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of significant acquisitions, strategic partnerships, joint ventures or capital commitments by us or our competitors;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financial estimates by the Company or by any securities analysts who might cover our stock;</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 of the market values of any of our potential strategic investments;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issuances of debt or equity securities;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our contractual obligations;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of our Common Stock by us or our stockholders in the future;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volume of our Common Stock;</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ineffectiveness of our internal controls;</w:t>
      </w:r>
    </w:p>
    <w:p>
      <w:pPr>
        <w:spacing w:after="0" w:line="87"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publication of research reports about the Company or its industry or positive or negative recommendations or withdrawal of research coverage by securities analysts;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political and economic conditions, including the wars in Ukraine and Israel;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effects of natural or man-made catastrophic events;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effects of public health crises, pandemics and epidemics; and</w:t>
      </w:r>
    </w:p>
    <w:p>
      <w:pPr>
        <w:spacing w:after="0" w:line="87"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events or factors, many of which are beyond our control, such as the government closure of Silicon Valley Bank and Signature Bank, and liquidity concerns at other financial institutions.</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89</w:t>
      </w:r>
    </w:p>
    <w:p>
      <w:pPr>
        <w:sectPr>
          <w:pgSz w:w="11900" w:h="16838" w:orient="portrait"/>
          <w:cols w:equalWidth="0" w:num="1">
            <w:col w:w="10159"/>
          </w:cols>
          <w:pgMar w:left="300" w:top="36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Further, the global equity markets in general have recently experienced extreme price and volume fluctuations, 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our Common Stock might worsen if the trading volume of our Common Stock is low. In the past, stockholders have initiated class action lawsuits against pharmaceutical and biotechnology companies following periods of volatility in the market prices of these companies’ stock. Such litigation, if instituted against the Company, could cause us to incur substantial costs and divert management’s attention and resources from our business. The realization of any of the above risks or any of a broad range of other risks, including those described in these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could have a dramatic and material adverse impact on the market price of our Common Stock.</w:t>
      </w:r>
    </w:p>
    <w:p>
      <w:pPr>
        <w:spacing w:after="0" w:line="194" w:lineRule="exact"/>
        <w:rPr>
          <w:sz w:val="20"/>
          <w:szCs w:val="20"/>
          <w:color w:val="auto"/>
        </w:rPr>
      </w:pPr>
    </w:p>
    <w:p>
      <w:pPr>
        <w:ind w:left="1980" w:right="9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have not paid cash dividends in the past and we do not expect to pay cash dividends in the foreseeable future and there is no assurance that we will complete the previously declared stock dividend. Any return on investment may be limited to the capital appreciation, if any, of our Common Stock.</w:t>
      </w:r>
    </w:p>
    <w:p>
      <w:pPr>
        <w:spacing w:after="0" w:line="46" w:lineRule="exact"/>
        <w:rPr>
          <w:sz w:val="20"/>
          <w:szCs w:val="20"/>
          <w:color w:val="auto"/>
        </w:rPr>
      </w:pPr>
    </w:p>
    <w:p>
      <w:pPr>
        <w:ind w:left="1980" w:right="899" w:firstLine="294"/>
        <w:spacing w:after="0" w:line="284" w:lineRule="auto"/>
        <w:rPr>
          <w:sz w:val="20"/>
          <w:szCs w:val="20"/>
          <w:color w:val="auto"/>
        </w:rPr>
      </w:pPr>
      <w:r>
        <w:rPr>
          <w:rFonts w:ascii="Times New Roman" w:cs="Times New Roman" w:eastAsia="Times New Roman" w:hAnsi="Times New Roman"/>
          <w:sz w:val="11"/>
          <w:szCs w:val="11"/>
          <w:color w:val="auto"/>
        </w:rPr>
        <w:t>We have not paid cash dividends on our Common Stock and we do not anticipate paying cash dividends on our Common Stock in the foreseeable future. Should we decide in the future to do so, as a holding company, our ability to pay dividends on our capital stock and meet other obligations depends upon the receipt of dividends or other payments from our operating subsidiaries, including Legacy Scilex. In addition, our ability to pay dividends may be limited by covenants in future outstanding indebtedness that we or our subsidiaries may incur. Since we do not intend to pay cash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w:t>
      </w:r>
    </w:p>
    <w:p>
      <w:pPr>
        <w:spacing w:after="0" w:line="110" w:lineRule="exact"/>
        <w:rPr>
          <w:sz w:val="20"/>
          <w:szCs w:val="20"/>
          <w:color w:val="auto"/>
        </w:rPr>
      </w:pPr>
    </w:p>
    <w:p>
      <w:pPr>
        <w:ind w:left="1980" w:right="899" w:firstLine="294"/>
        <w:spacing w:after="0" w:line="251" w:lineRule="auto"/>
        <w:rPr>
          <w:sz w:val="20"/>
          <w:szCs w:val="20"/>
          <w:color w:val="auto"/>
        </w:rPr>
      </w:pPr>
      <w:r>
        <w:rPr>
          <w:rFonts w:ascii="Times New Roman" w:cs="Times New Roman" w:eastAsia="Times New Roman" w:hAnsi="Times New Roman"/>
          <w:sz w:val="12"/>
          <w:szCs w:val="12"/>
          <w:color w:val="auto"/>
        </w:rPr>
        <w:t>In October 2024, the Board declared a stock dividend (the “Dividend”) consisting of an aggregate of 5,000,000 shares (the “Dividend Stock”) of Series 1 Mandatory Exchangeable Preferred Stock, par value $0.0001 per share, to record holders of certain of our securities as of the close of business on November 7, 2024 (which date was subsequently changed to May 2, 2025) (the “Record Date”). Pursuant to the Certificate of Designation of Preferences, Rights and Limitations of Series 1 Mandatory Exchangeable Preferred Stock (the “Certificate of Designation”) previously filed with the Secretary of State of the State of Delaware, designating the Dividend Stock, if the Dividend Stock is distributed, the holders of thereof may become entitled to a pro rata portion of the number of shares that represents the lesser of (a) 10% of the shares of common stock, par value $0.00001 per share (the “Semnur Common Stock”), of Semnur (or such other securities into which or for which such stock may be exchanged or converted), held by us as of immediately prior to the Effective Date (as defined in the Semnur Business Combination Agreement) (taking into account any adjustment for any stock dividend, stock split, reverse stock split or similar transaction) and (b) that number of shares of Semnur Common Stock (or such other securities into which or for which such stock may be exchanged or converted) equal to $200,000,000 divided by the closing price of such Semnur Common Stock (or such other securities into which or for which such stock may be exchanged or converted) on any national securities exchange on which such shares are listed on the date that is 10 trading days prior to the Determination Date (as defined below), which shares shall be paid from the shares of Semnur Common Stock (or such other securities into which or for which such stock may be exchanged or converted) held by us as of immediately prior to the Effective Time (taking into account any adjustment for any stock dividend, stock split, reverse stock split or similar transaction). For purposes of the Certificate of Designation, (a) “Effective Time” means the effective time of the Semnur Business Combination as determined under the terms of the Semnur Business Combination Agreement, (b) “Determination Date” means, if the Semnur Common Stock (or such other securities into which or for which such stock may be exchanged or converted) is listed for, and trading on, any national securities exchange, the date that is 15 trading days following the Registration Date, (c) “Registration Date” means the earlier of (i) the Effective Time, at which time the shares of Semnur Common Stock (or such other securities into which or for which such stock has been exchanged or converted) are registered under the Exchange Act and (ii) the time at which the Registration</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90</w:t>
      </w:r>
    </w:p>
    <w:p>
      <w:pPr>
        <w:sectPr>
          <w:pgSz w:w="11900" w:h="16838" w:orient="portrait"/>
          <w:cols w:equalWidth="0" w:num="1">
            <w:col w:w="10159"/>
          </w:cols>
          <w:pgMar w:left="300" w:top="368"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Statement is declared effective by the SEC and (d) “Registration Statement” means a registration statement, whether under the Exchange Act or the Securities Act, that is filed by Semnur or any successor thereto or affiliate thereof with respect to the registration of the Semnur Common Stock or any securities into which or for which such stock may be exchanged or converted. The Board has the right to change the Record Date and the right to revoke the Dividend at any time prior to the payment date therefor. There can be no assurance that the Board will not revoke the Dividend or that, even if such Dividend is paid, the conditions for the mandatory exchange set forth in the Certificate of Designations will ever occur (including that the Registration Date shall have occurred on or before 11:59 p.m. Eastern time on October 28, 2025).</w:t>
      </w:r>
    </w:p>
    <w:p>
      <w:pPr>
        <w:spacing w:after="0" w:line="193"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Future sales, or the perception of future sales, of a substantial number of shares of our Common Stock may cause the price of our Common Stock to decline.</w:t>
      </w:r>
    </w:p>
    <w:p>
      <w:pPr>
        <w:spacing w:after="0" w:line="35"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If our existing stockholders sell, or indicate an intention to sell, substantial amounts of our Common Stock, the trading price of our Common Stock could decline and it could impair our ability to raise capital through the sale of additional equity securities.</w:t>
      </w:r>
    </w:p>
    <w:p>
      <w:pPr>
        <w:spacing w:after="0" w:line="111"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On December 30, 2022, Sorrento announced that its board of directors authorized Sorrento to dividend to Sorrento equity holders of record as of January 9, 2023 an aggregate of 76,000,000 shares of our Common Stock (on a pre-Reverse Stock Split basis) that were held by Sorrento. Such shares were subject to a lock-up restriction prohibiting the sale, pledge or other transfer which expired on April 14, 2025.</w:t>
      </w:r>
    </w:p>
    <w:p>
      <w:pPr>
        <w:spacing w:after="0" w:line="119" w:lineRule="exact"/>
        <w:rPr>
          <w:sz w:val="20"/>
          <w:szCs w:val="20"/>
          <w:color w:val="auto"/>
        </w:rPr>
      </w:pPr>
    </w:p>
    <w:p>
      <w:pPr>
        <w:jc w:val="both"/>
        <w:ind w:left="1980" w:right="1259" w:firstLine="294"/>
        <w:spacing w:after="0" w:line="265" w:lineRule="auto"/>
        <w:rPr>
          <w:sz w:val="20"/>
          <w:szCs w:val="20"/>
          <w:color w:val="auto"/>
        </w:rPr>
      </w:pPr>
      <w:r>
        <w:rPr>
          <w:rFonts w:ascii="Times New Roman" w:cs="Times New Roman" w:eastAsia="Times New Roman" w:hAnsi="Times New Roman"/>
          <w:sz w:val="12"/>
          <w:szCs w:val="12"/>
          <w:color w:val="auto"/>
        </w:rPr>
        <w:t>As the restrictions on resale end, the market price of shares of our Common Stock could drop significantly if the holders of these shares of Common Stock sell them or are perceived by the market as intending to sell them. These factors could also make it more difficult for us to raise additional funds through future offerings of our shares of Common Stock or other securities.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may fluctuate significantly.</w:t>
      </w:r>
    </w:p>
    <w:p>
      <w:pPr>
        <w:spacing w:after="0" w:line="82" w:lineRule="exact"/>
        <w:rPr>
          <w:sz w:val="20"/>
          <w:szCs w:val="20"/>
          <w:color w:val="auto"/>
        </w:rPr>
      </w:pPr>
    </w:p>
    <w:p>
      <w:pPr>
        <w:ind w:left="1980" w:right="1219" w:firstLine="294"/>
        <w:spacing w:after="0" w:line="279" w:lineRule="auto"/>
        <w:rPr>
          <w:sz w:val="20"/>
          <w:szCs w:val="20"/>
          <w:color w:val="auto"/>
        </w:rPr>
      </w:pPr>
      <w:r>
        <w:rPr>
          <w:rFonts w:ascii="Times New Roman" w:cs="Times New Roman" w:eastAsia="Times New Roman" w:hAnsi="Times New Roman"/>
          <w:sz w:val="12"/>
          <w:szCs w:val="12"/>
          <w:color w:val="auto"/>
        </w:rPr>
        <w:t>We expect our operating results to be subject to quarterly, and possibly annual, fluctuations. Our net loss and other operating results will be affected by numerous factors, including:</w:t>
      </w:r>
    </w:p>
    <w:p>
      <w:pPr>
        <w:spacing w:after="0" w:line="48" w:lineRule="exact"/>
        <w:rPr>
          <w:sz w:val="20"/>
          <w:szCs w:val="20"/>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variations in the level of expenses related to our development programs;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addition or termination of clinical trials;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intellectual property infringement lawsuit in which we may become involved;</w:t>
      </w:r>
    </w:p>
    <w:p>
      <w:pPr>
        <w:spacing w:after="0" w:line="87" w:lineRule="exact"/>
        <w:rPr>
          <w:rFonts w:ascii="Times New Roman" w:cs="Times New Roman" w:eastAsia="Times New Roman" w:hAnsi="Times New Roman"/>
          <w:sz w:val="12"/>
          <w:szCs w:val="12"/>
          <w:color w:val="auto"/>
        </w:rPr>
      </w:pPr>
    </w:p>
    <w:p>
      <w:pPr>
        <w:ind w:left="2620" w:right="1279" w:hanging="288"/>
        <w:spacing w:after="0" w:line="279" w:lineRule="auto"/>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developments affecting ZTlido, GLOPERBA, ELYXYB or our product candidates, regulatory approvals of our product candidates, and the level of underlying demand for such products and purchasing patterns;</w:t>
      </w:r>
    </w:p>
    <w:p>
      <w:pPr>
        <w:spacing w:after="0" w:line="48"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execution of any collaborative, licensing or similar arrangements, and the timing of payments we may make or receive under these arrangements; and</w:t>
      </w:r>
    </w:p>
    <w:p>
      <w:pPr>
        <w:spacing w:after="0" w:line="48"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on pharmaceutical purchases and prices of the timing during which patients who purchase our product satisfy their deductibles under the reimbursement requirements of their health providers’ plans.</w:t>
      </w:r>
    </w:p>
    <w:p>
      <w:pPr>
        <w:spacing w:after="0" w:line="111" w:lineRule="exact"/>
        <w:rPr>
          <w:sz w:val="20"/>
          <w:szCs w:val="20"/>
          <w:color w:val="auto"/>
        </w:rPr>
      </w:pPr>
    </w:p>
    <w:p>
      <w:pPr>
        <w:jc w:val="both"/>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cash and cash equivalents could be adversely affected if the financial institutions in which we hold our cash and cash equivalents fail.</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March 10, 2023, the Federal Deposit Insurance Corporation (the “FDIC”) announced that Silicon Valley Bank had been closed by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California Department of Financial Protection and Innovation and on March 12, 2023,</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91</w:t>
      </w:r>
    </w:p>
    <w:p>
      <w:pPr>
        <w:sectPr>
          <w:pgSz w:w="11900" w:h="16838" w:orient="portrait"/>
          <w:cols w:equalWidth="0" w:num="1">
            <w:col w:w="10159"/>
          </w:cols>
          <w:pgMar w:left="300" w:top="368"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7" w:lineRule="auto"/>
        <w:rPr>
          <w:sz w:val="20"/>
          <w:szCs w:val="20"/>
          <w:color w:val="auto"/>
        </w:rPr>
      </w:pPr>
      <w:r>
        <w:rPr>
          <w:rFonts w:ascii="Times New Roman" w:cs="Times New Roman" w:eastAsia="Times New Roman" w:hAnsi="Times New Roman"/>
          <w:sz w:val="12"/>
          <w:szCs w:val="12"/>
          <w:color w:val="auto"/>
        </w:rPr>
        <w:t>Signature Bank was closed by the New York State Department of Financial Services and the FDIC was named receiver. Although we do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193" w:lineRule="exact"/>
        <w:rPr>
          <w:sz w:val="20"/>
          <w:szCs w:val="20"/>
          <w:color w:val="auto"/>
        </w:rPr>
      </w:pPr>
    </w:p>
    <w:p>
      <w:pPr>
        <w:ind w:left="1980" w:right="9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securities or industry analysts do not publish research or reports about our business, or if they issue an adverse opinion regarding our stock, our stock price and trading volume could decline.</w:t>
      </w:r>
    </w:p>
    <w:p>
      <w:pPr>
        <w:spacing w:after="0" w:line="35"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trading market for our Common Stock will be influenced by the research and reports that industry or securities analysts publish about the Company or our business. We may never obtain research coverage by securities and industry analysts. Since we became public through a merger, securities analysts of major brokerage firms may not provide coverage of the Company since there is no incentive to brokerage firms to recommend the purchase of our Common Stock. If no or few securities or industry analysts commence coverage of the Company, the trading price for our capital stock would be negatively impacted. In the event we obtain securities or industry analyst coverage, if any of the analysts who cover it issues an adverse opinion regarding the Company, our business model, our intellectual property or our stock performance, or if our clinical trials and operating results fail to meet the expectations of analysts, our stock price would likely decline. If one or more of these analysts cease coverage of the Company or fail to publish reports on us regularly, we could lose visibility in the financial markets, which in turn could cause our stock price or trading volume to decline.</w:t>
      </w:r>
    </w:p>
    <w:p>
      <w:pPr>
        <w:spacing w:after="0" w:line="196"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Raising additional capital may cause dilution to our existing stockholders, restrict our operations or require us to relinquish rights to ZTlido or our product candidates.</w:t>
      </w:r>
    </w:p>
    <w:p>
      <w:pPr>
        <w:spacing w:after="0" w:line="3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We may issue additional equity securities to fund future expansion and pursuant to equity incentive or employee benefit plans. We may also issue additional equity for other purposes. These securities may have the same rights as our Common Stock or, alternatively, may have dividend, liquidation or other preferences to our Common Stock. The issuance of additional equity securities, whether upon conversion of the Tranche B Notes into Common Stock or otherwise, will dilute the holdings of existing stockholders and may reduce the share price of our Common Stock.</w:t>
      </w:r>
    </w:p>
    <w:p>
      <w:pPr>
        <w:spacing w:after="0" w:line="12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Pursuant to the Equity Incentive Plan, which became effective on November 9, 2022, we are authorized to grant equity awards to our employees, directors and consultants. In addition, pursuant to the ESPP, which became effective on November 9, 2022, we are authorized to sell shares to our employees. Further, pursuant to the Inducement Plan, which was adopted on January 17, 2023, we are authorized to grant equity awards to individuals as a material inducement to join the Company. A total of 703,670 shares of Common Stock (which number of shares accounts for the automatic annual increase on January 1, 2025), 170,573 shares of Common Stock (which number of shares accounts for the annual increase on January 1, 2025) and 40,000 shares of our Common Stock have been reserved for future issuance under the Equity Incentive Plan, the ESPP and the Inducement Plan, respectively. In addition, the Equity Incentive Plan and ESPP provide for annual automatic increases in the number of shares reserved thereunder, in each case, beginning on January 1, 2023. As a result of such annual increases, our stockholders may experience additional dilution, which could cause the price of our Common Stock to fall.</w:t>
      </w:r>
    </w:p>
    <w:p>
      <w:pPr>
        <w:spacing w:after="0" w:line="126" w:lineRule="exact"/>
        <w:rPr>
          <w:sz w:val="20"/>
          <w:szCs w:val="20"/>
          <w:color w:val="auto"/>
        </w:rPr>
      </w:pPr>
    </w:p>
    <w:p>
      <w:pPr>
        <w:ind w:left="1980" w:right="899" w:firstLine="294"/>
        <w:spacing w:after="0" w:line="286" w:lineRule="auto"/>
        <w:rPr>
          <w:sz w:val="20"/>
          <w:szCs w:val="20"/>
          <w:color w:val="auto"/>
        </w:rPr>
      </w:pPr>
      <w:r>
        <w:rPr>
          <w:rFonts w:ascii="Times New Roman" w:cs="Times New Roman" w:eastAsia="Times New Roman" w:hAnsi="Times New Roman"/>
          <w:sz w:val="11"/>
          <w:szCs w:val="11"/>
          <w:color w:val="auto"/>
        </w:rPr>
        <w:t>Pursuant to the Amended and Restated Registration Rights Agreement, dated as of November 10, 2022, by and among us, Vickers Venture Fund VI Pte Ltd, Vickers Venture Fund VI (Plan) Pte Ltd, Sorrento Therapeutics, Inc. and certain security holders set forth on the signature pages thereto (the “Registration Rights Agreement”), which was entered into in connection with the Business Combination, certain stockholders of Vickers and Legacy Scilex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w:t>
      </w:r>
    </w:p>
    <w:p>
      <w:pPr>
        <w:spacing w:after="0" w:line="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92</w:t>
      </w:r>
    </w:p>
    <w:p>
      <w:pPr>
        <w:sectPr>
          <w:pgSz w:w="11900" w:h="16838" w:orient="portrait"/>
          <w:cols w:equalWidth="0" w:num="1">
            <w:col w:w="10159"/>
          </w:cols>
          <w:pgMar w:left="300" w:top="36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79"/>
        <w:spacing w:after="0" w:line="260" w:lineRule="auto"/>
        <w:rPr>
          <w:sz w:val="20"/>
          <w:szCs w:val="20"/>
          <w:color w:val="auto"/>
        </w:rPr>
      </w:pPr>
      <w:r>
        <w:rPr>
          <w:rFonts w:ascii="Times New Roman" w:cs="Times New Roman" w:eastAsia="Times New Roman" w:hAnsi="Times New Roman"/>
          <w:sz w:val="12"/>
          <w:szCs w:val="12"/>
          <w:color w:val="auto"/>
        </w:rPr>
        <w:t>and certain of our other securities. We have filed a registration statement on Form S-1 (File No. 333-268603) which was initially declared effective by the SEC on December 27, 2022, in order to satisfy these obligations. The registration of these securities will permit the public sale of such securities, subject to certain contractual restrictions imposed by the Registration Rights Agreement and the Merger Agreement. The presence of these additional shares of our Common Stock trading in the public market may have an adverse effect on the market price of our securities.</w:t>
      </w:r>
    </w:p>
    <w:p>
      <w:pPr>
        <w:spacing w:after="0" w:line="122"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If we raise additional funds through collaboration, licensing or other similar arrangements, we may have to relinquish valuable rights to ZTlido, GLOPERBA, ELYXYB or our product candidates, or grant licenses on terms unfavorable to us. If adequate funds are not available, our ability to achieve profitability or to respond to competitive pressures would be significantly limited and we may be required to delay, significantly curtail or eliminate the development of our product candidates.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failure to maintain compliance with the continued listing standards of Nasdaq could result in a delisting of our Common Stock.</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On November 1, 2024, we received the Notice from Nasdaq notifying us that, because the closing bid price for our shares of Common Stock, has been below $1.00 per share for 30 consecutive business days, we did not comply with the Minimum Bid Price Requirement, and Nasdaq Listing Rule 5810(c)(3)(A) provides that a failure to meet the Minimum Bid Price Requirement exists if the deficiency continues for a period of 30 consecutive business days. Under Nasdaq Listing Rules, we had 180 days, or until April 30, 2025, to regain compliance with the Minimum Bid Price Requirement. Following the completion of the Reverse Stock Split, on April 30, 2025, the Company received notice from Nasdaq that it had regained compliance with the minimum closing bid price requirement under Nasdaq Listing Rule 5550(a)(2).</w:t>
      </w:r>
    </w:p>
    <w:p>
      <w:pPr>
        <w:spacing w:after="0" w:line="125"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On November 21, 2024, we received a letter (the “Second Nasdaq Notice”) from Nasdaq advising us that we were not in compliance with Nasdaq’s continued listing requirements under the Nasdaq Listing Rule 5250(c)(1) (“Listing Rule 5250(c)(1)”) as a result of our failure to file the Quarterly Report on Form 10-Q for the quarter ended September 30, 2024 (the “Q3 Form 10-Q”) in a timely manner. Listing Rule 5250(c)(1) requires listed companies to timely file all required periodic reports (the “Timely Reporting Requirement”) with the SEC. Under Nasdaq rules, we had 60 calendar days from receipt of the Nasdaq Notice, or until January 20, 2025, to submit a plan to regain compliance with the Listing Rule. We regained compliance with Listing Rule 5250(c)(1) by filing the Q3 Form 10-Q on January 17, 2025.</w:t>
      </w:r>
    </w:p>
    <w:p>
      <w:pPr>
        <w:spacing w:after="0" w:line="125"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If, in the future, we are unable to maintain compliance with Nasdaq Listing Rules, Nasdaq could determine to delist our securities from trading on its exchange and if we are then unable to obtain listing on another national securities exchange, some or all of the following may occur, each of which could have a material adverse effect on our stockholders:</w:t>
      </w:r>
    </w:p>
    <w:p>
      <w:pPr>
        <w:spacing w:after="0" w:line="56" w:lineRule="exact"/>
        <w:rPr>
          <w:sz w:val="20"/>
          <w:szCs w:val="20"/>
          <w:color w:val="auto"/>
        </w:rPr>
      </w:pPr>
    </w:p>
    <w:p>
      <w:pPr>
        <w:ind w:left="2620" w:right="919" w:hanging="288"/>
        <w:spacing w:after="0" w:line="279" w:lineRule="auto"/>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causing our shares of Common Stock to be transferred to a more limited market than Nasdaq, which could affect the market price, trading volume, liquidity and resale price of such shares;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causing an event of default under our existing debt instruments;</w:t>
      </w:r>
    </w:p>
    <w:p>
      <w:pPr>
        <w:spacing w:after="0" w:line="87"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reducing the number of investors, including institutional investors, willing to hold or acquire our Common Stock, which could negatively impact our ability to raise equity;</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decreasing the amount of news and analyst coverage relating to us;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reducing the availability of information concerning the trading prices and volume of our Common Stock</w:t>
      </w:r>
    </w:p>
    <w:p>
      <w:pPr>
        <w:spacing w:after="0" w:line="87" w:lineRule="exact"/>
        <w:rPr>
          <w:rFonts w:ascii="Times New Roman" w:cs="Times New Roman" w:eastAsia="Times New Roman" w:hAnsi="Times New Roman"/>
          <w:sz w:val="12"/>
          <w:szCs w:val="12"/>
          <w:color w:val="auto"/>
        </w:rPr>
      </w:pPr>
    </w:p>
    <w:p>
      <w:pPr>
        <w:ind w:left="2620" w:right="1319" w:hanging="288"/>
        <w:spacing w:after="0" w:line="279" w:lineRule="auto"/>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issue additional securities, obtain additional financing or pursue strategic restructuring, refinancing or other transactions;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impacting our reputation and, as a consequence, our business and operations.</w:t>
      </w:r>
    </w:p>
    <w:p>
      <w:pPr>
        <w:spacing w:after="0" w:line="10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93</w:t>
      </w:r>
    </w:p>
    <w:p>
      <w:pPr>
        <w:sectPr>
          <w:pgSz w:w="11900" w:h="16838" w:orient="portrait"/>
          <w:cols w:equalWidth="0" w:num="1">
            <w:col w:w="10159"/>
          </w:cols>
          <w:pgMar w:left="300" w:top="368"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959"/>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We effected a one-for-35 Reverse Stock Split on April 15, 2025. The Reverse Stock Split may adversely impact the liquidity of our Common Stock and Public Warrants and may not be effective in facilitating our efforts to maintain compliance with the continued listing requirements of Nasdaq.</w:t>
      </w:r>
    </w:p>
    <w:p>
      <w:pPr>
        <w:spacing w:after="0" w:line="1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liquidity of our common shares and warrants may be adversely affected by the Reverse Stock Split, given the significantly reduced number of shares of Common Stock that are outstanding following its effectiveness. In addition, there can be no assurance that the trading price of our common shares will remain at or above $1.00 per share.</w:t>
      </w:r>
    </w:p>
    <w:p>
      <w:pPr>
        <w:spacing w:after="0" w:line="119"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Following the Reverse Stock Split, the market price of our Common Stock may not attract new investors or satisfy the investing requirements of those investors. As a result, the trading liquidity of our Common Stock may not necessarily improve.</w:t>
      </w:r>
    </w:p>
    <w:p>
      <w:pPr>
        <w:spacing w:after="0" w:line="111"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In addition, the Reverse Stock Split has resulted in some stockholders owning “odd lots” of less than 100 shares of Common Stock on a post-Reverse Stock Split basis. Odd lots may be more difficult to sell, or require greater transaction costs per share to sell, than shares in “round lots” of even multiples of 100 shares.</w:t>
      </w:r>
    </w:p>
    <w:p>
      <w:pPr>
        <w:spacing w:after="0" w:line="119"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Reverse Stock Split was effected to regain compliance with Nasdaq’s Minimum Bid Price Requirement of at least $1.00 per share. Although we have regained compliance with such requirement, there can be no assurance that we will maintain compliance with such requirement, or that we will not become deficient with respect to other Nasdaq listing requirements following, or as a result of, the Reverse Stock Split.</w:t>
      </w:r>
    </w:p>
    <w:p>
      <w:pPr>
        <w:spacing w:after="0" w:line="187" w:lineRule="exact"/>
        <w:rPr>
          <w:sz w:val="20"/>
          <w:szCs w:val="20"/>
          <w:color w:val="auto"/>
        </w:rPr>
      </w:pPr>
    </w:p>
    <w:p>
      <w:pPr>
        <w:ind w:left="1980" w:right="95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and/or our directors and officers may be subject to litigation or other actions as a result of or relating to our internal investigation and our failure to timely file the Q3 Form 10-Q with the SEC and an unfavorable outcome with respect to such matters could harm our business, financial condition and results of operations.</w:t>
      </w:r>
    </w:p>
    <w:p>
      <w:pPr>
        <w:spacing w:after="0" w:line="46"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As previously disclosed, the audit committee of the Board (the “Audit Committee”) commenced an investigation with the assistance of independent counsel with respect to an evaluation of the following contracts: (i) the Commitment Letter entered into with FSF (a copy of which was filed with the SEC as an exhibit to our Current Report on Form 8-K filed on June 12, 2024), (ii) a distribution agreement entered into with Endeavor Distribution LLC (“Endeavor”) in June 2024, and (iii) the Satisfaction Agreement entered into with FSF and Endeavor (a copy of which was filed with the SEC as an exhibit to our Current Report on Form 8-K filed on September 18, 2024). The investigation relates to the accounting treatment of such contracts and related matters.</w:t>
      </w:r>
    </w:p>
    <w:p>
      <w:pPr>
        <w:spacing w:after="0" w:line="125"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Failure to comply with applicable laws or regulations, as interpreted and applied, or our reporting obligations with the SEC could have a material adverse effect on our reputation, the price of its securities and its business, financial condition and results of operations. We cannot predict the outcome of the above-referenced matters. Our management may be required to devote significant time and attention to these matters. An unfavorable outcome could have a material adverse impact on our financial position, results of operations or liquidity or the market for its securities, and could subject we and/or our directors and officers to litigation or other actions from third parties or regulatory bodies related to the above-referenced matters.</w:t>
      </w:r>
    </w:p>
    <w:p>
      <w:pPr>
        <w:spacing w:after="0" w:line="193" w:lineRule="exact"/>
        <w:rPr>
          <w:sz w:val="20"/>
          <w:szCs w:val="20"/>
          <w:color w:val="auto"/>
        </w:rPr>
      </w:pPr>
    </w:p>
    <w:p>
      <w:pPr>
        <w:ind w:left="1980" w:right="10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As a result of our failure to timely file the Q3 Form 10-Q, we are currently ineligible to file new short form registration statements on Form S-3, which may impair our ability to raise capital on terms favorable to us, in a timely manner or at all.</w:t>
      </w:r>
    </w:p>
    <w:p>
      <w:pPr>
        <w:spacing w:after="0" w:line="3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94</w:t>
      </w:r>
    </w:p>
    <w:p>
      <w:pPr>
        <w:sectPr>
          <w:pgSz w:w="11900" w:h="16838" w:orient="portrait"/>
          <w:cols w:equalWidth="0" w:num="1">
            <w:col w:w="10159"/>
          </w:cols>
          <w:pgMar w:left="300" w:top="368"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1"/>
          <w:szCs w:val="11"/>
          <w:color w:val="auto"/>
        </w:rPr>
        <w:t>As a result of our failure to timely file the Q3 Form 10-Q, we are currently ineligible to file new short form registration statements on Form S-3, which may impair our ability to raise necessary capital to repay our debt obligations as they become due, pursue acquisition and development opportunities, and execute our business strategy. If we seek to access the capital markets through a registered offering during the period of time that we are unable to use a registration statement on Form S-3, we may experience delays in the offering process due to SEC review of a registration statement on Form S-1, experience downward pressure on our share price given that we will have to disclose the offering prior to formal commencement, and incur increased offering and transaction costs. If we are unable to raise capital through a registered offering, we would be required to conduct financing transactions on a private placement basis, subject to pricing, size and other limitations for equity raises under Nasdaq rules, or seek other sources of capital, which are not guaranteed. The foregoing limitations on our financing approaches could impair our ability to raise capital on terms favorable to us, in a timely manner or at all, which could have a material adverse effect on our results of operations, liquidity and financial position.</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Assuming we continue to timely file our required Exchange Act reports, the earliest we would regain the ability to use Form S-3 is February 1,</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2026.</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We have in the past and may in the future be subject to short selling strategies that may drive down the market price of our Common Stock.</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Short sellers have in the past and may attempt in the future to drive down the market price of our Common Stock. Short selling is the practice of selling securities that the seller does not own but may have borrowed with the intention of buying identical securities back at a later date. The short seller hopes to profit from a decline in the value of the securities between the time the securities are borrowed and the time they are replaced. As it is in the short seller’s best interests for the price of the stock to decline, many short sellers (sometimes known as “disclosed shorts”) publish, or arrange for the publication of, negative opinions regarding the relevant issuer and its business prospects to create negative market momentum. Although traditionally these disclosed shorts were limited in their ability to access mainstream business media or to otherwise create negative market rumors, the rise of the Internet and technological advancements regarding document creation, videotaping and publication by weblog (“blogging”) have allowed many disclosed shorts to publicly attack a company’s credibility, strategy and veracity by means of so-called “research reports” that mimic the type of investment analysis performed by large Wall Street firms and independent research analysts. These short attacks have, in the past, led to selling of shares in the market. Further, these short seller publications are not regulated by any governmental, self-regulatory organization or other official authority in the U.S. and they are not subject to certification requirements imposed by the SEC. Accordingly, the opinions they express may be based on distortions, omissions or fabrications. Companies that are subject to unfavorable allegations, even if untrue, may have to expend a significant amount of resources to investigate such allegations and/or defend themselves, including stockholder suits against the company that may be prompted by such allegations. We may in the future be the subject of stockholder suits that we believe were prompted by allegations made by short sellers.</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and tax credit carryforwards may be subject to limitation.</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Generally, a change of more than 50% in the ownership of a company’s stock, by value, over a three-year period constitutes an ownership change for U.S. federal income tax purposes. An ownership change may limit our ability to use our net operating loss carryforwards attributable to the period prior to the change. We have experienced a corporate reorganization in the past, some ownership changes as a result of the Business Combination and may experience some subsequent changes in the future in our stock ownership (some of which shifts are outside our control). As a result, if we earn net taxable income, our ability to use our pre-change net operating loss carryforwards to offset U.S. federal taxable income may become subject to limitations, which could potentially result in increased future tax liability for the Company.</w:t>
      </w:r>
    </w:p>
    <w:p>
      <w:pPr>
        <w:spacing w:after="0" w:line="125"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Tax Cuts and JOBS Act of 2017 (“TCJA”), as amended by the CARES Act, includes changes to U.S. federal tax rates and the rules governing net operating loss (“NOL”) carryforwards. The TCJA, as modified by the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95</w:t>
      </w:r>
    </w:p>
    <w:p>
      <w:pPr>
        <w:sectPr>
          <w:pgSz w:w="11900" w:h="16838" w:orient="portrait"/>
          <w:cols w:equalWidth="0" w:num="1">
            <w:col w:w="10159"/>
          </w:cols>
          <w:pgMar w:left="300" w:top="36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our ability to utilize our NOLs to offset taxable income in the future.</w:t>
      </w:r>
    </w:p>
    <w:p>
      <w:pPr>
        <w:spacing w:after="0" w:line="196" w:lineRule="exact"/>
        <w:rPr>
          <w:sz w:val="20"/>
          <w:szCs w:val="20"/>
          <w:color w:val="auto"/>
        </w:rPr>
      </w:pPr>
    </w:p>
    <w:p>
      <w:pPr>
        <w:ind w:left="1980" w:right="91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46"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194" w:lineRule="exact"/>
        <w:rPr>
          <w:sz w:val="20"/>
          <w:szCs w:val="20"/>
          <w:color w:val="auto"/>
        </w:rPr>
      </w:pPr>
    </w:p>
    <w:p>
      <w:pPr>
        <w:ind w:left="1980" w:right="103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in the Certificate of Incorporation and the Bylaws and under Delaware law could make an acquisition of our Company, which may be beneficial to our stockholders, more difficult and may prevent attempts by our stockholders to replace or remove our current management.</w:t>
      </w:r>
    </w:p>
    <w:p>
      <w:pPr>
        <w:spacing w:after="0" w:line="46"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The Restated Certificate of Incorporation of the Company, filed with the Secretary of State of the State of Delaware on November 10, 2022, as amended (the “Certificate of Incorporation”), the Bylaws of the Company, effective November 10, 2022 (the “Bylaws”) and the DGCL, contain provisions that could make it more difficult for a third party to acquire the Company, even if doing so might be beneficial to our stockholders. Among other things, these provisions include:</w:t>
      </w:r>
    </w:p>
    <w:p>
      <w:pPr>
        <w:spacing w:after="0" w:line="59" w:lineRule="exact"/>
        <w:rPr>
          <w:sz w:val="20"/>
          <w:szCs w:val="20"/>
          <w:color w:val="auto"/>
        </w:rPr>
      </w:pPr>
    </w:p>
    <w:p>
      <w:pPr>
        <w:ind w:left="2620" w:right="939" w:hanging="288"/>
        <w:spacing w:after="0" w:line="265"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allow our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for a classified board of directors with staggered three-year terms;</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directors may only be removed for cause, and only by the affirmative vote of holders of at least 66 2/3% in voting power of all the then-outstanding shares of our capital stock entitled to vote thereon, voting together as a single class;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prohibit stockholder action by written consent;</w:t>
      </w:r>
    </w:p>
    <w:p>
      <w:pPr>
        <w:spacing w:after="0" w:line="87"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special meetings may only be called by or at the direction of the Chairperson of the Board, the Board or the Chief Executive Officer;</w:t>
      </w:r>
    </w:p>
    <w:p>
      <w:pPr>
        <w:spacing w:after="0" w:line="48"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any alteration, amendment or repeal, in whole or in part, of any provision of the Bylaws by our stockholders will require the affirmative vote of the holders of at least 66 2/3% in voting power of</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96</w:t>
      </w:r>
    </w:p>
    <w:p>
      <w:pPr>
        <w:sectPr>
          <w:pgSz w:w="11900" w:h="16838" w:orient="portrait"/>
          <w:cols w:equalWidth="0" w:num="1">
            <w:col w:w="10159"/>
          </w:cols>
          <w:pgMar w:left="300" w:top="36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2"/>
          <w:szCs w:val="12"/>
          <w:color w:val="auto"/>
        </w:rPr>
        <w:t>all the then-outstanding shares of our capital stock entitled to vote thereon, voting together as a single class; and</w:t>
      </w:r>
    </w:p>
    <w:p>
      <w:pPr>
        <w:spacing w:after="0" w:line="87" w:lineRule="exact"/>
        <w:rPr>
          <w:sz w:val="20"/>
          <w:szCs w:val="20"/>
          <w:color w:val="auto"/>
        </w:rPr>
      </w:pPr>
    </w:p>
    <w:p>
      <w:pPr>
        <w:ind w:left="2620" w:right="1159" w:hanging="288"/>
        <w:spacing w:after="0" w:line="279" w:lineRule="auto"/>
        <w:tabs>
          <w:tab w:leader="none" w:pos="262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 advance notice requirements for nominations for elections to the Board and for proposing matters that can be acted upon by stockholders at stockholder meetings.</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Section 203 of the DGCL generally prohibits a Delaware corporation from engaging in any of a broad range of business combinations with any interested stockholder for a period of three years following the date on which the stockholder became an interested stockholder. We are governed by Section 203 of the DGCL, except that the restrictions on business combinations of Section 203 of the DGCL will not apply to Sorrento or its current or future Affiliates (as defined in the Certificate of Incorporation) regardless of its percentage ownership of our Common Stock. These provisions could discourage, delay or prevent a transaction involving a change in control of the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our Board is responsible for appointing the members of our management team, these provisions could in turn affect any attempt by our stockholders to replace current members of our management team.</w:t>
      </w:r>
    </w:p>
    <w:p>
      <w:pPr>
        <w:spacing w:after="0" w:line="128" w:lineRule="exact"/>
        <w:rPr>
          <w:sz w:val="20"/>
          <w:szCs w:val="20"/>
          <w:color w:val="auto"/>
        </w:rPr>
      </w:pPr>
    </w:p>
    <w:p>
      <w:pPr>
        <w:ind w:left="1980" w:right="879" w:firstLine="294"/>
        <w:spacing w:after="0" w:line="284" w:lineRule="auto"/>
        <w:rPr>
          <w:sz w:val="20"/>
          <w:szCs w:val="20"/>
          <w:color w:val="auto"/>
        </w:rPr>
      </w:pPr>
      <w:r>
        <w:rPr>
          <w:rFonts w:ascii="Times New Roman" w:cs="Times New Roman" w:eastAsia="Times New Roman" w:hAnsi="Times New Roman"/>
          <w:sz w:val="11"/>
          <w:szCs w:val="11"/>
          <w:color w:val="auto"/>
        </w:rPr>
        <w:t>These anti-takeover provisions and other provisions in the Certificate of Incorporation, the Bylaws and Delaware law could make it more difficult for stockholders or potential acquirors to obtain control of the Board or initiate actions that are opposed by our then-current board of directors and could also delay or impede a merger, tender offer or proxy contest involving the Company. The existence of these provisions could negatively affect the price of our Common Stock and limit opportunities for a stockholder to realize value in a corporate transaction. For additional information regarding these and other provisions, see the section of this prospectus titled “</w:t>
      </w:r>
      <w:r>
        <w:rPr>
          <w:rFonts w:ascii="Times New Roman" w:cs="Times New Roman" w:eastAsia="Times New Roman" w:hAnsi="Times New Roman"/>
          <w:sz w:val="11"/>
          <w:szCs w:val="11"/>
          <w:i w:val="1"/>
          <w:iCs w:val="1"/>
          <w:color w:val="auto"/>
        </w:rPr>
        <w:t>Description of Our Securities</w:t>
      </w:r>
      <w:r>
        <w:rPr>
          <w:rFonts w:ascii="Times New Roman" w:cs="Times New Roman" w:eastAsia="Times New Roman" w:hAnsi="Times New Roman"/>
          <w:sz w:val="11"/>
          <w:szCs w:val="11"/>
          <w:color w:val="auto"/>
        </w:rPr>
        <w:t>.” In addition, if prospective takeovers are not consummated for any reason, we may experience negative reactions from the financial markets, including negative impacts on the price of our Common Stock.</w:t>
      </w:r>
    </w:p>
    <w:p>
      <w:pPr>
        <w:spacing w:after="0" w:line="178" w:lineRule="exact"/>
        <w:rPr>
          <w:sz w:val="20"/>
          <w:szCs w:val="20"/>
          <w:color w:val="auto"/>
        </w:rPr>
      </w:pPr>
    </w:p>
    <w:p>
      <w:pPr>
        <w:jc w:val="both"/>
        <w:ind w:left="1980" w:right="87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Certificate of Incorporation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the Company.</w:t>
      </w:r>
    </w:p>
    <w:p>
      <w:pPr>
        <w:spacing w:after="0" w:line="46"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 xml:space="preserve">Pursuant to the Certificate of Incorporation,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for the avoidance of doubt, the foregoing forum selection provision will not apply to claims arising under the Exchange Act or any other claim for which the federal courts have exclusive jurisdiction.</w:t>
      </w:r>
    </w:p>
    <w:p>
      <w:pPr>
        <w:spacing w:after="0" w:line="126"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The Certificate of Incorporation also provides that, unless we consent in writing to the selection of an alternative forum, to the fullest extent permitted by law, the federal district courts of the United States shall be</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97</w:t>
      </w:r>
    </w:p>
    <w:p>
      <w:pPr>
        <w:sectPr>
          <w:pgSz w:w="11900" w:h="16838" w:orient="portrait"/>
          <w:cols w:equalWidth="0" w:num="1">
            <w:col w:w="10159"/>
          </w:cols>
          <w:pgMar w:left="300" w:top="36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the exclusive forum for the resolution of any complaint asserting a cause of action arising under the Securities Act. The Certificate of Incorporation further provides that any person or entity purchasing or otherwise acquiring any interest in shares of our Common Stock is deemed to have notice of and consented to the provisions of the Certificate of Incorporation described above. See the section of this prospectus titled “</w:t>
      </w:r>
      <w:r>
        <w:rPr>
          <w:rFonts w:ascii="Times New Roman" w:cs="Times New Roman" w:eastAsia="Times New Roman" w:hAnsi="Times New Roman"/>
          <w:sz w:val="12"/>
          <w:szCs w:val="12"/>
          <w:i w:val="1"/>
          <w:iCs w:val="1"/>
          <w:color w:val="auto"/>
        </w:rPr>
        <w:t>Description of Our Securities</w:t>
      </w:r>
      <w:r>
        <w:rPr>
          <w:rFonts w:ascii="Times New Roman" w:cs="Times New Roman" w:eastAsia="Times New Roman" w:hAnsi="Times New Roman"/>
          <w:sz w:val="12"/>
          <w:szCs w:val="12"/>
          <w:color w:val="auto"/>
        </w:rPr>
        <w:t>” for additional information.</w:t>
      </w:r>
    </w:p>
    <w:p>
      <w:pPr>
        <w:spacing w:after="0" w:line="12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forum selection provisions in the Certificate of Incorporation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board of directors, and could have an adverse effect on our business, financial condition and results of operations.</w:t>
      </w:r>
    </w:p>
    <w:p>
      <w:pPr>
        <w:spacing w:after="0" w:line="196"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3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its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26" w:lineRule="exact"/>
        <w:rPr>
          <w:sz w:val="20"/>
          <w:szCs w:val="20"/>
          <w:color w:val="auto"/>
        </w:rPr>
      </w:pPr>
    </w:p>
    <w:p>
      <w:pPr>
        <w:ind w:left="1980" w:right="839" w:firstLine="294"/>
        <w:spacing w:after="0" w:line="291" w:lineRule="auto"/>
        <w:rPr>
          <w:sz w:val="20"/>
          <w:szCs w:val="20"/>
          <w:color w:val="auto"/>
        </w:rPr>
      </w:pPr>
      <w:r>
        <w:rPr>
          <w:rFonts w:ascii="Times New Roman" w:cs="Times New Roman" w:eastAsia="Times New Roman" w:hAnsi="Times New Roman"/>
          <w:sz w:val="11"/>
          <w:szCs w:val="11"/>
          <w:color w:val="auto"/>
        </w:rPr>
        <w:t>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day of the second fiscal quarter of such year, and (2) the date on which we have issued more than $1 billion in non-convertible debt during the prior three-year period.</w:t>
      </w:r>
    </w:p>
    <w:p>
      <w:pPr>
        <w:spacing w:after="0" w:line="107"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spacing w:after="0" w:line="193"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will incur increased costs as a result of operating as a public company, and our management will devote substantial time to related compliance initiatives.</w:t>
      </w:r>
    </w:p>
    <w:p>
      <w:pPr>
        <w:spacing w:after="0" w:line="35"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We incur significant legal, accounting and other expenses that Legacy Scilex did not incur as a private company, and these expenses may increase even more after we are no longer an “emerging growth company.”</w:t>
      </w:r>
    </w:p>
    <w:p>
      <w:pPr>
        <w:spacing w:after="0" w:line="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98</w:t>
      </w:r>
    </w:p>
    <w:p>
      <w:pPr>
        <w:sectPr>
          <w:pgSz w:w="11900" w:h="16838" w:orient="portrait"/>
          <w:cols w:equalWidth="0" w:num="1">
            <w:col w:w="10159"/>
          </w:cols>
          <w:pgMar w:left="300" w:top="36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We are subject to the reporting requirements of the Exchange Act, the Sarbanes-Oxley Act, the Dodd-Frank Wall Street Reform and Consumer Protection Act (the “Dodd-Frank Act”), as well as rules and regulations adopted, and to be adopted, by the SEC and Nasdaq. Our management and other personnel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the Company to obtain directors’ and officers’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the Board, our board committees or as executive officers. Advocacy efforts by stockholders and third parties may also prompt additional changes in governance and reporting requirements, which could further increase costs.</w:t>
      </w:r>
    </w:p>
    <w:p>
      <w:pPr>
        <w:spacing w:after="0" w:line="126"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In addition, we have implemented an enterprise resource planning (“ERP”) system and will continue to invest in the system. An ERP system is intended to combine and streamline the management of our financial, accounting, human resources, sales and marketing and other functions, enabling it to manage operations and track performance more effectively. However, an ERP system would likely require us to complete many processes and procedures for the effective use of the system or to run our business using the system, which may result in substantial costs. Any disruptions or difficulties in implementing or using an ERP system could adversely affect our controls and harm our business, financial condition and results of operations, including our ability to forecast or make sales and collect our receivables. Moreover, such disruption or difficulties could result in unanticipated costs and diversion of management attention.</w:t>
      </w:r>
    </w:p>
    <w:p>
      <w:pPr>
        <w:spacing w:after="0" w:line="126"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its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6"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See “</w:t>
      </w:r>
      <w:r>
        <w:rPr>
          <w:rFonts w:ascii="Times New Roman" w:cs="Times New Roman" w:eastAsia="Times New Roman" w:hAnsi="Times New Roman"/>
          <w:sz w:val="12"/>
          <w:szCs w:val="12"/>
          <w:i w:val="1"/>
          <w:iCs w:val="1"/>
          <w:color w:val="auto"/>
        </w:rPr>
        <w:t>Risk Factors — We have previously identified material weaknesses in our internal control over financial reporting. If we experience additional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material weaknesses in the future or otherwise fail to maintain an effective system of internal controls in the future, we may not be able to timely and accurately report our financial results and such material weaknesses may result in a material misstatement of our financial statements.</w:t>
      </w:r>
      <w:r>
        <w:rPr>
          <w:rFonts w:ascii="Times New Roman" w:cs="Times New Roman" w:eastAsia="Times New Roman" w:hAnsi="Times New Roman"/>
          <w:sz w:val="12"/>
          <w:szCs w:val="12"/>
          <w:color w:val="auto"/>
        </w:rPr>
        <w:t>” above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 information regarding a previously identified material weakness. These reporting and other obligations place significant demands on our management and administrative and operational resources, including accounting resources.</w:t>
      </w:r>
    </w:p>
    <w:p>
      <w:pPr>
        <w:spacing w:after="0" w:line="128"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w:t>
      </w:r>
    </w:p>
    <w:p>
      <w:pPr>
        <w:spacing w:after="0" w:line="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99</w:t>
      </w:r>
    </w:p>
    <w:p>
      <w:pPr>
        <w:sectPr>
          <w:pgSz w:w="11900" w:h="16838" w:orient="portrait"/>
          <w:cols w:equalWidth="0" w:num="1">
            <w:col w:w="10159"/>
          </w:cols>
          <w:pgMar w:left="300" w:top="36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Comprehensive U.S. federal income tax reform could adversely affect the Company.</w:t>
      </w:r>
    </w:p>
    <w:p>
      <w:pPr>
        <w:spacing w:after="0" w:line="8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Changes to tax laws, which changes may have retroactive application, could adversely affect the Company or holders of our Common Stock. In recent years, many changes have been made to applicable tax laws and changes are likely to continue to occur in the future.</w:t>
      </w:r>
    </w:p>
    <w:p>
      <w:pPr>
        <w:spacing w:after="0" w:line="111"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w:t>
      </w:r>
    </w:p>
    <w:p>
      <w:pPr>
        <w:spacing w:after="0" w:line="119"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On March 27, 2020, then-President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On August 16, 2022, former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Many provisions of the TCJA expire at the end of 2025 or are modified beginning in 2026. The U.S. Congress and the current administration have indicated that they intend to pursue legislation in 2025 to make permanent the 2017 TCJA provisions but there is no guarantee that this initiative will be successful.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spacing w:after="0" w:line="193" w:lineRule="exact"/>
        <w:rPr>
          <w:sz w:val="20"/>
          <w:szCs w:val="20"/>
          <w:color w:val="auto"/>
        </w:rPr>
      </w:pPr>
    </w:p>
    <w:p>
      <w:pPr>
        <w:ind w:left="1980" w:right="8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Warrants are exercisable for our Common Stock, which would increase the number of shares eligible for future resale in the public market and result in dilution to our stockholders.</w:t>
      </w:r>
    </w:p>
    <w:p>
      <w:pPr>
        <w:spacing w:after="0" w:line="35"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As of March 31, 2025, we have 6,958,309 SPAC Warrants outstanding, which are currently exercisable for an aggregate of up to 198,810 shares of our Common Stock in accordance with the terms of the Warrant Agreement, dated as of January 6, 2021, between Continental, as warrant agent, and Vickers, governing those securities. The exercise price of these SPAC Warrants is $402.50 per whole share.</w:t>
      </w:r>
    </w:p>
    <w:p>
      <w:pPr>
        <w:spacing w:after="0" w:line="119" w:lineRule="exact"/>
        <w:rPr>
          <w:sz w:val="20"/>
          <w:szCs w:val="20"/>
          <w:color w:val="auto"/>
        </w:rPr>
      </w:pPr>
    </w:p>
    <w:p>
      <w:pPr>
        <w:jc w:val="both"/>
        <w:ind w:left="1980" w:right="939" w:firstLine="294"/>
        <w:spacing w:after="0" w:line="280" w:lineRule="auto"/>
        <w:rPr>
          <w:sz w:val="20"/>
          <w:szCs w:val="20"/>
          <w:color w:val="auto"/>
        </w:rPr>
      </w:pPr>
      <w:r>
        <w:rPr>
          <w:rFonts w:ascii="Times New Roman" w:cs="Times New Roman" w:eastAsia="Times New Roman" w:hAnsi="Times New Roman"/>
          <w:sz w:val="11"/>
          <w:szCs w:val="11"/>
          <w:color w:val="auto"/>
        </w:rPr>
        <w:t>As of March 31, 2025, (i) outstanding Penny Warrants to purchase an aggregate of 6,500,000 shares of our Common Stock are exercisable under the terms thereof, the exercise price of which is $0.01 per share, (ii) outstanding February 2024 BDO Firm Warrants (as defined below) to purchase an aggregate of 108,686 shares of our Common Stock are exercisable under the terms thereof, the exercise price of which is $59.50 per share;</w:t>
      </w:r>
    </w:p>
    <w:p>
      <w:pPr>
        <w:jc w:val="both"/>
        <w:ind w:left="1980" w:right="919" w:hanging="8"/>
        <w:spacing w:after="0" w:line="250" w:lineRule="auto"/>
        <w:tabs>
          <w:tab w:leader="none" w:pos="219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February 2024 BDO Representative Warrants (as defined below) to purchase an aggregate of 13,446 shares of our Common Stock are exercisable under the terms thereof, the exercise price of which is $74.38 per share; (iv) outstanding Deposit Warrant (as defined below) to purchase an aggregate of 3,250,000 shares of our Common Stock are exercisable under the terms thereof, the exercise price of which is $1.20 per share,</w:t>
      </w:r>
    </w:p>
    <w:p>
      <w:pPr>
        <w:ind w:left="2140" w:hanging="168"/>
        <w:spacing w:after="0"/>
        <w:tabs>
          <w:tab w:leader="none" w:pos="214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outstanding April 2024 RDO Common Warrants (as defined below) to purchase an aggregate of</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100</w:t>
      </w:r>
    </w:p>
    <w:p>
      <w:pPr>
        <w:sectPr>
          <w:pgSz w:w="11900" w:h="16838" w:orient="portrait"/>
          <w:cols w:equalWidth="0" w:num="1">
            <w:col w:w="10159"/>
          </w:cols>
          <w:pgMar w:left="300" w:top="36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428,572 shares of our Common Stock are exercisable under the terms thereof, the exercise price of which is $38.50 per share and (vi) outstanding April 2024 RDO Placement Agent Warrants (as defined below) to purchase an aggregate of 34,286 shares of our Common Stock are exercisable under the terms thereof, the exercise price of which is $43.75 per share.</w:t>
      </w:r>
    </w:p>
    <w:p>
      <w:pPr>
        <w:spacing w:after="0" w:line="119" w:lineRule="exact"/>
        <w:rPr>
          <w:sz w:val="20"/>
          <w:szCs w:val="20"/>
          <w:color w:val="auto"/>
        </w:rPr>
      </w:pPr>
    </w:p>
    <w:p>
      <w:pPr>
        <w:ind w:left="1980" w:right="899" w:firstLine="294"/>
        <w:spacing w:after="0" w:line="291" w:lineRule="auto"/>
        <w:rPr>
          <w:sz w:val="20"/>
          <w:szCs w:val="20"/>
          <w:color w:val="auto"/>
        </w:rPr>
      </w:pPr>
      <w:r>
        <w:rPr>
          <w:rFonts w:ascii="Times New Roman" w:cs="Times New Roman" w:eastAsia="Times New Roman" w:hAnsi="Times New Roman"/>
          <w:sz w:val="11"/>
          <w:szCs w:val="11"/>
          <w:color w:val="auto"/>
        </w:rPr>
        <w:t>On October 8, 2024, we issued the October 2024 Noteholder Warrants (as defined below) to purchase an aggregate of 214,284 shares of Common Stock, which are exercisable as of the date of this prospectus. On the same date, we also issued the October 2024 Placement Agent Warrants (as defined below) to purchase an aggregate of 104,848 shares of Common Stock, which will become exercisable 180 days following the date of issuance. The current exercise price of both the October 2024 Noteholder Warrants and the October 2024 Placement Agent Warrants is $36.40 per share.</w:t>
      </w:r>
    </w:p>
    <w:p>
      <w:pPr>
        <w:spacing w:after="0" w:line="107"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December 13, 2024, we issued the December 2024 RDO Pre-Funded Warrants (as defined below) to purchase an aggregate of 68,604 shares of Common Stock, which have been fully exercised as of the date of this prospectus. On the same date, we also issued the December 2024 RDO Common Warrants (as defined below) to purchase an aggregate of 1,642,871 shares of Common Stock and the StockBlock Warrants (as defined below) to purchase an aggregate of 131,472 shares of Common Stock, which will become exercisable 180 days following the date of issuance. The exercise price of both the December 2024 RDO Common Warrants and the StockBlock Warrants is $22.72 per share and $25.81 per share, respectively.</w:t>
      </w:r>
    </w:p>
    <w:p>
      <w:pPr>
        <w:spacing w:after="0" w:line="125"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1"/>
          <w:szCs w:val="11"/>
          <w:color w:val="auto"/>
        </w:rPr>
        <w:t>To the extent the SPAC Warrants, the Penny Warrants, the February 2024 BDO Firm Warrants, the February 2024 BDO Representative Warrants, the Deposit Warrant, the Fee Warrant, the April 2024 RDO Common Warrants, the April 2024 RDO Placement Agent Warrants, the October 2024 Noteholder Warrants, the October 2024 Placement Agent Warrants, the December 2024 RDO Common Warrants and/or the StockBlock Warrants (collectively, the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prices of our Common Stock. With respect to the SPAC Warrants, there is no guarantee that the SPAC Warrants will ever be in the money prior to their expiration, and as such, the SPAC Warrants may expire worthless. See below risk factor, “</w:t>
      </w:r>
      <w:r>
        <w:rPr>
          <w:rFonts w:ascii="Times New Roman" w:cs="Times New Roman" w:eastAsia="Times New Roman" w:hAnsi="Times New Roman"/>
          <w:sz w:val="11"/>
          <w:szCs w:val="11"/>
          <w:i w:val="1"/>
          <w:iCs w:val="1"/>
          <w:color w:val="auto"/>
        </w:rPr>
        <w:t>The SPAC Warrants may never be in the money, they may expire worthless and the terms of the SPAC Warrants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may be amended in a manner adverse to a holder if holders of a majority of the then-outstanding SPAC Warrants approve of such amendment</w:t>
      </w:r>
      <w:r>
        <w:rPr>
          <w:rFonts w:ascii="Times New Roman" w:cs="Times New Roman" w:eastAsia="Times New Roman" w:hAnsi="Times New Roman"/>
          <w:sz w:val="11"/>
          <w:szCs w:val="11"/>
          <w:color w:val="auto"/>
        </w:rPr>
        <w:t>.”</w:t>
      </w:r>
    </w:p>
    <w:p>
      <w:pPr>
        <w:spacing w:after="0" w:line="185" w:lineRule="exact"/>
        <w:rPr>
          <w:sz w:val="20"/>
          <w:szCs w:val="20"/>
          <w:color w:val="auto"/>
        </w:rPr>
      </w:pPr>
    </w:p>
    <w:p>
      <w:pPr>
        <w:ind w:left="1980" w:right="899"/>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SPAC Warrants may never be in the money, they may expire worthless and the terms of the SPAC Warrants may be amended in a manner adverse to a holder if holders of a majority of the then-outstanding SPAC Warrants approve of such amendment. In addition, almost all of the other warrants to purchase shares of our Common Stock are out-of-the money and may also expire worthless.</w:t>
      </w:r>
    </w:p>
    <w:p>
      <w:pPr>
        <w:spacing w:after="0" w:line="4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As of the date of this prospectus, the exercise price for our SPAC Warrants is $402.50 per whole share of Common Stock. On May 5, 2025, the closing price of our Common Stock on the Nasdaq Capital Market was $5.43. If the price of our shares of Common Stock remains below $402.50 per whole share, which is the exercise price of our SPAC Warrants, we believe our warrant holders will be unlikely to cash exercise their SPAC Warrants, resulting in little or no cash proceeds to us. There is no guarantee that our SPAC Warrants will be in the money prior to their expiration and, as such, our SPAC Warrants may expire worthless.</w:t>
      </w:r>
    </w:p>
    <w:p>
      <w:pPr>
        <w:spacing w:after="0" w:line="206"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The SPAC Warrants were issued in registered form under the Warrant Agreement. The Warrant Agreement provides that the terms of the SPAC Warrants may be amended without the consent of any holder to cure any ambiguity or correct any defective provision or correct any mistake, but requires the approval by the holders of a majority of the then-outstanding SPAC Warrants to make any change that adversely affects the interests of the registered holders of SPAC Warrants. Accordingly, we may amend the terms of the SPAC Warrants in a manner</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101</w:t>
      </w:r>
    </w:p>
    <w:p>
      <w:pPr>
        <w:sectPr>
          <w:pgSz w:w="11900" w:h="16838" w:orient="portrait"/>
          <w:cols w:equalWidth="0" w:num="1">
            <w:col w:w="10159"/>
          </w:cols>
          <w:pgMar w:left="300" w:top="36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60" w:lineRule="auto"/>
        <w:rPr>
          <w:sz w:val="20"/>
          <w:szCs w:val="20"/>
          <w:color w:val="auto"/>
        </w:rPr>
      </w:pPr>
      <w:r>
        <w:rPr>
          <w:rFonts w:ascii="Times New Roman" w:cs="Times New Roman" w:eastAsia="Times New Roman" w:hAnsi="Times New Roman"/>
          <w:sz w:val="12"/>
          <w:szCs w:val="12"/>
          <w:color w:val="auto"/>
        </w:rPr>
        <w:t>adverse to a holder if holders of a majority of the then-outstanding SPAC Warrants approve of such amendment. Although our ability to amend the terms of the SPAC Warrants with the consent of majority of the then-outstanding SPAC Warrants is unlimited, examples of such amendments could be amendments to, among other things, increase the exercise price of the SPAC Warrants, convert the SPAC Warrants into cash, shorten the exercise period, or decrease the number of shares of our Common Stock purchasable upon exercise of a SPAC Warrant.</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In addition, other than the SPAC Warrants discussed above and the Penny Warrants, as of December 31, 2024, we had other warrants to purchase shares of our Common Stock (with exercise prices ranging from $22.72 to $74.38) issued and outstanding. As noted above, on May 5, 2025, the closing price of our Common Stock on the Nasdaq Capital Market was $5.43. If the price of our shares of Common Stock remains below the foregoing exercise prices of such other warrants, we believe the holders of such warrants will be unlikely to cash exercise such warrants, resulting in little or no cash proceeds to us. There is no guarantee that our other warrants will be in the money prior to their expiration and, as such, those other warrants may expire worthless.</w:t>
      </w:r>
    </w:p>
    <w:p>
      <w:pPr>
        <w:spacing w:after="0" w:line="193" w:lineRule="exact"/>
        <w:rPr>
          <w:sz w:val="20"/>
          <w:szCs w:val="20"/>
          <w:color w:val="auto"/>
        </w:rPr>
      </w:pPr>
    </w:p>
    <w:p>
      <w:pPr>
        <w:ind w:left="1980" w:right="97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redeem any unexpired SPAC Warrants prior to their exercise at a time that is disadvantageous to you, thereby making the SPAC Warrants worthless.</w:t>
      </w:r>
    </w:p>
    <w:p>
      <w:pPr>
        <w:spacing w:after="0" w:line="35"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We have the ability to redeem outstanding SPAC Warrants (other than Private Warrants still held by the initial purchasers thereof) at any time after they become exercisable and prior to their expiration, at a price of $0.01 per SPAC Warrant, provided that the closing price of our Common Stock equals or exceeds $630.00 per share (as adjusted for share subdivisions, share dividends, rights issuances, subdivisions, reorganizations, recapitalizations and the like) on each of the 20 trading days within any 30-trading-day period commencing after the SPAC Warrants become exercisable and ending on the third trading day prior to the date on which notice of redemption is given. If and when the SPAC Warrants become redeemable by us, we may exercise our redemption right even if we are unable to register or qualify the underlying securities for sale under all applicable state securities laws. Redemption of the outstanding SPAC Warrants could force the holders thereof to: (i) exercise such SPAC Warrants and pay the exercise price therefor at a time when it may be disadvantageous for a holder to do so; (ii) sell such SPAC Warrants at the then-current market price when a holder might otherwise wish to hold such SPAC Warrants; or (iii) accept the nominal redemption price that, at the time the outstanding SPAC Warrants are called for redemption, is likely to be substantially less than the market value of such Warrants.</w:t>
      </w:r>
    </w:p>
    <w:p>
      <w:pPr>
        <w:spacing w:after="0" w:line="129" w:lineRule="exact"/>
        <w:rPr>
          <w:sz w:val="20"/>
          <w:szCs w:val="20"/>
          <w:color w:val="auto"/>
        </w:rPr>
      </w:pPr>
    </w:p>
    <w:p>
      <w:pPr>
        <w:ind w:left="1980" w:right="1079" w:firstLine="294"/>
        <w:spacing w:after="0" w:line="257" w:lineRule="auto"/>
        <w:rPr>
          <w:sz w:val="20"/>
          <w:szCs w:val="20"/>
          <w:color w:val="auto"/>
        </w:rPr>
      </w:pPr>
      <w:r>
        <w:rPr>
          <w:rFonts w:ascii="Times New Roman" w:cs="Times New Roman" w:eastAsia="Times New Roman" w:hAnsi="Times New Roman"/>
          <w:sz w:val="12"/>
          <w:szCs w:val="12"/>
          <w:color w:val="auto"/>
        </w:rPr>
        <w:t>In addition, we may redeem the SPAC Warrants (other than Private Warrants still held by the initial purchasers thereof) at any time after they become exercisable and prior to their expiration for a number of shares of our Common Stock determined based on the fair market value of our Common Stock. The value received upon exercise of the SPAC Warrants (1) may be less than the value the holders would have received if they had exercised their SPAC Warrants at a later time where the underlying share price is higher and (2) may not compensate the holders for the value of the SPAC Warrants.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102</w:t>
      </w:r>
    </w:p>
    <w:p>
      <w:pPr>
        <w:sectPr>
          <w:pgSz w:w="11900" w:h="16838" w:orient="portrait"/>
          <w:cols w:equalWidth="0" w:num="1">
            <w:col w:w="10159"/>
          </w:cols>
          <w:pgMar w:left="300" w:top="36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MARKET AND INDUSTRY DATA</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Times New Roman" w:cs="Times New Roman" w:eastAsia="Times New Roman" w:hAnsi="Times New Roman"/>
          <w:sz w:val="12"/>
          <w:szCs w:val="12"/>
          <w:color w:val="auto"/>
        </w:rPr>
        <w:t>Certain information contained in this prospectus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liable for the information provided in this prospectus. The industry in which we operate is subject to a high degree of uncertainty and risk due to a variety of factors, including those described in the section of this prospectus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These and other factors could cause results to differ materially from those expressed in the estimates made by the independent parties and by us.</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103</w:t>
      </w:r>
    </w:p>
    <w:p>
      <w:pPr>
        <w:sectPr>
          <w:pgSz w:w="11900" w:h="16838" w:orient="portrait"/>
          <w:cols w:equalWidth="0" w:num="1">
            <w:col w:w="10159"/>
          </w:cols>
          <w:pgMar w:left="300" w:top="368"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54"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will only receive proceeds from the exercise of the 2024 Warrants if such warrants are exercised and the holders of such warrants pay the exercise price in cash upon such exercise and do not utilize the cashless exercise provision of the 2024 Warrants. We estimate that the gross proceeds to us from the exercise of the 2024 Warrants will be approximately $77.8 million, to the extent the exercise prices therefor are paid in cash.</w:t>
      </w:r>
    </w:p>
    <w:p>
      <w:pPr>
        <w:spacing w:after="0" w:line="119" w:lineRule="exact"/>
        <w:rPr>
          <w:sz w:val="20"/>
          <w:szCs w:val="20"/>
          <w:color w:val="auto"/>
        </w:rPr>
      </w:pPr>
    </w:p>
    <w:p>
      <w:pPr>
        <w:ind w:left="1980" w:right="1219" w:firstLine="294"/>
        <w:spacing w:after="0" w:line="265" w:lineRule="auto"/>
        <w:rPr>
          <w:sz w:val="20"/>
          <w:szCs w:val="20"/>
          <w:color w:val="auto"/>
        </w:rPr>
      </w:pPr>
      <w:r>
        <w:rPr>
          <w:rFonts w:ascii="Times New Roman" w:cs="Times New Roman" w:eastAsia="Times New Roman" w:hAnsi="Times New Roman"/>
          <w:sz w:val="12"/>
          <w:szCs w:val="12"/>
          <w:color w:val="auto"/>
        </w:rPr>
        <w:t>We will not receive any proceeds from the resale pursuant to this prospectus of the Resale Shares obtained upon the exercise of the Deposit Warrant by the Selling Securityholder. We estimate that the gross proceeds to us from the exercise of the Deposit Warrant will be approximately $3.9 million.</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currently intend to use the proceeds (if any) from the exercise of the 2024 Warrants and the Deposit Warrant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spacing w:after="0" w:line="12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The precise amount and timing of the application of these proceeds will depend upon a number of factors, such as the costs and timing of commercial and development activities, including, for example, conducting preclinical studies and clinical trials, our funding requirements and the availability and costs of other funds. Pending application of the proceeds as described above, we intend to temporarily invest the proceeds in interest-bearing instruments.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104</w:t>
      </w:r>
    </w:p>
    <w:p>
      <w:pPr>
        <w:sectPr>
          <w:pgSz w:w="11900" w:h="16838" w:orient="portrait"/>
          <w:cols w:equalWidth="0" w:num="1">
            <w:col w:w="10159"/>
          </w:cols>
          <w:pgMar w:left="300" w:top="368"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DETERMINATION OF OFFERING PRICE</w:t>
      </w:r>
    </w:p>
    <w:p>
      <w:pPr>
        <w:spacing w:after="0" w:line="154"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We cannot currently determine the price or prices at which shares of our Common Stock may be sold by the Selling Securityholder under this prospectus.</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105</w:t>
      </w:r>
    </w:p>
    <w:p>
      <w:pPr>
        <w:sectPr>
          <w:pgSz w:w="11900" w:h="16838" w:orient="portrait"/>
          <w:cols w:equalWidth="0" w:num="1">
            <w:col w:w="10159"/>
          </w:cols>
          <w:pgMar w:left="300" w:top="36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MARKET INFORMATION FOR SECURITIES AND DIVIDEND POLICY</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Our Common Stock and Public Warrants are currently listed on Nasdaq under the symbols “SCLX” and “SCLXW,” respectively. Prior to the consummation of the Business Combination, Vickers’s Ordinary Shares, units and warrants were each listed on Nasdaq under the symbols “VCKA,” “VCKAU” and “VCKAW,” respectively. At the Effective Time, without any action on the part of the holder, each Unit then outstanding separated automatically into its component securities, comprised of one share of Common Stock and one-half of one warrant to purchase one share of Common Stock. As of March 31, 2025 and taking into account the effect of the Reverse Stock Split, there were 244 holders of record of our Common Stock and one holder of record of our Public Warrants, which amount does not include participants of The Depository Trust Company or beneficial owners holding shares through nominee names.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82" w:lineRule="exact"/>
        <w:rPr>
          <w:sz w:val="20"/>
          <w:szCs w:val="20"/>
          <w:color w:val="auto"/>
        </w:rPr>
      </w:pPr>
    </w:p>
    <w:p>
      <w:pPr>
        <w:ind w:left="1980" w:right="959" w:firstLine="294"/>
        <w:spacing w:after="0" w:line="291" w:lineRule="auto"/>
        <w:rPr>
          <w:sz w:val="20"/>
          <w:szCs w:val="20"/>
          <w:color w:val="auto"/>
        </w:rPr>
      </w:pPr>
      <w:r>
        <w:rPr>
          <w:rFonts w:ascii="Times New Roman" w:cs="Times New Roman" w:eastAsia="Times New Roman" w:hAnsi="Times New Roman"/>
          <w:sz w:val="11"/>
          <w:szCs w:val="11"/>
          <w:color w:val="auto"/>
        </w:rPr>
        <w:t>Except as set forth below, we have never declared or paid any dividend on shares of our Common Stock. We anticipate that we will retain all of our future earnings, if any, to fund the development and growth of our business. Any future determination to pay dividends on our capital stock will be at the discretion of our Board. It is the present intention of our Board to retain all earnings, if any, for use in our business operations and, accordingly, our Board does not anticipate declaring any dividend in the foreseeable future, except as disclosed in the section titled “</w:t>
      </w:r>
      <w:r>
        <w:rPr>
          <w:rFonts w:ascii="Times New Roman" w:cs="Times New Roman" w:eastAsia="Times New Roman" w:hAnsi="Times New Roman"/>
          <w:sz w:val="11"/>
          <w:szCs w:val="11"/>
          <w:i w:val="1"/>
          <w:iCs w:val="1"/>
          <w:color w:val="auto"/>
        </w:rPr>
        <w:t>Use of Proceeds</w:t>
      </w:r>
      <w:r>
        <w:rPr>
          <w:rFonts w:ascii="Times New Roman" w:cs="Times New Roman" w:eastAsia="Times New Roman" w:hAnsi="Times New Roman"/>
          <w:sz w:val="11"/>
          <w:szCs w:val="11"/>
          <w:color w:val="auto"/>
        </w:rPr>
        <w:t>”.</w:t>
      </w:r>
    </w:p>
    <w:p>
      <w:pPr>
        <w:spacing w:after="0" w:line="107" w:lineRule="exact"/>
        <w:rPr>
          <w:sz w:val="20"/>
          <w:szCs w:val="20"/>
          <w:color w:val="auto"/>
        </w:rPr>
      </w:pPr>
    </w:p>
    <w:p>
      <w:pPr>
        <w:ind w:left="1980" w:right="839" w:firstLine="294"/>
        <w:spacing w:after="0" w:line="251" w:lineRule="auto"/>
        <w:rPr>
          <w:sz w:val="20"/>
          <w:szCs w:val="20"/>
          <w:color w:val="auto"/>
        </w:rPr>
      </w:pPr>
      <w:r>
        <w:rPr>
          <w:rFonts w:ascii="Times New Roman" w:cs="Times New Roman" w:eastAsia="Times New Roman" w:hAnsi="Times New Roman"/>
          <w:sz w:val="12"/>
          <w:szCs w:val="12"/>
          <w:color w:val="auto"/>
        </w:rPr>
        <w:t>As previously disclosed on October 27, 2024, our Board declared the Dividend consisting of an aggregate of 5,000,000 shares (the “Dividend Stock”) of Series 1 Mandatory Exchangeable Preferred Stock, par value $0.0001 per share, to record holders of the following Company securities as of the close of business on the Record Date: (i) our Common Stock (such record holders, the “Record Common Holders”), (ii) certain warrants to purchase Common Stock that have not been exercised prior to the Record Date (and which have the right to participate in the Dividend pursuant to the terms of their respective warrants, other than, for the avoidance of doubt any warrants to purchase Common Stock with an exercise price of $402.50 per whole share, and any other warrants that by their terms have not vested and are therefore not entitled to participate in the Dividend) (such warrants, the “Participating Warrants” and such record holders, the “Record Warrant Holders”), (iii) the Tranche B Notes issued by us in October 2024 (such notes, the “Participating Notes” and such record holders, the “Record Note Holders”), and (iv) our Series A Preferred Stock, par value $0.0001 per share (the “Series A Preferred Stock” and such record holder, the “Record Preferred Holder” and together with the Record Common Holders, the Record Warrant Holders, and the Record Note Holders, the “Record Holders”). Subject to the Board’s right to change the Record Date and conditioned upon the effectiveness of the filing of our Certificate of Designation of Preferences, Rights and Limitations of Series 1 Mandatory Exchangeable Preferred Stock designating shares of our Series 1 Mandatory Exchangeable Preferred Stock (the “Series 1 Certificate of Designation”) with the Secretary of State of the State of Delaware, the Dividend (unless otherwise determined by the Board) shall be paid on such date to be determined by subsequent resolutions of the Board, which payment date shall be within 60 days following the Record Date (i.e., by July 1, 2025) (such date as determined by the Board, the “Payment Date”) and shall be apportioned on a pro rata basis among the Record Holders in accordance with each Record Holder’s ownership percentage of our Common Stock (assuming the full exercise of all Participating Warrants to purchase Common Stock held by the Record Warrant Holders, the conversion of all Participating Notes held by the Record Note Holders and deemed conversion of all outstanding Series A Preferred Stock held by the Record Preferred Holder) as of the Record Date as set forth in the records of our transfer agent (with respect to the Record Common Holders and Record Preferred Holder) and ours (with respect to the Record Warrant Holders and the Record Note Holders) as of the Record Date. As of the date of this prospectus, the Board has not yet set a Payment Date for the Dividend and retains the right to revoke the Dividend and change the Record Date.</w:t>
      </w:r>
    </w:p>
    <w:p>
      <w:pPr>
        <w:spacing w:after="0" w:line="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106</w:t>
      </w:r>
    </w:p>
    <w:p>
      <w:pPr>
        <w:sectPr>
          <w:pgSz w:w="11900" w:h="16838" w:orient="portrait"/>
          <w:cols w:equalWidth="0" w:num="1">
            <w:col w:w="10159"/>
          </w:cols>
          <w:pgMar w:left="300" w:top="368"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1259" w:firstLine="294"/>
        <w:spacing w:after="0" w:line="265" w:lineRule="auto"/>
        <w:rPr>
          <w:sz w:val="20"/>
          <w:szCs w:val="20"/>
          <w:color w:val="auto"/>
        </w:rPr>
      </w:pPr>
      <w:r>
        <w:rPr>
          <w:rFonts w:ascii="Times New Roman" w:cs="Times New Roman" w:eastAsia="Times New Roman" w:hAnsi="Times New Roman"/>
          <w:sz w:val="12"/>
          <w:szCs w:val="12"/>
          <w:color w:val="auto"/>
        </w:rPr>
        <w:t>Should we decide in the future to do so, as a holding company, our ability to pay dividends on our capital stock and meet other obligations depends upon the receipt of dividends or other payments from our operating subsidiaries. Further, our ability to pay dividends may be limited by covenants of any existing and future outstanding indebtedness we or our subsidiaries incur.</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107</w:t>
      </w:r>
    </w:p>
    <w:p>
      <w:pPr>
        <w:sectPr>
          <w:pgSz w:w="11900" w:h="16838" w:orient="portrait"/>
          <w:cols w:equalWidth="0" w:num="1">
            <w:col w:w="10159"/>
          </w:cols>
          <w:pgMar w:left="300" w:top="368" w:right="144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SELECTED HISTORICAL FINANCIAL DATA</w:t>
      </w:r>
    </w:p>
    <w:p>
      <w:pPr>
        <w:spacing w:after="0" w:line="154"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On April 15, 2025, we effected a 1-for-35 reverse stock split of our common stock. The following selected historical financial data was derived from our historical financial statements that are included elsewhere in this prospectus, and recasts certain portions of such financial statements to give effect to the Reverse Stock Split. No other changes to our historical financial statements were made in recasting the amounts set forth below.</w:t>
      </w:r>
    </w:p>
    <w:p>
      <w:pPr>
        <w:spacing w:after="0" w:line="11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0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Consolidated Statements of Operations Data </w:t>
            </w:r>
            <w:r>
              <w:rPr>
                <w:rFonts w:ascii="Times New Roman" w:cs="Times New Roman" w:eastAsia="Times New Roman" w:hAnsi="Times New Roman"/>
                <w:sz w:val="10"/>
                <w:szCs w:val="10"/>
                <w:color w:val="auto"/>
              </w:rPr>
              <w:t>(in thousands, except shares)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6"/>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3"/>
              </w:rPr>
              <w:t>Years Ended</w:t>
            </w:r>
          </w:p>
        </w:tc>
        <w:tc>
          <w:tcPr>
            <w:tcW w:w="0" w:type="dxa"/>
            <w:vAlign w:val="bottom"/>
          </w:tcPr>
          <w:p>
            <w:pPr>
              <w:spacing w:after="0"/>
              <w:rPr>
                <w:sz w:val="1"/>
                <w:szCs w:val="1"/>
                <w:color w:val="auto"/>
              </w:rPr>
            </w:pPr>
          </w:p>
        </w:tc>
      </w:tr>
      <w:tr>
        <w:trPr>
          <w:trHeight w:val="115"/>
        </w:trPr>
        <w:tc>
          <w:tcPr>
            <w:tcW w:w="40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6"/>
          </w:tcPr>
          <w:p>
            <w:pPr>
              <w:jc w:val="center"/>
              <w:ind w:right="98"/>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88"/>
        </w:trPr>
        <w:tc>
          <w:tcPr>
            <w:tcW w:w="4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5"/>
          </w:tcPr>
          <w:p>
            <w:pPr>
              <w:jc w:val="center"/>
              <w:ind w:right="21"/>
              <w:spacing w:after="0" w:line="88" w:lineRule="exact"/>
              <w:rPr>
                <w:sz w:val="20"/>
                <w:szCs w:val="20"/>
                <w:color w:val="auto"/>
              </w:rPr>
            </w:pPr>
            <w:r>
              <w:rPr>
                <w:rFonts w:ascii="Times New Roman" w:cs="Times New Roman" w:eastAsia="Times New Roman" w:hAnsi="Times New Roman"/>
                <w:sz w:val="10"/>
                <w:szCs w:val="10"/>
                <w:color w:val="auto"/>
                <w:w w:val="94"/>
              </w:rPr>
              <w:t>(UNAUDITED)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56,590</w:t>
            </w:r>
          </w:p>
        </w:tc>
        <w:tc>
          <w:tcPr>
            <w:tcW w:w="2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7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39,901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119,016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Intangible amortization</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Legal settlements</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(9,391)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Loss from operations</w:t>
            </w:r>
          </w:p>
        </w:tc>
        <w:tc>
          <w:tcPr>
            <w:tcW w:w="7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7"/>
              </w:rPr>
              <w:t>(83,396)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(105,431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 expense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Interest expense, net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(Gain) loss on derivative liability</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w w:val="97"/>
              </w:rPr>
              <w:t>(17,378)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Change in fair value of debt and liability instruments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Loss on foreign currency exchange</w:t>
            </w:r>
          </w:p>
        </w:tc>
        <w:tc>
          <w:tcPr>
            <w:tcW w:w="7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Total other (income) / expense</w:t>
            </w:r>
          </w:p>
        </w:tc>
        <w:tc>
          <w:tcPr>
            <w:tcW w:w="7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7"/>
              </w:rPr>
              <w:t>(10,588)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7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(72,807</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(114,331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Net loss per common share – basic</w:t>
            </w:r>
            <w:r>
              <w:rPr>
                <w:rFonts w:ascii="Times New Roman" w:cs="Times New Roman" w:eastAsia="Times New Roman" w:hAnsi="Times New Roman"/>
                <w:sz w:val="16"/>
                <w:szCs w:val="16"/>
                <w:color w:val="auto"/>
                <w:vertAlign w:val="superscript"/>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(7.24)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(44.86)</w:t>
            </w:r>
          </w:p>
        </w:tc>
        <w:tc>
          <w:tcPr>
            <w:tcW w:w="0" w:type="dxa"/>
            <w:vAlign w:val="bottom"/>
          </w:tcPr>
          <w:p>
            <w:pPr>
              <w:spacing w:after="0"/>
              <w:rPr>
                <w:sz w:val="1"/>
                <w:szCs w:val="1"/>
                <w:color w:val="auto"/>
              </w:rPr>
            </w:pPr>
          </w:p>
        </w:tc>
      </w:tr>
      <w:tr>
        <w:trPr>
          <w:trHeight w:val="153"/>
        </w:trPr>
        <w:tc>
          <w:tcPr>
            <w:tcW w:w="404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Net loss per common share – diluted</w:t>
            </w:r>
            <w:r>
              <w:rPr>
                <w:rFonts w:ascii="Times New Roman" w:cs="Times New Roman" w:eastAsia="Times New Roman" w:hAnsi="Times New Roman"/>
                <w:sz w:val="17"/>
                <w:szCs w:val="17"/>
                <w:color w:val="auto"/>
                <w:vertAlign w:val="superscript"/>
              </w:rPr>
              <w:t>(1)</w:t>
            </w:r>
          </w:p>
        </w:tc>
        <w:tc>
          <w:tcPr>
            <w:tcW w:w="7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(8.05</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(44.86</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Weighted-average number of common shares outstanding – basic</w:t>
            </w:r>
            <w:r>
              <w:rPr>
                <w:rFonts w:ascii="Times New Roman" w:cs="Times New Roman" w:eastAsia="Times New Roman" w:hAnsi="Times New Roman"/>
                <w:sz w:val="16"/>
                <w:szCs w:val="16"/>
                <w:color w:val="auto"/>
                <w:vertAlign w:val="superscript"/>
              </w:rPr>
              <w:t>(1)</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04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Weighted-average number of common shares outstanding – diluted</w:t>
            </w:r>
            <w:r>
              <w:rPr>
                <w:rFonts w:ascii="Times New Roman" w:cs="Times New Roman" w:eastAsia="Times New Roman" w:hAnsi="Times New Roman"/>
                <w:sz w:val="16"/>
                <w:szCs w:val="16"/>
                <w:color w:val="auto"/>
                <w:vertAlign w:val="superscript"/>
              </w:rPr>
              <w:t>(1)</w:t>
            </w:r>
          </w:p>
        </w:tc>
        <w:tc>
          <w:tcPr>
            <w:tcW w:w="7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10,145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560" w:right="3399" w:hanging="3588"/>
        <w:spacing w:after="0" w:line="452" w:lineRule="auto"/>
        <w:tabs>
          <w:tab w:leader="none" w:pos="2266"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 give effect to 1-for-35 reverse stock split that became effective on April 15, 2025. 108</w:t>
      </w:r>
    </w:p>
    <w:p>
      <w:pPr>
        <w:sectPr>
          <w:pgSz w:w="11900" w:h="16838" w:orient="portrait"/>
          <w:cols w:equalWidth="0" w:num="1">
            <w:col w:w="10159"/>
          </w:cols>
          <w:pgMar w:left="300" w:top="368"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260" w:type="dxa"/>
            <w:vAlign w:val="bottom"/>
          </w:tcPr>
          <w:p>
            <w:pPr>
              <w:spacing w:after="0"/>
              <w:rPr>
                <w:sz w:val="10"/>
                <w:szCs w:val="10"/>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2"/>
              </w:rPr>
              <w:t>December 31,</w:t>
            </w:r>
          </w:p>
        </w:tc>
        <w:tc>
          <w:tcPr>
            <w:tcW w:w="0" w:type="dxa"/>
            <w:vAlign w:val="bottom"/>
          </w:tcPr>
          <w:p>
            <w:pPr>
              <w:spacing w:after="0"/>
              <w:rPr>
                <w:sz w:val="1"/>
                <w:szCs w:val="1"/>
                <w:color w:val="auto"/>
              </w:rPr>
            </w:pPr>
          </w:p>
        </w:tc>
      </w:tr>
      <w:tr>
        <w:trPr>
          <w:trHeight w:val="99"/>
        </w:trPr>
        <w:tc>
          <w:tcPr>
            <w:tcW w:w="40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 xml:space="preserve">Consolidated Balance Sheet Data </w:t>
            </w:r>
            <w:r>
              <w:rPr>
                <w:rFonts w:ascii="Times New Roman" w:cs="Times New Roman" w:eastAsia="Times New Roman" w:hAnsi="Times New Roman"/>
                <w:sz w:val="10"/>
                <w:szCs w:val="10"/>
                <w:color w:val="auto"/>
              </w:rPr>
              <w:t>(in thousands, except shares)</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ind w:right="161"/>
              <w:spacing w:after="0" w:line="99" w:lineRule="exact"/>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center"/>
              <w:ind w:right="81"/>
              <w:spacing w:after="0" w:line="99"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40" w:type="dxa"/>
            <w:vAlign w:val="bottom"/>
            <w:vMerge w:val="continue"/>
          </w:tcPr>
          <w:p>
            <w:pPr>
              <w:spacing w:after="0"/>
              <w:rPr>
                <w:sz w:val="10"/>
                <w:szCs w:val="10"/>
                <w:color w:val="auto"/>
              </w:rPr>
            </w:pPr>
          </w:p>
        </w:tc>
        <w:tc>
          <w:tcPr>
            <w:tcW w:w="1160" w:type="dxa"/>
            <w:vAlign w:val="bottom"/>
            <w:gridSpan w:val="4"/>
          </w:tcPr>
          <w:p>
            <w:pPr>
              <w:ind w:left="2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980" w:type="dxa"/>
            <w:vAlign w:val="bottom"/>
            <w:gridSpan w:val="4"/>
          </w:tcPr>
          <w:p>
            <w:pPr>
              <w:jc w:val="center"/>
              <w:ind w:left="102"/>
              <w:spacing w:after="0"/>
              <w:rPr>
                <w:sz w:val="20"/>
                <w:szCs w:val="20"/>
                <w:color w:val="auto"/>
              </w:rPr>
            </w:pPr>
            <w:r>
              <w:rPr>
                <w:rFonts w:ascii="Times New Roman" w:cs="Times New Roman" w:eastAsia="Times New Roman" w:hAnsi="Times New Roman"/>
                <w:sz w:val="10"/>
                <w:szCs w:val="10"/>
                <w:b w:val="1"/>
                <w:bCs w:val="1"/>
                <w:color w:val="auto"/>
                <w:w w:val="98"/>
              </w:rPr>
              <w:t>(UNAUDITED)</w:t>
            </w:r>
          </w:p>
        </w:tc>
        <w:tc>
          <w:tcPr>
            <w:tcW w:w="0" w:type="dxa"/>
            <w:vAlign w:val="bottom"/>
          </w:tcPr>
          <w:p>
            <w:pPr>
              <w:spacing w:after="0"/>
              <w:rPr>
                <w:sz w:val="1"/>
                <w:szCs w:val="1"/>
                <w:color w:val="auto"/>
              </w:rPr>
            </w:pPr>
          </w:p>
        </w:tc>
      </w:tr>
      <w:tr>
        <w:trPr>
          <w:trHeight w:val="133"/>
        </w:trPr>
        <w:tc>
          <w:tcPr>
            <w:tcW w:w="40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41,547</w:t>
            </w: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46,781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92,953</w:t>
            </w:r>
          </w:p>
        </w:tc>
        <w:tc>
          <w:tcPr>
            <w:tcW w:w="280" w:type="dxa"/>
            <w:vAlign w:val="bottom"/>
          </w:tcPr>
          <w:p>
            <w:pPr>
              <w:spacing w:after="0"/>
              <w:rPr>
                <w:sz w:val="12"/>
                <w:szCs w:val="12"/>
                <w:color w:val="auto"/>
              </w:rPr>
            </w:pP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101,309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liabilities</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259,635</w:t>
            </w:r>
          </w:p>
        </w:tc>
        <w:tc>
          <w:tcPr>
            <w:tcW w:w="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250,380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285,594</w:t>
            </w:r>
          </w:p>
        </w:tc>
        <w:tc>
          <w:tcPr>
            <w:tcW w:w="280" w:type="dxa"/>
            <w:vAlign w:val="bottom"/>
          </w:tcPr>
          <w:p>
            <w:pPr>
              <w:spacing w:after="0"/>
              <w:rPr>
                <w:sz w:val="12"/>
                <w:szCs w:val="12"/>
                <w:color w:val="auto"/>
              </w:rPr>
            </w:pP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274,247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 $0.0001 par value, 45,000,000 shares authorized</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0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Series A, 29,057,097 shares issued and outstanding as of each of</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December 31, 2024 and December 31, 2023</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380" w:type="dxa"/>
            <w:vAlign w:val="bottom"/>
            <w:gridSpan w:val="2"/>
          </w:tcPr>
          <w:p>
            <w:pPr>
              <w:jc w:val="right"/>
              <w:ind w:right="4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3"/>
        </w:trPr>
        <w:tc>
          <w:tcPr>
            <w:tcW w:w="40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Series 1, 5,000,000 shares declared as a stock dividend, not yet distributed</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as of December 31, 2024; no shares authorized, issued and outstanding</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as of December 31, 2023</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Common stock ($0,0001 par value, 740,000,000 shares authorized; 6,951,622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issued and 5,493,356 shares outstanding as of December 31, 2024;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4,573,693 shares issued and 2,857,448 shares outstanding as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120"/>
              <w:spacing w:after="0" w:line="155" w:lineRule="exact"/>
              <w:rPr>
                <w:sz w:val="20"/>
                <w:szCs w:val="20"/>
                <w:color w:val="auto"/>
              </w:rPr>
            </w:pPr>
            <w:r>
              <w:rPr>
                <w:rFonts w:ascii="Times New Roman" w:cs="Times New Roman" w:eastAsia="Times New Roman" w:hAnsi="Times New Roman"/>
                <w:sz w:val="12"/>
                <w:szCs w:val="12"/>
                <w:color w:val="auto"/>
              </w:rPr>
              <w:t>December 31, 2023, respectively</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Additional paid-in capital</w:t>
            </w:r>
            <w:r>
              <w:rPr>
                <w:rFonts w:ascii="Times New Roman" w:cs="Times New Roman" w:eastAsia="Times New Roman" w:hAnsi="Times New Roman"/>
                <w:sz w:val="16"/>
                <w:szCs w:val="16"/>
                <w:color w:val="auto"/>
                <w:vertAlign w:val="superscript"/>
              </w:rPr>
              <w:t>(1)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454,614</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407,828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(563,052)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(490,245)</w:t>
            </w:r>
          </w:p>
        </w:tc>
        <w:tc>
          <w:tcPr>
            <w:tcW w:w="0" w:type="dxa"/>
            <w:vAlign w:val="bottom"/>
          </w:tcPr>
          <w:p>
            <w:pPr>
              <w:spacing w:after="0"/>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Treasury stock, at cost; 1,716,245 shares as of each of December 31, 2024 and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December 31, 2023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(90,522)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(90,522)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(192,641)</w:t>
            </w:r>
          </w:p>
        </w:tc>
        <w:tc>
          <w:tcPr>
            <w:tcW w:w="3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(172,938)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5560" w:right="3399" w:hanging="3588"/>
        <w:spacing w:after="0" w:line="452" w:lineRule="auto"/>
        <w:tabs>
          <w:tab w:leader="none" w:pos="2266"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to give effect to 1-for-35 reverse stock split that became effective on April 15, 2025. 109</w:t>
      </w:r>
    </w:p>
    <w:p>
      <w:pPr>
        <w:sectPr>
          <w:pgSz w:w="11900" w:h="16838" w:orient="portrait"/>
          <w:cols w:equalWidth="0" w:num="1">
            <w:col w:w="10159"/>
          </w:cols>
          <w:pgMar w:left="300" w:top="368"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 AND RESULTS OF OPERATIONS</w:t>
      </w:r>
    </w:p>
    <w:p>
      <w:pPr>
        <w:spacing w:after="0" w:line="15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together with the consolidated financial statements and related notes thereto included elsewhere in this prospectus.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prospectus, including those set forth in the sections of this prospectus titled “Risk Factors” and “Cautionary Note Regarding Forward-Looking Statements.”</w:t>
      </w:r>
    </w:p>
    <w:p>
      <w:pPr>
        <w:spacing w:after="0" w:line="19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We are an innovative revenue-generating company focused on acquiring, developing and commercializing non-opioid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We launched our first commercial product in October 2018, in-licensed two commercial products in 2022 and 2023, and are developing our late-stage pipeline. Our commercial product, ZTlido (lidocaine topical system) 1.8% (“ZTlido”), is a prescription lidocaine topical product approved by the FDA for the relief of neuropathic pain associated with PHN, which is a form of post-shingles nerve pain. ZTlido possesses novel delivery and adhesion technology designed to address many of the limitations of current prescription lidocaine patches by providing significantly improved adhesion and continuous pain relief throughout the 12-hour administration period. We market ZTlido through a dedicated sales force of over 70 people, targeting 10,000 primary care physicians, pain specialists, neurologists and palliative care physicians who we believe treat the majority of PHN patients. We in-licensed the exclusive right to commercialize GLOPERBA (colchicine USP) oral solution (“GLOPERBA”), an FDA-approved prophylactic treatment for painful gout flares in adults, in the United States of America (“U.S.” or the “United States”). We launched GLOPERBA in June 2024 and believe we are well-positioned to market and distribute the product. In February 2023, we acquired the rights to patents, trademarks, regulatory approvals and other rights related to ELYXYB (celecoxib oral solution) (“ELYXYB”) and its commercialization in the U.S. and Canada. In April 2023, we launched ELYXYB in the U.S. for the treatment of acute migraine, with or without aura, in adults. We filed a New Drug Submission (“NDS”) to Health Canada’s Pharmaceutical Drugs Directorate, Bureau of Cardiology, Allergy and Neurological Sciences for the approval of ELYXYB for acute treatment of migraine with or without aura in Canada.</w:t>
      </w:r>
    </w:p>
    <w:p>
      <w:pPr>
        <w:spacing w:after="0" w:line="129" w:lineRule="exact"/>
        <w:rPr>
          <w:sz w:val="20"/>
          <w:szCs w:val="20"/>
          <w:color w:val="auto"/>
        </w:rPr>
      </w:pPr>
    </w:p>
    <w:p>
      <w:pPr>
        <w:ind w:left="1980" w:right="999" w:firstLine="294"/>
        <w:spacing w:after="0" w:line="286" w:lineRule="auto"/>
        <w:rPr>
          <w:sz w:val="20"/>
          <w:szCs w:val="20"/>
          <w:color w:val="auto"/>
        </w:rPr>
      </w:pPr>
      <w:r>
        <w:rPr>
          <w:rFonts w:ascii="Times New Roman" w:cs="Times New Roman" w:eastAsia="Times New Roman" w:hAnsi="Times New Roman"/>
          <w:sz w:val="11"/>
          <w:szCs w:val="11"/>
          <w:color w:val="auto"/>
        </w:rPr>
        <w:t>Our development pipeline consists of three product candidates, (i) SEMDEXA (10 mg, dexamethasone sodium phosphate viscous gel), a novel, viscous gel formulation of a widely used corticosteroid for epidural injections to treat lumbosacral radicular pain or sciatica with completed Phase 3 study, (ii) SP-103, a Phase 2, next-generation, triple-strength formulation of ZTlido, for the treatment of chronic neck pain associated with muscle spasms and for which we have completed a Phase 2 trial in acute LBP in the third quarter of 2023, and (iii) SP-104, a novel low-dose delayed-release naltrexone hydrochloride formulation for treatment of fibromyalgia, for which Phase 1 trials were completed in the second quarter of 2022.</w:t>
      </w:r>
    </w:p>
    <w:p>
      <w:pPr>
        <w:spacing w:after="0" w:line="110"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SEMDEXA has been granted fast track designation by the FDA and, if approved, could become the first FDA-approved alternative to off-label epidural steroid injections, which are administered over 12 million times annually in the United States. We have completed a pivotal Phase 3 study with final results received in March 2022, which results reflected achievement of primary and secondary endpoints. SP-103 has also been granted fast track designation by the FDA for LBP.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110</w:t>
      </w:r>
    </w:p>
    <w:p>
      <w:pPr>
        <w:sectPr>
          <w:pgSz w:w="11900" w:h="16838" w:orient="portrait"/>
          <w:cols w:equalWidth="0" w:num="1">
            <w:col w:w="10159"/>
          </w:cols>
          <w:pgMar w:left="300" w:top="368"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86" w:lineRule="auto"/>
        <w:rPr>
          <w:sz w:val="20"/>
          <w:szCs w:val="20"/>
          <w:color w:val="auto"/>
        </w:rPr>
      </w:pPr>
      <w:r>
        <w:rPr>
          <w:rFonts w:ascii="Times New Roman" w:cs="Times New Roman" w:eastAsia="Times New Roman" w:hAnsi="Times New Roman"/>
          <w:sz w:val="11"/>
          <w:szCs w:val="11"/>
          <w:color w:val="auto"/>
        </w:rPr>
        <w:t>by three times, compared with approved ZTlido, 5.4% vs. 1.8%, did not result in signs of systemic toxicity or increased application site reactions with daily applications over one month treatment. We will continue to analyze the SP-103 Phase 2 trial data along with an investigator study of ZTlido in patients with neck pain completed in the second half of 2023, which also has shown promising top-line efficacy and safety results. SP-103, if approved, could become the first FDA-approved lidocaine topical product for the treatment of acute pain. SP-103 is a triple-strength lidocaine topical system designed to deliver a dose of lidocaine three times higher than any lidocaine topical product that we are aware of, either approved or in development.</w:t>
      </w:r>
    </w:p>
    <w:p>
      <w:pPr>
        <w:spacing w:after="0" w:line="110"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We currently contract with third parties for the manufacture, assembly, testing, packaging, storage and distribution of our products. We obtain our commercial supply of certain of our products, the clinical supply of our product candidates and certain of the raw materials used in our product candidates from sole or single source suppliers and manufacturers. Prior to April 2022, we relied on a single third-party logistics distribution provider, Cardinal Health 105, for ZTlido distribution in the United States. Cardinal Health 105 purchased and shipped ZTlido to customer wholesale distribution centers. Cardinal Health 105 also performed order management services on our behalf. On April 2, 2022, we announced the expansion of our direct distribution network to national and regional wholesalers and pharmacies. Cardinal Health 105 will continue to provide traditional third-party logistics functions for us.</w:t>
      </w:r>
    </w:p>
    <w:p>
      <w:pPr>
        <w:spacing w:after="0" w:line="126"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Since our inception, we have invested substantial efforts and financial resources on acquiring product and technology rights while building our intellectual property portfolio and infrastructure. In June 2022, we in-licensed the exclusive right to commercialize GLOPERBA oral solution, an FDA-approved prophylactic treatment for painful gout flares in adults, in the U.S. In February 2023, we acquired rights to FDA-approved ELYXYB in the U.S. and Canada for the acute treatment of migraine. We intend to continue to explore and evaluate additional opportunities such as these to grow our business. We have incurred significant operating losses as a result of such investment efforts, including the development of SEMDEXA, conducting of Phase 3 trials for SEMDEXA, and the development of SP-103 and SP-104. Our ability to generate revenue sufficient to achieve profitability will depend on the successful commercialization of our products, ZTlido, GLOPERBA and ELYXYB, and the development of our product candidates. We had a net loss of $72.8 million and $114.3 million for the years ended December 31, 2024 and 2023, respectively. As of December 31, 2024, we had an accumulated deficit of approximately $563.1 million. As of December 31, 2024, we had cash and cash equivalents of approximately $3.3 million. Our management has concluded that there is substantial doubt about our ability to continue as a going concern for one year after the date that the consolidated financial statements are issued. See Note 2 titled “</w:t>
      </w:r>
      <w:r>
        <w:rPr>
          <w:rFonts w:ascii="Times New Roman" w:cs="Times New Roman" w:eastAsia="Times New Roman" w:hAnsi="Times New Roman"/>
          <w:sz w:val="12"/>
          <w:szCs w:val="12"/>
          <w:i w:val="1"/>
          <w:iCs w:val="1"/>
          <w:color w:val="auto"/>
        </w:rPr>
        <w:t>Liquidity and Going Concern</w:t>
      </w:r>
      <w:r>
        <w:rPr>
          <w:rFonts w:ascii="Times New Roman" w:cs="Times New Roman" w:eastAsia="Times New Roman" w:hAnsi="Times New Roman"/>
          <w:sz w:val="12"/>
          <w:szCs w:val="12"/>
          <w:color w:val="auto"/>
        </w:rPr>
        <w:t>” to our consolidated financial statements and our independent registered public accounting firm report included elsewhere in this prospectus for additional information.</w:t>
      </w:r>
    </w:p>
    <w:p>
      <w:pPr>
        <w:spacing w:after="0" w:line="126"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expect to continue to make investments in our sales and marketing organization and expand digital marketing efforts to broaden awareness of ZTlido, GLOPERBA and ELYXYB and in research and development, clinical trials and regulatory affairs to develop our product candidates, SEMDEXA, SP-103 and SP-104. As a result, we will need substantial additional funding to support our continuing operations and pursue our growth strategy. Until we can generate significant revenue, if ever, we expect to finance our operations through a combination of equity offerings, debt financings, collaborations, government contracts or other strategic transactions. We may be unable to raise additional funds or enter into such agreements or arrangements when needed on favorable terms, or at all. If adequate funds on acceptable terms are not available when needed, we may be required to reduce the scope of the commercialization of ZTlido, GLOPERBA and ELYXYB or delay, scale back or discontinue the development of one or more of our product candidates.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Deferral and Consent under Tranche B Senior Secured Convertible Note</w:t>
      </w:r>
    </w:p>
    <w:p>
      <w:pPr>
        <w:spacing w:after="0" w:line="82"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Pursuant to the Tranche B Notes, commencing on January 2, 2025, we are required to make the First Amortization Payment to redeem in cash such portion of the principal amount of the Tranche B Notes equal to</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111</w:t>
      </w:r>
    </w:p>
    <w:p>
      <w:pPr>
        <w:sectPr>
          <w:pgSz w:w="11900" w:h="16838" w:orient="portrait"/>
          <w:cols w:equalWidth="0" w:num="1">
            <w:col w:w="10159"/>
          </w:cols>
          <w:pgMar w:left="300" w:top="368" w:right="1440"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79" w:lineRule="auto"/>
        <w:rPr>
          <w:sz w:val="20"/>
          <w:szCs w:val="20"/>
          <w:color w:val="auto"/>
        </w:rPr>
      </w:pPr>
      <w:r>
        <w:rPr>
          <w:rFonts w:ascii="Times New Roman" w:cs="Times New Roman" w:eastAsia="Times New Roman" w:hAnsi="Times New Roman"/>
          <w:sz w:val="12"/>
          <w:szCs w:val="12"/>
          <w:color w:val="auto"/>
        </w:rPr>
        <w:t>each Tranche B Noteholder’s Holder Pro Rata Amount (as defined in the Tranche B Notes) of $6,250,000 per fiscal quarter at a redemption price equal to 100% of such Amortization Amount (as defined in the Tranche B Notes).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On January 2, 2025, we entered into the Tranche B Consents, pursuant to which the Tranche B Noteholders agreed to defer our obligation to make the First Amortization Payment until January 31, 2025. In consideration of such deferral, and to limit the Tranche B Noteholders’ right to exercise certain secured creditor remedies (including recourse against the assets of SCLX JV as a grantor under the Security Agreement (as defined in the Tranche B Consents)), SCLX JV delivered to the Tranche B Noteholders (or their designee) by deposit/withdrawal at custodian with the Depository Trust Company an aggregate of 142,855 Scilex Shares (as defined in, and contemplated pursuant to, the Term Sheet) held by SCLX JV, of which 71,428 shares were delivered to Oramed, 20,571 shares were delivered to BPY Limited, 36,571 shares were delivered to Nomis Bay Ltd, and 14,285 shares were delivered to 3i, LP.</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addition, pursuant to the Tranche B Consents, effective as of the latest of (i) the time of execution and delivery of the Tranche B Consents,</w:t>
      </w:r>
    </w:p>
    <w:p>
      <w:pPr>
        <w:spacing w:after="0" w:line="17" w:lineRule="exact"/>
        <w:rPr>
          <w:sz w:val="20"/>
          <w:szCs w:val="20"/>
          <w:color w:val="auto"/>
        </w:rPr>
      </w:pPr>
    </w:p>
    <w:p>
      <w:pPr>
        <w:ind w:left="1980" w:right="919" w:hanging="8"/>
        <w:spacing w:after="0" w:line="253" w:lineRule="auto"/>
        <w:tabs>
          <w:tab w:leader="none" w:pos="2157"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of the delivery of the Scilex Shares and (iii) the time of grant of the Royalty and Exclusive Rights (each as defined in, and contemplated pursuant to, the Term Sheet), the Tranche B Noteholders agreed to further defer our obligation to make the First Amortization Payment until October 8, 2026, provided that, as contemplated in the Term Sheet, we pay an aggregate of $1.1 million in respect of a portion of the First Amortization Payment and related make-whole interest (which amount has been paid).</w:t>
      </w:r>
    </w:p>
    <w:p>
      <w:pPr>
        <w:spacing w:after="0" w:line="127"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Term Sheet provided that we and the Tranche B Noteholders would enter into an agreement pursuant to which the Tranche B Noteholders shall collectively receive a 10 year, assignable, freely transferable, 4% royalty on the worldwide Net Sales (as defined therein) of GLOPERBA and ELYXYB, excluding sales of ELYXYB in Canada. Please see the section below titled “</w:t>
      </w:r>
      <w:r>
        <w:rPr>
          <w:rFonts w:ascii="Times New Roman" w:cs="Times New Roman" w:eastAsia="Times New Roman" w:hAnsi="Times New Roman"/>
          <w:sz w:val="12"/>
          <w:szCs w:val="12"/>
          <w:i w:val="1"/>
          <w:iCs w:val="1"/>
          <w:color w:val="auto"/>
        </w:rPr>
        <w:t>Gloperba-Elyxyb Royalty Purchase Agreement</w:t>
      </w:r>
      <w:r>
        <w:rPr>
          <w:rFonts w:ascii="Times New Roman" w:cs="Times New Roman" w:eastAsia="Times New Roman" w:hAnsi="Times New Roman"/>
          <w:sz w:val="12"/>
          <w:szCs w:val="12"/>
          <w:color w:val="auto"/>
        </w:rPr>
        <w:t>” for a description of such royalty agreement entered into by us.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to the Oramed Note</w:t>
      </w:r>
    </w:p>
    <w:p>
      <w:pPr>
        <w:spacing w:after="0" w:line="82" w:lineRule="exact"/>
        <w:rPr>
          <w:sz w:val="20"/>
          <w:szCs w:val="20"/>
          <w:color w:val="auto"/>
        </w:rPr>
      </w:pPr>
    </w:p>
    <w:p>
      <w:pPr>
        <w:jc w:val="both"/>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On January 21, 2025, we entered into an amendment letter with Oramed, pursuant to which, among other things, Oramed agreed to extend the Maturity Date under and as set forth in the Oramed Note from March 21, 2025 to December 31, 2025. In consideration of such extension, SCLX JV agreed to deliver to Oramed an aggregate of 92,857 shares of Common Stock held by SCLX JV.</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Rest of World License Agreement</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On the Lido Effective Date, Scilex Pharma entered into the Lido License Agreement with the Licensee with respect to services, compositions, products, dosages and formulations comprising lidocaine that have been or are later developed by or on behalf of Scilex Pharma, including the product and any future product defined as a “Product” under Scilex Pharma’s existing (i) Product Development Agreement, dated as of May 11, 2011, with Oishi and Itochu, as amended, and (ii) the associated Commercial Supply Agreement, dated February 16, 2017, between Scilex Pharma, Oishi and Itochu, as amended, which include the Lido Product. The Lido License Agreement supersedes and replaces the that certain Rest of World License Term Sheet parties entered into on October 8, 2024.</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Under the Lido License Agreement, Scilex Pharma granted to the Licensee during the Lido License Term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in the Lido Licensee Territory. The Licensee granted to Scilex Pharma a non-exclusive, non-transferable, right and license</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112</w:t>
      </w:r>
    </w:p>
    <w:p>
      <w:pPr>
        <w:sectPr>
          <w:pgSz w:w="11900" w:h="16838" w:orient="portrait"/>
          <w:cols w:equalWidth="0" w:num="1">
            <w:col w:w="10159"/>
          </w:cols>
          <w:pgMar w:left="300" w:top="368"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under the Licensee Non-Blocking Patents (as defined therein) (i) in the Licensor Territory (as defined therein), to develop, manufacture, obtain and maintain regulatory approvals for, commercialize and otherwise exploit Lido Product for commercialization of Lido Products in the Licensor Territory in the Field (each as defined therein), and (ii) worldwide, to develop and manufacture Lido Product for commercialization in the Licensor Territory in the Field (each as defined therein). Each of the Licensee and Scilex Pharma will receive 50% of the Net Revenue (as defined therein) generated, and the Licensee shall effect the foregoing by paying to Scilex Pharma its share of the Net Revenue on a quarterly basis.</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Pursuant to the Lido License Agreement, the Licensee shall (i) use commercially reasonable efforts to obtain and maintain regulatory approval for the Lido Product in at least one Major Market Country (as defined therein) within 18 months after the Lido Effective Date, and (ii) commit $200,000, or its equivalent in kind, annually towards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 (as defined therein).</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Promptly after the Lido Effective Date, Scilex Pharma is required to (i) facilitate an introduction between Oishi, Itochu, and the Licensee, and</w:t>
      </w:r>
    </w:p>
    <w:p>
      <w:pPr>
        <w:spacing w:after="0" w:line="17" w:lineRule="exact"/>
        <w:rPr>
          <w:sz w:val="20"/>
          <w:szCs w:val="20"/>
          <w:color w:val="auto"/>
        </w:rPr>
      </w:pPr>
    </w:p>
    <w:p>
      <w:pPr>
        <w:ind w:left="1980" w:right="879" w:hanging="8"/>
        <w:spacing w:after="0" w:line="255" w:lineRule="auto"/>
        <w:tabs>
          <w:tab w:leader="none" w:pos="2157"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reasonable efforts to cause each of Oishi and Itochu to accept a direct engagement with the Licensee for the manufacturing or supply of the Lido Product in finished dosage form. In addition, Scilex Pharma agreed to appoint the Licensee as its exclusive distributor of the Lido Product in the Licensee Territory during the Lido License Term.</w:t>
      </w:r>
    </w:p>
    <w:p>
      <w:pPr>
        <w:spacing w:after="0" w:line="125"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The Lido License Term commences on the Lido Effective Date and continues until expiration of the last to expire Licensed Patents (as defined therein), unless earlier terminated.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Parent Guarantee for Lido License Agreement</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February 22, 2025, in connection with Lido License Agreement, we entered into the Parent Guarantee with the Licensee, pursuant to which we agreed to guarantee the due and proper performance of Scilex Pharma’s obligations under the Lido License Agreement on the terms and conditions set forth in the Parent Guarantee. Pursuant to the terms of the Parent Guarantee, we shall provide the Licensee with written notice of any Change of Control (as defined therein) of Scilex Pharma within five business days after the consummation of such Change of Control, and the Parent Guarantee and the guarantee obligations shall automatically terminate upon the consummation of such Change of Control.</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Gloperba-Elyxyb Royalty Purchase Agreement</w:t>
      </w:r>
    </w:p>
    <w:p>
      <w:pPr>
        <w:spacing w:after="0" w:line="82"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As contemplated by the Term Sheet in respect of the Royalty and Exclusive Rights described therein, on the “Gloperba-Elyxyb Closing Date, we entered into the Gloperba-Elyxyb Royalty Purchase Agreement with Scilex Pharma and the Gloperba-Elyxyb RPA Purchasers. Pursuant to the Gloperba-Elyxyb Royalty Purchase Agreement, Scilex Pharma sold to the Gloperba-Elyxyb RPA Purchasers the right to receive the Gloperba-Elyxyb Purchased Receivables with respect to the Gloperba-Elyxyb Covered Products.</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In consideration of the Further Deferral and representing the “grant of the Royalty and Exclusive Rights” (as defined in the Term Sheet), during the Gloperba-Elyxyb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Covered Product Revenue Payments (each as defined in the Gloperba-Elyxyb Royalty Purchase Agreement) for each calendar quarter (commencing with the calendar quarter beginning January 1, 2025) promptly, but in any event no later than 60 calendar days after the end of each calendar quarter.</w:t>
      </w:r>
    </w:p>
    <w:p>
      <w:pPr>
        <w:spacing w:after="0" w:line="125"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The Gloperba-Elyxyb Royalty Purchase Agreement shall terminate six months following receipt by the Gloperba-Elyxyb RPA Purchasers of all payments of the Purchased Receivables to which each Gloperba-Elyxyb RPA Purchaser is entitled during the Payment Term.</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113</w:t>
      </w:r>
    </w:p>
    <w:p>
      <w:pPr>
        <w:sectPr>
          <w:pgSz w:w="11900" w:h="16838" w:orient="portrait"/>
          <w:cols w:equalWidth="0" w:num="1">
            <w:col w:w="10159"/>
          </w:cols>
          <w:pgMar w:left="300" w:top="368"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Royalty Security Agreement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Pursuant to the terms of the Gloperba-Elyxyb Royalty Purchase Agreement, we entered into the Gloperba-Elyxyb Royalty Security Agreement.</w:t>
      </w:r>
    </w:p>
    <w:p>
      <w:pPr>
        <w:spacing w:after="0" w:line="150"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Under the Gloperba-Elyxyb Royalty Security Agreement, each of our and Scilex Pharma’s due performance and payment under the Gloperba-Elyxyb Royalty Purchase Agreement is secured by certain collateral, including a collection account and certain material contracts, intellectual property rights and regulatory approvals, in each case related to the Gloperba-Elyxyb Covered Products.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Subordination Agreement</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connection with the Gloperba-Elyxyb Royalty Purchase Agreement and the Gloperba-Elyxyb Royalty Security Agreement, we entered into the Gloperba-Elyxyb Subordination Agreement, by and among us, Scilex Pharma, the Gloperba-Elyxyb RPA Purchasers and the Note Agent. Pursuant to the Gloperba-Elyxyb Subordination Agreement, the parties agreed that all obligations, liabilities and indebtedness under the Gloperba-Elyxyb Royalty Purchase Agreement are secured by first priority liens on the Gloperba-Elyxyb Royalty Collateral and the Note Agent’s lien on the Gloperba-Elyxyb Royalty Collateral is subordinated and becomes a second priority lien.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No. 1 to ZTlido Royalty Purchase Agreement</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On February 28, 2025, we and Scilex Pharma entered into the ZTlido Royalty Amendment with the purchasers under the ZTlido Royalty Purchase Agreement. Pursuant to the ZTlido Royalty Amendment, we and Scilex Pharma may assign our respective rights or delegate our respective obligations under the ZTlido Royalty Purchase Agreement without the prior written consent of the Purchasers if we receive a commitment, contingent upon an asset purchase of Covered Products (as defined in the ZTlido Royalty Purchase Agreement), that would allow us to pay in full all obligations owed under the Debt Instruments (as defined therein), provided that such purchaser of Covered Products agrees to assume all of the obligations of our company and Scilex Pharma under the ZTlido Royalty Purchase Agreement.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 Rest of World License Agreement</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the Effective Date, we entered into the Gloperba License Agreement with Scilex Pharma and the Licensee with respect to the Gloperba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Product.</w:t>
      </w:r>
    </w:p>
    <w:p>
      <w:pPr>
        <w:spacing w:after="0" w:line="139"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Under the Gloperba License Agreement, we granted to the Licensee during the Gloperba License Term a worldwide, exclusive, non-transferable (except in connection with a permitted assignment of the Gloperba License Agreement) right, license and interest in, to, and under all Product Rights Controlled (each as defined therein) by us to develop, manufacture, obtain and maintain regulatory approvals for, commercialize and otherwise exploit all Gloperba Products, in all cases solely for commercialization of the Gloperba Products outside of the United States in the Field (as defined therein). The Licensee granted to us a non-exclusive, non-transferable (except in connection with a permitted assignment of the Gloperba License Agreement), right and license under the Licensee Non-Blocking Patents (as defined therein) (i) in the United States, to develop, manufacture, obtain and maintain regulatory approvals for, commercialize and otherwise exploit Gloperba Product for commercialization of Gloperba Products in the United States in the Field (as defined therein), and (ii) worldwide, to develop and manufacture Gloperba Product for commercialization in the United States in the Field (as defined therein). Each of the Licensee and we will receive 50% of the Net Revenue (as defined therein) generated based on Licensee’s sale of the Gloperba Products, and the Licensee shall effect the foregoing by paying to us an amount required for us to receive its share of the Net Revenue on a quarterly basis.</w:t>
      </w:r>
    </w:p>
    <w:p>
      <w:pPr>
        <w:spacing w:after="0" w:line="128"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Pursuant to the Gloperba License Agreement, the Licensee shall obtain and maintain regulatory approval for the Gloperba Product outside of the United States in accordance with its own business judgment and in its sole and absolute discretion.</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114</w:t>
      </w:r>
    </w:p>
    <w:p>
      <w:pPr>
        <w:sectPr>
          <w:pgSz w:w="11900" w:h="16838" w:orient="portrait"/>
          <w:cols w:equalWidth="0" w:num="1">
            <w:col w:w="10159"/>
          </w:cols>
          <w:pgMar w:left="300" w:top="368"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Promptly after the Effective Date, we are required to (i) facilitate an introduction between the Licensee and the Gloperba CMO as of the Effective Date, and (ii) use reasonable efforts to cause such Gloperba CMO to accept a direct engagement with the Licensee for the manufacturing or supply of the Gloperba Product in finished dosage form. In addition, we agreed to appoint the Licensee as its exclusive distributor of the Gloperba Product in the entire world other than the United States during the Gloperba License Term.</w:t>
      </w:r>
    </w:p>
    <w:p>
      <w:pPr>
        <w:spacing w:after="0" w:line="122"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The Gloperba License Term commences on the Effective Date and continues until expiration of the last to expire Licensed Patents (as defined therein), unless earlier terminated.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Bid Price Deficiency &amp; Reverse Split</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On November 1, 2024, we received the Notice from Nasdaq notifying the Company that, because the closing bid price for its Common Stock has been below $1.00 per share for 30 consecutive business days, it did not comply with the minimum bid price requirement for continued listing on The Nasdaq Capital Market. Nasdaq Listing Rule 5550(a)(2) requires listed securities to maintain the Minimum Bid Price Requirement, and Nasdaq Listing Rule 5810(c)(3)(A) provides that a failure to meet the Minimum Bid Price Requirement exists if the deficiency continues for a period of 30 consecutive business days. The Notice also indicated that the Company had the 180-day Compliance Period to regain compliance pursuant to Nasdaq Listing Rule 5810(c)(3)(A).</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On March 19, 2025 at a special meeting of our stockholders, our stockholders approved the amendment of our Certificate of Incorporation to effect a reverse stock split within a range of 1-for-14 to 1-for-50, with such ratio to be determined ultimately by the Board. On April 3, 2025, the Board approved the Reverse Stock Split ratio of 1-for-35. The Company effected the Reverse Stock Split on April 15, 2025 in order to demonstrate compliance with Nasdaq’s Minimum Bid Price Requirement prior to the end of the Compliance Period, in accordance with Nasdaq rules. On April 30, 2025, the Company received notice from Nasdaq that it had regained compliance with the minimum closing bid price requirement under Nasdaq Listing Rule 5550(a)(2).</w:t>
      </w:r>
    </w:p>
    <w:p>
      <w:pPr>
        <w:spacing w:after="0" w:line="12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As a result of the Reverse Stock Split, the Company’s outstanding Common Stock was reduced from approximately 243,312,885 shares to approximately 6,951,671 shares, based on the number of shares of Common Stock outstanding as of April 14, 2025. All share and per share information in this prospectus has been retroactively adjusted to reflect the Reverse Stock Split. No fractional shares were issued in connection with the Reverse Stock Split. Instead, each fractional share remaining after completion of the reverse share split that was less than a whole share was rounded down and canceled in exchange for an amount in cash (without interest or deduction) equal to the fraction of one share to which such stockholder would otherwise be entitled multiplied by the closing price of the Common Stock on The Nasdaq Capital Market on the last trading day immediately preceding the effectiveness of the Reverse Stock Split. The Reverse Stock Split was applied to all the Company’s outstanding Common Stock and therefore did not affect any shareholder’s ownership percentage of the shares, except for changes as a result of the elimination of fractional shares. The Reverse Stock Split did not alter the voting rights attached to the shares.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Sorrento Chapter 11 Filing</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On February 13, 2023, Sorrento Therapeutics, Inc. (“Sorrento”), together with its wholly owned direct subsidiary, Scintilla Pharmaceuticals, Inc., commenced voluntary proceedings under Chapter 11 of the United States Bankruptcy Code in the United States Bankruptcy Court for the Southern District of Texas (the “Bankruptcy Court”). The Chapter 11 proceedings are jointly administered under the caption In re Sorrento Therapeutics, Inc., et al, Case Number 23-90085 (DRJ) (the “Chapter 11 Cases”). While we were previously majority-owned by Sorrento, we were not a debtor in Sorrento’s voluntary Chapter 11 filing. Pursuant to that certain Stock Purchase Agreement that we entered into with Sorrento on September 21, 2023 (the “Sorrento SPA”), we repurchased shares of our Common Stock and Series A Preferred Stock from Sorrento. As a result, Sorrento no longer holds a majority of the voting power of our outstanding capital stock entitled to vote. As of December 31, 2024, we had a $3.2 million receivable from Sorrento, which was fully reserved. We evaluate the collectability of this receivable on a quarterly basis.</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115</w:t>
      </w:r>
    </w:p>
    <w:p>
      <w:pPr>
        <w:sectPr>
          <w:pgSz w:w="11900" w:h="16838" w:orient="portrait"/>
          <w:cols w:equalWidth="0" w:num="1">
            <w:col w:w="10159"/>
          </w:cols>
          <w:pgMar w:left="300" w:top="368"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Components of Our Results of Operations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Net Revenue</w:t>
      </w:r>
    </w:p>
    <w:p>
      <w:pPr>
        <w:spacing w:after="0" w:line="82"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Net revenue consists of product sales of ZTlido, ELYXYB and GLOPERBA in the United States. For product sales of ZTlido, ELYXYB and GLOPERBA, we record gross-to-net sales adjustments for government and commercial rebates, chargebacks, wholesaler and distributor fees, sales returns, special marketing programs, and prompt payment discounts. We expect that any net revenue we generate will fluctuate from year to year as a result of the unpredictability of the demand for our product.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Operating Costs and Expenses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Cost of Revenue</w:t>
      </w:r>
    </w:p>
    <w:p>
      <w:pPr>
        <w:spacing w:after="0" w:line="80"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Cost of revenue consists of the cost of purchasing ZTlido, ELYXYB and GLOPERBA from our manufacturing partners, inventory write-downs related to expiration dates for on-hand inventory, cost of shipments, and royalty payments to our manufacturers. We expect the cost of revenue to fluctuate with related net sales revenue.</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Research and Development</w:t>
      </w:r>
    </w:p>
    <w:p>
      <w:pPr>
        <w:spacing w:after="0" w:line="80"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Research and development expenses are expensed when incurred and consist primarily of costs incurred for our research activities, including the development of our product candidates, and include:</w:t>
      </w:r>
    </w:p>
    <w:p>
      <w:pPr>
        <w:spacing w:after="0" w:line="48" w:lineRule="exact"/>
        <w:rPr>
          <w:sz w:val="20"/>
          <w:szCs w:val="20"/>
          <w:color w:val="auto"/>
        </w:rPr>
      </w:pPr>
    </w:p>
    <w:p>
      <w:pPr>
        <w:ind w:left="2620" w:hanging="288"/>
        <w:spacing w:after="0"/>
        <w:tabs>
          <w:tab w:leader="none" w:pos="26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related to clinical trials;</w:t>
      </w:r>
    </w:p>
    <w:p>
      <w:pPr>
        <w:spacing w:after="0" w:line="87"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salaries, benefits and other related costs, including stock-based compensation expense for personnel engaged in research and development functions;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related to outside consultants.</w:t>
      </w:r>
    </w:p>
    <w:p>
      <w:pPr>
        <w:spacing w:after="0" w:line="150"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expect our research and development expenses to increase, as we will incur incremental expenses associated with our product candidates that are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SEMDEXA, SP-103 and SP-104.</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Selling, General and Administrative</w:t>
      </w:r>
    </w:p>
    <w:p>
      <w:pPr>
        <w:spacing w:after="0" w:line="8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Selling, general and administrative expenses consist primarily of costs related to our contract sales force, salaries and other related costs, including stock-based compensation, for personnel in our executive, marketing, finance, corporate and business development and administrative functions. Selling, general and administrative expenses also include professional fees for legal, patent, accounting, auditing, tax and consulting services, travel expenses and facility-related expenses, which include direct depreciation costs, and allocated expenses from Sorrento for director and officer insurance as well as employee health benefits through the consummation of the transactions pursuant to the Sorrento SPA.</w:t>
      </w:r>
    </w:p>
    <w:p>
      <w:pPr>
        <w:spacing w:after="0" w:line="125" w:lineRule="exact"/>
        <w:rPr>
          <w:sz w:val="20"/>
          <w:szCs w:val="20"/>
          <w:color w:val="auto"/>
        </w:rPr>
      </w:pPr>
    </w:p>
    <w:p>
      <w:pPr>
        <w:ind w:left="1980" w:right="1039" w:firstLine="294"/>
        <w:spacing w:after="0" w:line="257" w:lineRule="auto"/>
        <w:rPr>
          <w:sz w:val="20"/>
          <w:szCs w:val="20"/>
          <w:color w:val="auto"/>
        </w:rPr>
      </w:pPr>
      <w:r>
        <w:rPr>
          <w:rFonts w:ascii="Times New Roman" w:cs="Times New Roman" w:eastAsia="Times New Roman" w:hAnsi="Times New Roman"/>
          <w:sz w:val="12"/>
          <w:szCs w:val="12"/>
          <w:color w:val="auto"/>
        </w:rPr>
        <w:t>We expect that our selling, general and administrative expenses will vary year over year in the future as we adapt our commercial strategies to changes in the business environment. We also expect to incur increased expenses as a result of operating as a public company, including expenses related to compliance with the rules and regulations of the SEC, listing standards applicable to companies listed on a national securities exchange, additional insurance expenses, investor relations activities and other administrative and professional services. We also expect to adjust the size of our administrative, finance and legal functions to adapt to the changes above and the anticipated growth of our business.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116</w:t>
      </w:r>
    </w:p>
    <w:p>
      <w:pPr>
        <w:sectPr>
          <w:pgSz w:w="11900" w:h="16838" w:orient="portrait"/>
          <w:cols w:equalWidth="0" w:num="1">
            <w:col w:w="10159"/>
          </w:cols>
          <w:pgMar w:left="300" w:top="368"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Intangible Amortization</w:t>
      </w:r>
    </w:p>
    <w:p>
      <w:pPr>
        <w:spacing w:after="0" w:line="80"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Intangible amortization expense consists of the amortization expense of intangible assets recognized on a straight-line basis over the estimated useful lives of the assets. Our intangible assets, excluding goodwill, are composed of patent rights, acquired technology, acquired licenses and assembled workforce.</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Legal Settlements</w:t>
      </w:r>
    </w:p>
    <w:p>
      <w:pPr>
        <w:spacing w:after="0" w:line="78" w:lineRule="exact"/>
        <w:rPr>
          <w:sz w:val="20"/>
          <w:szCs w:val="20"/>
          <w:color w:val="auto"/>
        </w:rPr>
      </w:pPr>
    </w:p>
    <w:p>
      <w:pPr>
        <w:ind w:left="1980" w:right="839" w:firstLine="294"/>
        <w:spacing w:after="0" w:line="283" w:lineRule="auto"/>
        <w:rPr>
          <w:sz w:val="20"/>
          <w:szCs w:val="20"/>
          <w:color w:val="auto"/>
        </w:rPr>
      </w:pPr>
      <w:r>
        <w:rPr>
          <w:rFonts w:ascii="Times New Roman" w:cs="Times New Roman" w:eastAsia="Times New Roman" w:hAnsi="Times New Roman"/>
          <w:sz w:val="12"/>
          <w:szCs w:val="12"/>
          <w:color w:val="auto"/>
        </w:rPr>
        <w:t>Legal settlements consist of gains on litigation settlements that were entered into during the first quarter of 2024. See Note 11 titled “</w:t>
      </w:r>
      <w:r>
        <w:rPr>
          <w:rFonts w:ascii="Times New Roman" w:cs="Times New Roman" w:eastAsia="Times New Roman" w:hAnsi="Times New Roman"/>
          <w:sz w:val="12"/>
          <w:szCs w:val="12"/>
          <w:i w:val="1"/>
          <w:iCs w:val="1"/>
          <w:color w:val="auto"/>
        </w:rPr>
        <w:t>Commitments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and Contingencies</w:t>
      </w:r>
      <w:r>
        <w:rPr>
          <w:rFonts w:ascii="Times New Roman" w:cs="Times New Roman" w:eastAsia="Times New Roman" w:hAnsi="Times New Roman"/>
          <w:sz w:val="12"/>
          <w:szCs w:val="12"/>
          <w:color w:val="auto"/>
        </w:rPr>
        <w:t>” of the Notes to our consolidated financial statements appearing elsewhere in this prospectus.</w:t>
      </w:r>
    </w:p>
    <w:p>
      <w:pPr>
        <w:spacing w:after="0" w:line="1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(Income) Expense</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(Gain) loss on Derivative Liability</w:t>
      </w:r>
    </w:p>
    <w:p>
      <w:pPr>
        <w:spacing w:after="0" w:line="78" w:lineRule="exact"/>
        <w:rPr>
          <w:sz w:val="20"/>
          <w:szCs w:val="20"/>
          <w:color w:val="auto"/>
        </w:rPr>
      </w:pPr>
    </w:p>
    <w:p>
      <w:pPr>
        <w:ind w:left="1980" w:right="939" w:firstLine="294"/>
        <w:spacing w:after="0" w:line="283" w:lineRule="auto"/>
        <w:rPr>
          <w:sz w:val="20"/>
          <w:szCs w:val="20"/>
          <w:color w:val="auto"/>
        </w:rPr>
      </w:pPr>
      <w:r>
        <w:rPr>
          <w:rFonts w:ascii="Times New Roman" w:cs="Times New Roman" w:eastAsia="Times New Roman" w:hAnsi="Times New Roman"/>
          <w:sz w:val="12"/>
          <w:szCs w:val="12"/>
          <w:color w:val="auto"/>
        </w:rPr>
        <w:t xml:space="preserve">(Gain) loss on derivative liability includes the remeasurement of the derivative warrant liability. See Note 4 titled </w:t>
      </w: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xml:space="preserve"> to our consolidated financial statements appearing elsewhere in this prospectus.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Change in Fair Value of Debt and Liability Instruments</w:t>
      </w:r>
    </w:p>
    <w:p>
      <w:pPr>
        <w:spacing w:after="0" w:line="8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 xml:space="preserve">Change in fair value of debt and liability instruments includes the remeasurement of (i) the convertible debentures (the “Convertible Debentures”) issued to YA II, Ltd. (“Yorkville”) pursuant to that certain securities purchase agreement dated as of March 21, 2023 and amended on October 11, 2023, between Yorkville and us, (ii) the Oramed Note, (iii) the non-refundable deposit in the aggregate principal amount of $10.0 million (the “FSF Deposit”) pursuant to the Commitment Letter dated as of June 11, 2024, entered into with FSF, (iv) the Tranche B Notes issued in October 2024 in the principal amount of $50.0 million and (v) the purchased revenue liability associated with the ZTlido Royalty Purchase Agreement with certain institutional investors (collectively, the “ZTlido Royalty Investors”) and Oramed. See Note 4 titled </w:t>
      </w: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xml:space="preserve"> to our consolidated financial statements appearing elsewhere in this prospectus.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Interest Expense, Net</w:t>
      </w:r>
    </w:p>
    <w:p>
      <w:pPr>
        <w:spacing w:after="0" w:line="80"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Interest expense, net consists of interest related to the loans in an aggregate principal amount of up to $30.0 million (the “Revolving Facility”) made available by eCapital Healthcare Corp. pursuant to a Credit and Security Agreement (the “eCapital Credit Agreement”) that Scilex Pharma entered into on June 27, 2023.</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Loss on Foreign Currency Exchange</w:t>
      </w:r>
    </w:p>
    <w:p>
      <w:pPr>
        <w:spacing w:after="0" w:line="80"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Loss on foreign currency exchange relates to foreign exchange losses on payments made to our foreign supplier, Itochu, a manufacturer and supplier of lidocaine tape products, including ZTlido and SP-103.</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117</w:t>
      </w:r>
    </w:p>
    <w:p>
      <w:pPr>
        <w:sectPr>
          <w:pgSz w:w="11900" w:h="16838" w:orient="portrait"/>
          <w:cols w:equalWidth="0" w:num="1">
            <w:col w:w="10159"/>
          </w:cols>
          <w:pgMar w:left="300" w:top="368" w:right="1440"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tables summarize our results of operations for the years ended December 31, 2024 and 2023 (in thousands):</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10"/>
                <w:szCs w:val="10"/>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81"/>
              </w:rPr>
              <w:t>Changes</w:t>
            </w:r>
          </w:p>
        </w:tc>
        <w:tc>
          <w:tcPr>
            <w:tcW w:w="0" w:type="dxa"/>
            <w:vAlign w:val="bottom"/>
          </w:tcPr>
          <w:p>
            <w:pPr>
              <w:spacing w:after="0"/>
              <w:rPr>
                <w:sz w:val="1"/>
                <w:szCs w:val="1"/>
                <w:color w:val="auto"/>
              </w:rPr>
            </w:pPr>
          </w:p>
        </w:tc>
      </w:tr>
      <w:tr>
        <w:trPr>
          <w:trHeight w:val="88"/>
        </w:trPr>
        <w:tc>
          <w:tcPr>
            <w:tcW w:w="3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10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2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Statements of Operations Data:</w:t>
            </w:r>
          </w:p>
        </w:tc>
        <w:tc>
          <w:tcPr>
            <w:tcW w:w="7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right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revenue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56,590</w:t>
            </w:r>
          </w:p>
        </w:tc>
        <w:tc>
          <w:tcPr>
            <w:tcW w:w="2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46,743</w:t>
            </w: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operating costs and expenses: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15,681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9,641</w:t>
            </w: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12,746</w:t>
            </w: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(3,105)</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119,016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119,641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(625)</w:t>
            </w: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amortization</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4,106</w:t>
            </w: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Legal settlements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(9,391)</w:t>
            </w:r>
          </w:p>
        </w:tc>
        <w:tc>
          <w:tcPr>
            <w:tcW w:w="22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24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(9,391)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net operating costs and expenses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139,986</w:t>
            </w: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152,174</w:t>
            </w: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(12,188)</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7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(83,396)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9"/>
              </w:rPr>
              <w:t>(105,431)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(income) expense, net:</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(Gain) loss on derivative liability</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(17,378)</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(17,890)</w:t>
            </w: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debt and liability instruments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4,782</w:t>
            </w: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7,189</w:t>
            </w: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(2,407)</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foreign currency exchange</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2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other (income) expense, net</w:t>
            </w:r>
          </w:p>
        </w:tc>
        <w:tc>
          <w:tcPr>
            <w:tcW w:w="7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(10,588)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8,887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7"/>
              </w:rPr>
              <w:t>(19,475)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taxes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(72,808)</w:t>
            </w:r>
          </w:p>
        </w:tc>
        <w:tc>
          <w:tcPr>
            <w:tcW w:w="2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7"/>
              </w:rPr>
              <w:t>(114,318)</w:t>
            </w:r>
          </w:p>
        </w:tc>
        <w:tc>
          <w:tcPr>
            <w:tcW w:w="2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(72,807)</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7"/>
              </w:rPr>
              <w:t>(114,331)</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Comparison of the Years Ended December 31, 2024 and 2023</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Net Revenue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net revenue by product for the years ended December 31, 2024 and 2023 (in thousands):</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2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Pr>
          <w:p>
            <w:pPr>
              <w:spacing w:after="0"/>
              <w:rPr>
                <w:sz w:val="6"/>
                <w:szCs w:val="6"/>
                <w:color w:val="auto"/>
              </w:rPr>
            </w:pPr>
          </w:p>
        </w:tc>
        <w:tc>
          <w:tcPr>
            <w:tcW w:w="4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Increase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(Decrease)</w:t>
            </w:r>
          </w:p>
        </w:tc>
        <w:tc>
          <w:tcPr>
            <w:tcW w:w="0" w:type="dxa"/>
            <w:vAlign w:val="bottom"/>
          </w:tcPr>
          <w:p>
            <w:pPr>
              <w:spacing w:after="0"/>
              <w:rPr>
                <w:sz w:val="1"/>
                <w:szCs w:val="1"/>
                <w:color w:val="auto"/>
              </w:rPr>
            </w:pPr>
          </w:p>
        </w:tc>
      </w:tr>
      <w:tr>
        <w:trPr>
          <w:trHeight w:val="124"/>
        </w:trPr>
        <w:tc>
          <w:tcPr>
            <w:tcW w:w="25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ZTlido</w:t>
            </w:r>
          </w:p>
        </w:tc>
        <w:tc>
          <w:tcPr>
            <w:tcW w:w="16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Net Revenue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52,094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46,300</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ELYXYB</w:t>
            </w:r>
          </w:p>
        </w:tc>
        <w:tc>
          <w:tcPr>
            <w:tcW w:w="16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Net Revenue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4,258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GLOPERBA</w:t>
            </w:r>
          </w:p>
        </w:tc>
        <w:tc>
          <w:tcPr>
            <w:tcW w:w="16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Net Revenue</w:t>
            </w:r>
          </w:p>
        </w:tc>
        <w:tc>
          <w:tcPr>
            <w:tcW w:w="16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3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Net Revenue</w:t>
            </w:r>
          </w:p>
        </w:tc>
        <w:tc>
          <w:tcPr>
            <w:tcW w:w="16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56,590</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46,743</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9,847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Net revenue for the years ended December 31, 2024 and 2023 was $56.6 million and $46.7 million, respectively. The increase of $9.9 million was comprised of $5.8 million, $3.8 million and $0.2 million increase in net product sales of ZTlido, ELYXYB and GLOPERBA, respectively, with GLOPERBA sales commencing in June 2024. The increase in net sales of ZTlido and ELYXYB was driven by an increase in gross sales by</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118</w:t>
      </w:r>
    </w:p>
    <w:p>
      <w:pPr>
        <w:sectPr>
          <w:pgSz w:w="11900" w:h="16838" w:orient="portrait"/>
          <w:cols w:equalWidth="0" w:num="1">
            <w:col w:w="10159"/>
          </w:cols>
          <w:pgMar w:left="300" w:top="368"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1199"/>
        <w:spacing w:after="0" w:line="300" w:lineRule="auto"/>
        <w:rPr>
          <w:sz w:val="20"/>
          <w:szCs w:val="20"/>
          <w:color w:val="auto"/>
        </w:rPr>
      </w:pPr>
      <w:r>
        <w:rPr>
          <w:rFonts w:ascii="Times New Roman" w:cs="Times New Roman" w:eastAsia="Times New Roman" w:hAnsi="Times New Roman"/>
          <w:sz w:val="11"/>
          <w:szCs w:val="11"/>
          <w:color w:val="auto"/>
        </w:rPr>
        <w:t>approximately 6% and 49%, respectively, as a result of an increase in the sales volume due to higher demand and a standard industry annual price increase, partially offset by an increase in rebates. The commercial launch of ELYXYB has been met with a strong response from the prescribing community since its commercial launch in April 2023 and continued to show growth during 2024, the first full year of commercialization.</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summarizes cost of revenue by product for the years ended December 31, 2024 and 2023 (in thousands):</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7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40" w:type="dxa"/>
            <w:vAlign w:val="bottom"/>
            <w:vMerge w:val="restart"/>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Pr>
          <w:p>
            <w:pPr>
              <w:spacing w:after="0"/>
              <w:rPr>
                <w:sz w:val="6"/>
                <w:szCs w:val="6"/>
                <w:color w:val="auto"/>
              </w:rPr>
            </w:pPr>
          </w:p>
        </w:tc>
        <w:tc>
          <w:tcPr>
            <w:tcW w:w="340" w:type="dxa"/>
            <w:vAlign w:val="bottom"/>
            <w:vMerge w:val="restart"/>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Pr>
          <w:p>
            <w:pPr>
              <w:spacing w:after="0"/>
              <w:rPr>
                <w:sz w:val="6"/>
                <w:szCs w:val="6"/>
                <w:color w:val="auto"/>
              </w:rPr>
            </w:pPr>
          </w:p>
        </w:tc>
        <w:tc>
          <w:tcPr>
            <w:tcW w:w="4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Increase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6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(Decrease)</w:t>
            </w:r>
          </w:p>
        </w:tc>
        <w:tc>
          <w:tcPr>
            <w:tcW w:w="0" w:type="dxa"/>
            <w:vAlign w:val="bottom"/>
          </w:tcPr>
          <w:p>
            <w:pPr>
              <w:spacing w:after="0"/>
              <w:rPr>
                <w:sz w:val="1"/>
                <w:szCs w:val="1"/>
                <w:color w:val="auto"/>
              </w:rPr>
            </w:pPr>
          </w:p>
        </w:tc>
      </w:tr>
      <w:tr>
        <w:trPr>
          <w:trHeight w:val="124"/>
        </w:trPr>
        <w:tc>
          <w:tcPr>
            <w:tcW w:w="27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ZTlido</w:t>
            </w:r>
          </w:p>
        </w:tc>
        <w:tc>
          <w:tcPr>
            <w:tcW w:w="1460" w:type="dxa"/>
            <w:vAlign w:val="bottom"/>
            <w:tcBorders>
              <w:top w:val="single" w:sz="8" w:color="CCEEFF"/>
              <w:right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right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6,249</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6,631</w:t>
            </w:r>
          </w:p>
        </w:tc>
        <w:tc>
          <w:tcPr>
            <w:tcW w:w="46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(382)</w:t>
            </w: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 - Royalties</w:t>
            </w:r>
          </w:p>
        </w:tc>
        <w:tc>
          <w:tcPr>
            <w:tcW w:w="14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9,854</w:t>
            </w:r>
          </w:p>
        </w:tc>
        <w:tc>
          <w:tcPr>
            <w:tcW w:w="4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8,544</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Other Cost of Revenue</w:t>
            </w:r>
          </w:p>
        </w:tc>
        <w:tc>
          <w:tcPr>
            <w:tcW w:w="14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4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(390)</w:t>
            </w: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ZTlido</w:t>
            </w:r>
          </w:p>
        </w:tc>
        <w:tc>
          <w:tcPr>
            <w:tcW w:w="146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16,148</w:t>
            </w:r>
          </w:p>
        </w:tc>
        <w:tc>
          <w:tcPr>
            <w:tcW w:w="40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15,610</w:t>
            </w:r>
          </w:p>
        </w:tc>
        <w:tc>
          <w:tcPr>
            <w:tcW w:w="34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ELYXYB</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46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400" w:type="dxa"/>
            <w:vAlign w:val="bottom"/>
            <w:tcBorders>
              <w:right w:val="single" w:sz="8" w:color="CCEEFF"/>
            </w:tcBorders>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 - Royalties</w:t>
            </w:r>
          </w:p>
        </w:tc>
        <w:tc>
          <w:tcPr>
            <w:tcW w:w="146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w:t>
            </w:r>
          </w:p>
        </w:tc>
        <w:tc>
          <w:tcPr>
            <w:tcW w:w="40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ELYXYB</w:t>
            </w:r>
          </w:p>
        </w:tc>
        <w:tc>
          <w:tcPr>
            <w:tcW w:w="146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40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3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GLOPERBA</w:t>
            </w:r>
          </w:p>
        </w:tc>
        <w:tc>
          <w:tcPr>
            <w:tcW w:w="1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w:t>
            </w:r>
          </w:p>
        </w:tc>
        <w:tc>
          <w:tcPr>
            <w:tcW w:w="146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00" w:type="dxa"/>
            <w:vAlign w:val="bottom"/>
            <w:tcBorders>
              <w:right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20"/>
                <w:szCs w:val="20"/>
                <w:color w:val="auto"/>
              </w:rPr>
            </w:pPr>
            <w:r>
              <w:rPr>
                <w:rFonts w:ascii="Times New Roman" w:cs="Times New Roman" w:eastAsia="Times New Roman" w:hAnsi="Times New Roman"/>
                <w:sz w:val="12"/>
                <w:szCs w:val="12"/>
                <w:color w:val="auto"/>
              </w:rPr>
              <w:t>Total GLOPERBA</w:t>
            </w:r>
          </w:p>
        </w:tc>
        <w:tc>
          <w:tcPr>
            <w:tcW w:w="146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00" w:type="dxa"/>
            <w:vAlign w:val="bottom"/>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Cost of Revenue</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16,689</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15,681</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979" w:firstLine="294"/>
        <w:spacing w:after="0" w:line="286" w:lineRule="auto"/>
        <w:rPr>
          <w:sz w:val="20"/>
          <w:szCs w:val="20"/>
          <w:color w:val="auto"/>
        </w:rPr>
      </w:pPr>
      <w:r>
        <w:rPr>
          <w:rFonts w:ascii="Times New Roman" w:cs="Times New Roman" w:eastAsia="Times New Roman" w:hAnsi="Times New Roman"/>
          <w:sz w:val="11"/>
          <w:szCs w:val="11"/>
          <w:color w:val="auto"/>
        </w:rPr>
        <w:t>Cost of revenue for the years ended December 31, 2024 and 2023 was $16.7 million and $15.7 million, respectively. Cost of revenue for ZTlido increased by $0.5 million due to higher royalties primarily driven by an increase in gross product sales by approximately 6%, partially offset by a decrease due to favorable foreign currency exchange rate fluctuations affecting purchases from our foreign supplier, Itochu, and decrease in logistics costs due to the absence of air shipments in 2024 compared to 2023. Cost of revenue for ELYXYB increased by $0.5 million and was primarily due to the increase in gross product sales by approximately 49% with the sales commencing in April 2023. GLOPERBA sales commenced in June 2024.</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82"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2"/>
          <w:szCs w:val="12"/>
          <w:color w:val="auto"/>
        </w:rPr>
        <w:t>The following table summarizes research and development expenses by project for the years ended December 31, 2024 and 2023 (in thousands):</w:t>
      </w:r>
    </w:p>
    <w:p>
      <w:pPr>
        <w:spacing w:after="0" w:line="162"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19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2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2024</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Pr>
          <w:p>
            <w:pPr>
              <w:spacing w:after="0"/>
              <w:rPr>
                <w:sz w:val="6"/>
                <w:szCs w:val="6"/>
                <w:color w:val="auto"/>
              </w:rPr>
            </w:pPr>
          </w:p>
        </w:tc>
        <w:tc>
          <w:tcPr>
            <w:tcW w:w="4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Increase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66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00" w:type="dxa"/>
            <w:vAlign w:val="bottom"/>
            <w:gridSpan w:val="4"/>
          </w:tcPr>
          <w:p>
            <w:pPr>
              <w:ind w:left="380"/>
              <w:spacing w:after="0"/>
              <w:rPr>
                <w:sz w:val="20"/>
                <w:szCs w:val="20"/>
                <w:color w:val="auto"/>
              </w:rPr>
            </w:pPr>
            <w:r>
              <w:rPr>
                <w:rFonts w:ascii="Times New Roman" w:cs="Times New Roman" w:eastAsia="Times New Roman" w:hAnsi="Times New Roman"/>
                <w:sz w:val="10"/>
                <w:szCs w:val="10"/>
                <w:b w:val="1"/>
                <w:bCs w:val="1"/>
                <w:color w:val="auto"/>
              </w:rPr>
              <w:t>(Decrease)</w:t>
            </w:r>
          </w:p>
        </w:tc>
        <w:tc>
          <w:tcPr>
            <w:tcW w:w="0" w:type="dxa"/>
            <w:vAlign w:val="bottom"/>
          </w:tcPr>
          <w:p>
            <w:pPr>
              <w:spacing w:after="0"/>
              <w:rPr>
                <w:sz w:val="1"/>
                <w:szCs w:val="1"/>
                <w:color w:val="auto"/>
              </w:rPr>
            </w:pPr>
          </w:p>
        </w:tc>
      </w:tr>
      <w:tr>
        <w:trPr>
          <w:trHeight w:val="124"/>
        </w:trPr>
        <w:tc>
          <w:tcPr>
            <w:tcW w:w="19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SP-102</w:t>
            </w:r>
          </w:p>
        </w:tc>
        <w:tc>
          <w:tcPr>
            <w:tcW w:w="2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Contracted R&amp;D</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$1,160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4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Personnel</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23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3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SP-102</w:t>
            </w:r>
          </w:p>
        </w:tc>
        <w:tc>
          <w:tcPr>
            <w:tcW w:w="2320" w:type="dxa"/>
            <w:vAlign w:val="bottom"/>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w:t>
            </w:r>
          </w:p>
        </w:tc>
        <w:tc>
          <w:tcPr>
            <w:tcW w:w="380" w:type="dxa"/>
            <w:vAlign w:val="bottom"/>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w:t>
            </w:r>
          </w:p>
        </w:tc>
        <w:tc>
          <w:tcPr>
            <w:tcW w:w="3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1900" w:type="dxa"/>
            <w:vAlign w:val="bottom"/>
          </w:tcPr>
          <w:p>
            <w:pPr>
              <w:spacing w:after="0"/>
              <w:rPr>
                <w:sz w:val="20"/>
                <w:szCs w:val="20"/>
                <w:color w:val="auto"/>
              </w:rPr>
            </w:pPr>
          </w:p>
        </w:tc>
        <w:tc>
          <w:tcPr>
            <w:tcW w:w="2320" w:type="dxa"/>
            <w:vAlign w:val="bottom"/>
          </w:tcPr>
          <w:p>
            <w:pPr>
              <w:jc w:val="right"/>
              <w:ind w:right="983"/>
              <w:spacing w:after="0"/>
              <w:rPr>
                <w:sz w:val="20"/>
                <w:szCs w:val="20"/>
                <w:color w:val="auto"/>
              </w:rPr>
            </w:pPr>
            <w:r>
              <w:rPr>
                <w:rFonts w:ascii="Times New Roman" w:cs="Times New Roman" w:eastAsia="Times New Roman" w:hAnsi="Times New Roman"/>
                <w:sz w:val="12"/>
                <w:szCs w:val="12"/>
                <w:color w:val="auto"/>
              </w:rPr>
              <w:t>119</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220" w:type="dxa"/>
            <w:vAlign w:val="bottom"/>
          </w:tcPr>
          <w:p>
            <w:pPr>
              <w:spacing w:after="0"/>
              <w:rPr>
                <w:sz w:val="6"/>
                <w:szCs w:val="6"/>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2023</w:t>
            </w:r>
          </w:p>
        </w:tc>
        <w:tc>
          <w:tcPr>
            <w:tcW w:w="340" w:type="dxa"/>
            <w:vAlign w:val="bottom"/>
          </w:tcPr>
          <w:p>
            <w:pPr>
              <w:spacing w:after="0"/>
              <w:rPr>
                <w:sz w:val="6"/>
                <w:szCs w:val="6"/>
                <w:color w:val="auto"/>
              </w:rPr>
            </w:pPr>
          </w:p>
        </w:tc>
        <w:tc>
          <w:tcPr>
            <w:tcW w:w="4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Increase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(Decrease)</w:t>
            </w:r>
          </w:p>
        </w:tc>
        <w:tc>
          <w:tcPr>
            <w:tcW w:w="0" w:type="dxa"/>
            <w:vAlign w:val="bottom"/>
          </w:tcPr>
          <w:p>
            <w:pPr>
              <w:spacing w:after="0"/>
              <w:rPr>
                <w:sz w:val="1"/>
                <w:szCs w:val="1"/>
                <w:color w:val="auto"/>
              </w:rPr>
            </w:pPr>
          </w:p>
        </w:tc>
      </w:tr>
      <w:tr>
        <w:trPr>
          <w:trHeight w:val="124"/>
        </w:trPr>
        <w:tc>
          <w:tcPr>
            <w:tcW w:w="32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SP-103</w:t>
            </w:r>
          </w:p>
        </w:tc>
        <w:tc>
          <w:tcPr>
            <w:tcW w:w="10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Contracted R&amp;D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2,472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4,270</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(1,798)</w:t>
            </w: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Personnel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0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3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3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SP-103</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3,977</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5,851</w:t>
            </w:r>
          </w:p>
        </w:tc>
        <w:tc>
          <w:tcPr>
            <w:tcW w:w="3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(1,874)</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SP-104</w:t>
            </w:r>
          </w:p>
        </w:tc>
        <w:tc>
          <w:tcPr>
            <w:tcW w:w="1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Contracted R&amp;D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(875)</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Personnel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Total SP-104</w:t>
            </w:r>
          </w:p>
        </w:tc>
        <w:tc>
          <w:tcPr>
            <w:tcW w:w="10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3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GLOPERBA</w:t>
            </w: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Contracted R&amp;D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Personnel</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040" w:type="dxa"/>
            <w:vAlign w:val="bottom"/>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34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34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GLOPERBA</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ELYXYB</w:t>
            </w:r>
          </w:p>
        </w:tc>
        <w:tc>
          <w:tcPr>
            <w:tcW w:w="1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Contracted R&amp;D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Personnel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Total ELYXYB</w:t>
            </w:r>
          </w:p>
        </w:tc>
        <w:tc>
          <w:tcPr>
            <w:tcW w:w="10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3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2,551</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Research and Development Expenses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9,641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12,746</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(3,105)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Research and development expenses for the years ended December 31, 2024 and 2023 were $9.6 million and $12.7 million, respectively.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$3.1 million decrease was primarily attributed to reduced costs of SP-103 due to the completion of the Phase 2 clinical study and reduced development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costs of SP-104.</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Selling, General and Administrative Expenses</w:t>
      </w:r>
    </w:p>
    <w:p>
      <w:pPr>
        <w:spacing w:after="0" w:line="82" w:lineRule="exact"/>
        <w:rPr>
          <w:sz w:val="20"/>
          <w:szCs w:val="20"/>
          <w:color w:val="auto"/>
        </w:rPr>
      </w:pPr>
    </w:p>
    <w:p>
      <w:pPr>
        <w:ind w:left="1980" w:right="959" w:firstLine="294"/>
        <w:spacing w:after="0" w:line="254" w:lineRule="auto"/>
        <w:rPr>
          <w:sz w:val="20"/>
          <w:szCs w:val="20"/>
          <w:color w:val="auto"/>
        </w:rPr>
      </w:pPr>
      <w:r>
        <w:rPr>
          <w:rFonts w:ascii="Times New Roman" w:cs="Times New Roman" w:eastAsia="Times New Roman" w:hAnsi="Times New Roman"/>
          <w:sz w:val="12"/>
          <w:szCs w:val="12"/>
          <w:color w:val="auto"/>
        </w:rPr>
        <w:t>Selling, general and administrative expenses for the years ended December 31, 2024 and 2023 were $119.0 million and $119.6 million, respectively. The decrease of approximately $0.6 million was primarily due to a $10.1 million decrease in legal fees, a $1.6 million decrease in insurance costs, a $0.4 million decrease in advisory and financing expenses and a $0.2 million decrease as a result of a $1.4 million decrease related to allowance for credit losses that was made in March 2023 for the receivable from Sorrento offset by a $1.2 million increase related to allowances for expected credit losses on accounts receivable, partially offset by a $5.5 million increase in rebate expense related to future shipments of the Additional Product (as defined below) under the Satisfaction Agreement, a $2.9 million increase in contracted services, a $1.7 million increase in personnel expense due to increase in headcount and a merit increase starting January 2024, a $0.5 million increase in travel expenses, a $0.1 million increase in marketing expenses and a $1.0 million increase in other expenses.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Intangible Amortization Expense</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Intangible amortization expense for the years ended December 31, 2024 and 2023 was $4.0 million and $4.1 million, respectively. The decrease of $0.1 million is related to the full amortization of the assembled workforce intangible asset (see Note 6 titled “</w:t>
      </w:r>
      <w:r>
        <w:rPr>
          <w:rFonts w:ascii="Times New Roman" w:cs="Times New Roman" w:eastAsia="Times New Roman" w:hAnsi="Times New Roman"/>
          <w:sz w:val="12"/>
          <w:szCs w:val="12"/>
          <w:i w:val="1"/>
          <w:iCs w:val="1"/>
          <w:color w:val="auto"/>
        </w:rPr>
        <w:t>Goodwill and Intangible Assets</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120</w:t>
      </w:r>
    </w:p>
    <w:p>
      <w:pPr>
        <w:sectPr>
          <w:pgSz w:w="11900" w:h="16838" w:orient="portrait"/>
          <w:cols w:equalWidth="0" w:num="1">
            <w:col w:w="10159"/>
          </w:cols>
          <w:pgMar w:left="300" w:top="368" w:right="1440"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Legal Settlements</w:t>
      </w:r>
    </w:p>
    <w:p>
      <w:pPr>
        <w:spacing w:after="0" w:line="82"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Legal settlements for the years ended December 31, 2024 and 2023 were $9.4 million and nil, respectively. The increase was attributed to litigation settlements that were entered into during the first quarter of 2024. See Note 11 titled “</w:t>
      </w:r>
      <w:r>
        <w:rPr>
          <w:rFonts w:ascii="Times New Roman" w:cs="Times New Roman" w:eastAsia="Times New Roman" w:hAnsi="Times New Roman"/>
          <w:sz w:val="12"/>
          <w:szCs w:val="12"/>
          <w:i w:val="1"/>
          <w:iCs w:val="1"/>
          <w:color w:val="auto"/>
        </w:rPr>
        <w:t>Commitments and Contingencies</w:t>
      </w:r>
      <w:r>
        <w:rPr>
          <w:rFonts w:ascii="Times New Roman" w:cs="Times New Roman" w:eastAsia="Times New Roman" w:hAnsi="Times New Roman"/>
          <w:sz w:val="12"/>
          <w:szCs w:val="12"/>
          <w:color w:val="auto"/>
        </w:rPr>
        <w:t>” to our consolidated financial statements appearing elsewhere in this prospectus.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(Gain) Loss on Derivative Liability</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(Gain) loss on derivative liability for the years ended December 31, 2024 and 2023 was ($17.4) million and $0.5 million, respectively. The gain recognized during the year ended December 31, 2024 was attributed to the change in the fair value of the derivative warrant liability associated with the Private Warrants, the February 2024 BDO Firm Warrants, the April 2024 RDO Common Warrants, the Deposit Warrant, the October 2024 Noteholder Warrants and the December 2024 RDO Common Warrants. The loss recognized during the year ended December 31, 2023 was attributed to the change in the fair value of the derivative warrant liability associated with the Private Warrants.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Debt and Liability Instruments</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Change in fair value of debt and liability instruments for the years ended December 31, 2024 and 2023 was $4.8 million and $7.2 million, respectively. The loss recognized during the year ended December 31, 2024 was attributed to losses of $35.0 thousand for the Convertible Debentures, $3.6 million for the Oramed Note, $4.7 million for the FSF Deposit, $0.9 million for the purchased revenue liability pursuant to the ZTlido Royalty Purchase Agreement and a $2.6 million loss recognized upon issuance of the Tranche B Notes, partially offset by a gain of $6.6 million in change in fair value of the Tranche B Notes and $0.4 million gain on partial extinguishment of the Oramed Note pursuant to the Oramed Letter Agreement. The loss recognized during the year ended December 31, 2023 was attributed to losses of $4.4 million for the Convertible Debentures and $2.8 million for the Oramed Note. The Convertible Debentures were issued in March and April 2023 in an aggregate principal amount of $25.0 million, which were fully repaid during the first quarter of 2024. The Oramed Note was issued in September 2023 in the principal amount of $101.9 million, of which the principal amount of $25.0 million remained outstanding as of December 31, 2024. The FSF Deposit was received in June 2024 in the principal amount of $10.0 million and was satisfied in November 2024 by the delivery of the Additional Product (as defined below) to Endeavor. The Tranche B Notes were issued in October 2024 in the principal amount of $50.0 million, of which the principal amount of $38.0 million remained outstanding as of December 31, 2024.</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Interest expense, net for the years ended December 31, 2024 and 2023 was $2.0 million and $1.1 million, respectively. The increase was attributed to $0.8 million of interest related to the Revolving Facility and $0.1 million of interest related to deferred consideration for GLOPERBA license acquired from Romeg in 2022.</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2024, we had cash and cash equivalents of approximately $3.3 million.</w:t>
      </w:r>
    </w:p>
    <w:p>
      <w:pPr>
        <w:spacing w:after="0" w:line="150"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We have funded our operations primarily through the Yorkville financing pursuant to the A&amp;R Yorkville Purchase Agreement (as defined below), the B. Riley Principal Capital II, LLC (“B. Riley”) financing pursuant to the B. Riley Purchase Agreement (as defined below), the Revolving Facility, the issuance of the Convertible Debentures and financing pursuant to the ATM Sales Agreement. We also have indebtedness pursuant to the Oramed Note and Tranche B Notes as well as deferred consideration related to the GLOPERBA license acquired</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121</w:t>
      </w:r>
    </w:p>
    <w:p>
      <w:pPr>
        <w:sectPr>
          <w:pgSz w:w="11900" w:h="16838" w:orient="portrait"/>
          <w:cols w:equalWidth="0" w:num="1">
            <w:col w:w="10159"/>
          </w:cols>
          <w:pgMar w:left="300" w:top="368"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from Romeg in 2022. The following table summarizes the aggregate indebtedness of these issuances as of December 31, 2024 and December 31, 2023 (in thousands):</w:t>
      </w:r>
    </w:p>
    <w:p>
      <w:pPr>
        <w:spacing w:after="0" w:line="10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39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13"/>
        </w:trPr>
        <w:tc>
          <w:tcPr>
            <w:tcW w:w="39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Oramed Note (outstanding principal balance: $25.0 million and</w:t>
            </w:r>
          </w:p>
        </w:tc>
        <w:tc>
          <w:tcPr>
            <w:tcW w:w="14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$100.9 million as of December 31, 2024 and 2023, respectively)</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12,161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104,089</w:t>
            </w:r>
          </w:p>
        </w:tc>
      </w:tr>
      <w:tr>
        <w:trPr>
          <w:trHeight w:val="133"/>
        </w:trPr>
        <w:tc>
          <w:tcPr>
            <w:tcW w:w="3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Convertible Debentures (outstanding principal balance: nil and</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39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$4.4 million as of December 31, 2024 and 2023, respectively)</w:t>
            </w:r>
          </w:p>
        </w:tc>
        <w:tc>
          <w:tcPr>
            <w:tcW w:w="14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4,340</w:t>
            </w:r>
          </w:p>
        </w:tc>
      </w:tr>
      <w:tr>
        <w:trPr>
          <w:trHeight w:val="133"/>
        </w:trPr>
        <w:tc>
          <w:tcPr>
            <w:tcW w:w="3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Tranche B Notes (outstanding principal balance: $38.0 million and nil</w:t>
            </w: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as of December 31, 2024 and 2023, respectively)</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23,560</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Purchased Revenue Liability</w:t>
            </w:r>
          </w:p>
        </w:tc>
        <w:tc>
          <w:tcPr>
            <w:tcW w:w="140" w:type="dxa"/>
            <w:vAlign w:val="bottom"/>
          </w:tcPr>
          <w:p>
            <w:pPr>
              <w:spacing w:after="0"/>
              <w:rPr>
                <w:sz w:val="12"/>
                <w:szCs w:val="12"/>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6,800</w:t>
            </w:r>
          </w:p>
        </w:tc>
        <w:tc>
          <w:tcPr>
            <w:tcW w:w="120" w:type="dxa"/>
            <w:vAlign w:val="bottom"/>
          </w:tcPr>
          <w:p>
            <w:pPr>
              <w:spacing w:after="0"/>
              <w:rPr>
                <w:sz w:val="12"/>
                <w:szCs w:val="12"/>
                <w:color w:val="auto"/>
              </w:rPr>
            </w:pP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Revolving Facility</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17,038</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Deferred Consideration with Romeg</w:t>
            </w:r>
          </w:p>
        </w:tc>
        <w:tc>
          <w:tcPr>
            <w:tcW w:w="140" w:type="dxa"/>
            <w:vAlign w:val="bottom"/>
          </w:tcPr>
          <w:p>
            <w:pPr>
              <w:spacing w:after="0"/>
              <w:rPr>
                <w:sz w:val="12"/>
                <w:szCs w:val="12"/>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2,895</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3,386</w:t>
            </w:r>
          </w:p>
        </w:tc>
      </w:tr>
      <w:tr>
        <w:trPr>
          <w:trHeight w:val="20"/>
        </w:trPr>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indebtedness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45,416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128,853</w:t>
            </w:r>
          </w:p>
        </w:tc>
      </w:tr>
      <w:tr>
        <w:trPr>
          <w:trHeight w:val="27"/>
        </w:trPr>
        <w:tc>
          <w:tcPr>
            <w:tcW w:w="3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The Oramed Note</w:t>
      </w:r>
    </w:p>
    <w:p>
      <w:pPr>
        <w:spacing w:after="0" w:line="80"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2024, the fair value of the Oramed Note outstanding was $12.2 million pursuant to the Scilex-Oramed SPA (see Note 7 titled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Convertible Debentures</w:t>
      </w:r>
    </w:p>
    <w:p>
      <w:pPr>
        <w:spacing w:after="0" w:line="78" w:lineRule="exact"/>
        <w:rPr>
          <w:sz w:val="20"/>
          <w:szCs w:val="20"/>
          <w:color w:val="auto"/>
        </w:rPr>
      </w:pPr>
    </w:p>
    <w:p>
      <w:pPr>
        <w:ind w:left="1980" w:right="959" w:firstLine="294"/>
        <w:spacing w:after="0" w:line="283" w:lineRule="auto"/>
        <w:rPr>
          <w:sz w:val="20"/>
          <w:szCs w:val="20"/>
          <w:color w:val="auto"/>
        </w:rPr>
      </w:pPr>
      <w:r>
        <w:rPr>
          <w:rFonts w:ascii="Times New Roman" w:cs="Times New Roman" w:eastAsia="Times New Roman" w:hAnsi="Times New Roman"/>
          <w:sz w:val="12"/>
          <w:szCs w:val="12"/>
          <w:color w:val="auto"/>
        </w:rPr>
        <w:t>We fully repaid the Convertible Debentures in March 2024 (see Note 7 titled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Tranche B Notes</w:t>
      </w:r>
    </w:p>
    <w:p>
      <w:pPr>
        <w:spacing w:after="0" w:line="80" w:lineRule="exact"/>
        <w:rPr>
          <w:sz w:val="20"/>
          <w:szCs w:val="20"/>
          <w:color w:val="auto"/>
        </w:rPr>
      </w:pPr>
    </w:p>
    <w:p>
      <w:pPr>
        <w:ind w:left="1980" w:right="1099" w:firstLine="294"/>
        <w:spacing w:after="0" w:line="327" w:lineRule="auto"/>
        <w:rPr>
          <w:sz w:val="20"/>
          <w:szCs w:val="20"/>
          <w:color w:val="auto"/>
        </w:rPr>
      </w:pPr>
      <w:r>
        <w:rPr>
          <w:rFonts w:ascii="Times New Roman" w:cs="Times New Roman" w:eastAsia="Times New Roman" w:hAnsi="Times New Roman"/>
          <w:sz w:val="11"/>
          <w:szCs w:val="11"/>
          <w:color w:val="auto"/>
        </w:rPr>
        <w:t>As of December 31, 2024, the fair value of the Tranche B Notes outstanding was $23.6 million pursuant to the Tranche B Securities Purchase Agreement (see Note 7 titled “</w:t>
      </w:r>
      <w:r>
        <w:rPr>
          <w:rFonts w:ascii="Times New Roman" w:cs="Times New Roman" w:eastAsia="Times New Roman" w:hAnsi="Times New Roman"/>
          <w:sz w:val="11"/>
          <w:szCs w:val="11"/>
          <w:i w:val="1"/>
          <w:iCs w:val="1"/>
          <w:color w:val="auto"/>
        </w:rPr>
        <w:t>Debt</w:t>
      </w:r>
      <w:r>
        <w:rPr>
          <w:rFonts w:ascii="Times New Roman" w:cs="Times New Roman" w:eastAsia="Times New Roman" w:hAnsi="Times New Roman"/>
          <w:sz w:val="11"/>
          <w:szCs w:val="11"/>
          <w:color w:val="auto"/>
        </w:rPr>
        <w:t>” to our consolidated financial statements included elsewhere in this prospectus for additional information).</w:t>
      </w:r>
    </w:p>
    <w:p>
      <w:pPr>
        <w:spacing w:after="0" w:line="1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Purchased Revenue Liability</w:t>
      </w:r>
    </w:p>
    <w:p>
      <w:pPr>
        <w:spacing w:after="0" w:line="80"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2024, the fair value of the purchased revenue liability was $6.8 million pursuant to the ZTlido Royalty Purchase Agreement (see Note 7 titled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Revolving Facility</w:t>
      </w:r>
    </w:p>
    <w:p>
      <w:pPr>
        <w:spacing w:after="0" w:line="78" w:lineRule="exact"/>
        <w:rPr>
          <w:sz w:val="20"/>
          <w:szCs w:val="20"/>
          <w:color w:val="auto"/>
        </w:rPr>
      </w:pPr>
    </w:p>
    <w:p>
      <w:pPr>
        <w:ind w:left="1980" w:right="999" w:firstLine="294"/>
        <w:spacing w:after="0" w:line="283" w:lineRule="auto"/>
        <w:rPr>
          <w:sz w:val="20"/>
          <w:szCs w:val="20"/>
          <w:color w:val="auto"/>
        </w:rPr>
      </w:pPr>
      <w:r>
        <w:rPr>
          <w:rFonts w:ascii="Times New Roman" w:cs="Times New Roman" w:eastAsia="Times New Roman" w:hAnsi="Times New Roman"/>
          <w:sz w:val="12"/>
          <w:szCs w:val="12"/>
          <w:color w:val="auto"/>
        </w:rPr>
        <w:t>We fully repaid the Revolving Facility in October 2024 (see Note 7 titled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Deferred Consideration</w:t>
      </w:r>
    </w:p>
    <w:p>
      <w:pPr>
        <w:spacing w:after="0" w:line="80"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As of December 31, 2024, we have $2.9 million of deferred consideration related to minimum royalty payments that were included in the initial measurement of consideration transferred for the GLOPERBA license. Deferred consideration minimum royalty payments began in July 2023.</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122</w:t>
      </w:r>
    </w:p>
    <w:p>
      <w:pPr>
        <w:sectPr>
          <w:pgSz w:w="11900" w:h="16838" w:orient="portrait"/>
          <w:cols w:equalWidth="0" w:num="1">
            <w:col w:w="10159"/>
          </w:cols>
          <w:pgMar w:left="300" w:top="368" w:right="1440"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ELYXYB and GLOPERBA Royalties</w:t>
      </w:r>
    </w:p>
    <w:p>
      <w:pPr>
        <w:spacing w:after="0" w:line="8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In February 2013, Scilex Pharma became a party to the Product Development Agreement with Itochu and Oishi (together, the “Developers”), pursuant to which the Developers will manufacture and supply lidocaine tape products, including ZTlido and SP-103, for Scilex Pharma. Pursuant to the Product Development Agreement, Scilex Pharma is required to make aggregate royalty payments between 25% and 35% to the Developers based on net profits. During each of the years ended December 31, 2024 and 2023, Scilex Pharma made royalty payments in the amount of $8.3 million. As of December 31, 2024 and 2023, Scilex Pharma had ending balances of accrued royalty payables of $4.0 million and $2.4 million, respectively.</w:t>
      </w:r>
    </w:p>
    <w:p>
      <w:pPr>
        <w:spacing w:after="0" w:line="12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In February 2023, we entered into an asset purchase agreement to acquire the rights to certain patents, trademarks, regulatory approvals, data, contracts, and other rights related to ELYXYB and its commercialization in the United States and Canada (the “ELYXYB Territory”). We are obligated to make quarterly royalty payments on net sales of ELYXYB in the ELYXYB Territory that range from high single digits to the low double digits on net sales based on the volume of sales. In April 2023, we launched ELYXYB in the U.S. During the year ended December 31, 2024 and 2023, we made royalty payments in the amount of $0.3 million and $26.0 thousand, respectively. As of December 31, 2024 and 2023, we had ending balances of accrued royalty payables of $0.1 million and $5.0 thousand, respectively.</w:t>
      </w:r>
    </w:p>
    <w:p>
      <w:pPr>
        <w:spacing w:after="0" w:line="125" w:lineRule="exact"/>
        <w:rPr>
          <w:sz w:val="20"/>
          <w:szCs w:val="20"/>
          <w:color w:val="auto"/>
        </w:rPr>
      </w:pPr>
    </w:p>
    <w:p>
      <w:pPr>
        <w:ind w:left="1980" w:right="879" w:firstLine="294"/>
        <w:spacing w:after="0" w:line="234" w:lineRule="auto"/>
        <w:rPr>
          <w:sz w:val="20"/>
          <w:szCs w:val="20"/>
          <w:color w:val="auto"/>
        </w:rPr>
      </w:pPr>
      <w:r>
        <w:rPr>
          <w:rFonts w:ascii="Times New Roman" w:cs="Times New Roman" w:eastAsia="Times New Roman" w:hAnsi="Times New Roman"/>
          <w:sz w:val="12"/>
          <w:szCs w:val="12"/>
          <w:color w:val="auto"/>
        </w:rPr>
        <w:t>In June 2022, we entered into the Romeg License Agreement with Romeg, which agreement was subsequently amended in January 2025, to acquire certain rights to GLOPERBA and the exclusive license to use the trademark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As consideration for the license under the Romeg License Agreement, we are obligated to make royalty payments on net sales of GLOPERBA that range from low-single digit to mid-single digit percentages based on annual net sales. During the years ended December 31, 2024 and 2023, we made royalty payments in the amount of $0.6 million and $0.3 million, respectively.</w:t>
      </w:r>
    </w:p>
    <w:p>
      <w:pPr>
        <w:spacing w:after="0" w:line="2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Contingent Consideration</w:t>
      </w:r>
    </w:p>
    <w:p>
      <w:pPr>
        <w:spacing w:after="0" w:line="80"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We have $280.0 million, $13.0 million and $23.0 million in aggregate contingent consideration obligations in connection with the SEMDEXA, GLOPERBA and SP-104 acquisitions, respectively, that are contingent upon achieving certain specified milestones or the occurrence of certain events. Contingent consideration obligations are comprised of regulatory milestones and additional payments that will be due upon the achievement of certain amounts of net sales (see Note 3 titled “</w:t>
      </w:r>
      <w:r>
        <w:rPr>
          <w:rFonts w:ascii="Times New Roman" w:cs="Times New Roman" w:eastAsia="Times New Roman" w:hAnsi="Times New Roman"/>
          <w:sz w:val="12"/>
          <w:szCs w:val="12"/>
          <w:i w:val="1"/>
          <w:iCs w:val="1"/>
          <w:color w:val="auto"/>
        </w:rPr>
        <w:t>Acquisitions and License Agreements</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Standby Equity Purchase Agreements</w:t>
      </w:r>
    </w:p>
    <w:p>
      <w:pPr>
        <w:spacing w:after="0" w:line="80"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On November 17, 2022, we entered into a standby equity purchase agreement (the “Original Purchase Agreement”) with Yorkville. On February 8, 2023, we entered into an amended and restated standby equity purchase agreement with Yorkville (the “A&amp;R Yorkville Purchase Agreement”), amending, restating and superseding the Original Purchase Agreement. Pursuant to the A&amp;R Yorkville Purchase Agreement, we have the right, but not the obligation, to sell to Yorkville up to $500.0 million of shares of Common Stock at our request during the 36 months following the date on which the initial registration statement filed with respect to the shares of Common Stock issuable pursuant thereto was declared effective by the SEC, subject to the terms therein. The registration statement filed with the SEC in connection with the Original Purchase Agreement was initially declared effective by the SEC on December 9, 2022 and we are now able to offer and sell shares of our Common Stock under that agreement, subject to the limitations set forth therein. During the year ended December 31, 2024, we have sold 96,982 shares of Common Stock under the A&amp;R Yorkville Purchase Agreement for aggregate net proceeds of approximately $0.2 million. On, and effective as of, March 25, 2024, we and Yorkville mutually agreed to terminate the A&amp;R Yorkville Purchase Agreement.</w:t>
      </w:r>
    </w:p>
    <w:p>
      <w:pPr>
        <w:spacing w:after="0" w:line="129"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On January 8, 2023, we entered into a standby equity purchase agreement (the “B. Riley Purchase Agreement”, together with the A&amp;R Yorkville Purchase Agreement, the “Standby Equity Purchase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123</w:t>
      </w:r>
    </w:p>
    <w:p>
      <w:pPr>
        <w:sectPr>
          <w:pgSz w:w="11900" w:h="16838" w:orient="portrait"/>
          <w:cols w:equalWidth="0" w:num="1">
            <w:col w:w="10159"/>
          </w:cols>
          <w:pgMar w:left="300" w:top="368" w:right="1440"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5" w:lineRule="auto"/>
        <w:rPr>
          <w:sz w:val="20"/>
          <w:szCs w:val="20"/>
          <w:color w:val="auto"/>
        </w:rPr>
      </w:pPr>
      <w:r>
        <w:rPr>
          <w:rFonts w:ascii="Times New Roman" w:cs="Times New Roman" w:eastAsia="Times New Roman" w:hAnsi="Times New Roman"/>
          <w:sz w:val="12"/>
          <w:szCs w:val="12"/>
          <w:color w:val="auto"/>
        </w:rPr>
        <w:t>Agreements”) with B. Riley, pursuant to which we had the right, but not the obligation, to sell to B. Riley up to $500.0 million of shares of Common Stock at our request during the 36 months following the date on which the initial registration statement filed with respect to the shares of Common Stock issuable pursuant thereto was declared effective by the SEC, subject to the terms therein. The registration statement filed with the SEC in connection with the B. Riley Purchase Agreement was initially declared effective by the SEC on January 20, 2023 and we were able to offer and sell shares of our Common Stock under that agreement, subject to the limitations set forth therein and the limitations set forth in the Convertible Debentures. During the year ended December 31, 2024, we did not sell any shares of Common Stock under the B. Riley Purchase Agreement. On, and effective as of, February 16, 2024, we and B. Riley mutually agreed to terminate the B. Riley Purchase Agreement.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At-the-Market Sales Agreement</w:t>
      </w:r>
    </w:p>
    <w:p>
      <w:pPr>
        <w:spacing w:after="0" w:line="80"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On December 22, 2023, we entered into a Sales Agreement (the “ATM Sales Agreement”) with B. Riley Securities, Inc., Cantor Fitzgerald &amp; Co. and H.C. Wainwright &amp; Co., LLC (the “Sales Agents”), which agreement was voluntarily terminated by us effective as of March 5, 2025. Pursuant to the ATM Sales Agreement, we were able to offer and sell (the “Offering”) shares of Common Stock up to $170,000,000 (the “ATM Shares”), through or to the Sales Agents as part of the Offering. We had no obligation to sell any shares of Common Stock under the ATM Sales Agreement and could suspend offers at any time. The ATM Shares offered and sold in the Offering were issued pursuant to our Shelf S-3 Registration Statement. The ATM Shares were offered by means of a prospectus forming a part of the Shelf S-3 Registration Statement. The Sales Agents were entitled to a commission equal to 3.0% of the gross proceeds from each sale of shares of Common Stock. We also agreed to reimburse the Sales Agents for certain expenses and provide indemnification and contribution to the Sales Agents against certain civil liabilities, including liabilities under the Securities Act. During the year ended December 31, 2024, we sold 2,764,187 shares of Common Stock pursuant to the ATM Sales Agreement for net proceeds of approximately $2.7 million. There were no sales made under the ATM Sales Agreement subsequent to December 31, 2024.</w:t>
      </w:r>
    </w:p>
    <w:p>
      <w:pPr>
        <w:spacing w:after="0" w:line="1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February 2024 Bought Deal Offering</w:t>
      </w:r>
    </w:p>
    <w:p>
      <w:pPr>
        <w:spacing w:after="0" w:line="80"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On February 29, 2024, we entered into an underwriting agreement (the “February 2024 BDO Underwriting Agreement”) with Rodman &amp; Renshaw LLC and StockBlock, as the representatives (the “Representatives”) of the underwriters named in Schedule A (the “Underwriters”). Pursuant to the February 2024 BDO Underwriting Agreement, we sold, in an underwritten offering (the “February 2024 BDO”), 168,068 shares (the “February 2024 BDO Firm Shares”) of the Common Stock, and accompanying common warrants to purchase up to an aggregate of 168,068 shares of Common Stock (the “February 2024 BDO Firm Warrants”). Pursuant to the February 2024 BDO Underwriting Agreement, we also granted the Underwriters an option for a period of 30 days from the date of the February 2024 BDO Underwriting Agreement to purchase up to 882,352 additional shares of Common Stock (the “February 2024 BDO Optional Shares”, and together with the February 2024 BDO Firm Shares, the “February 2024 BDO Shares”) and/or common warrants to purchase up to 882,352 shares of Common Stock (the “February 2024 BDO Optional Warrants”, and together with the February 2024 BDO Firm Warrants, the “February 2024 BDO Common Warrants”) that could have been purchased by the Underwriters, at a price per February 2024 BDO Optional Share of $1.5548 and a price per February 2024 BDO Optional Warrant of $0.0092, which amounts reflect the public offering price of $1.69 per February 2024 BDO Optional Share and $0.01 per February 2024 BDO Optional Warrant, less underwriting discounts and commissions, as applicable (the “February 2024 BDO Underwriters’ Option”). The number of February 2024 BDO Optional Shares and February 2024 BDO Optional Warrants and offering prices and exercise price therefor is reflected on a pre-Reverse Stock Split basis as the February 2024 BDO Underwriters’ Option was not exercised. Each Firm Share was sold together with a February 2024 BDO Firm Warrant at a combined public offering price of $59.50. The combined price per Firm Share and accompanying February 2024 BDO Firm Warrant paid by the Underwriters was $54.74, which amount reflects the combined public offering price of $59.50, less underwriting discounts and commissions.</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124</w:t>
      </w:r>
    </w:p>
    <w:p>
      <w:pPr>
        <w:sectPr>
          <w:pgSz w:w="11900" w:h="16838" w:orient="portrait"/>
          <w:cols w:equalWidth="0" w:num="1">
            <w:col w:w="10159"/>
          </w:cols>
          <w:pgMar w:left="300" w:top="368"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firstLine="294"/>
        <w:spacing w:after="0" w:line="300" w:lineRule="auto"/>
        <w:rPr>
          <w:sz w:val="20"/>
          <w:szCs w:val="20"/>
          <w:color w:val="auto"/>
        </w:rPr>
      </w:pPr>
      <w:r>
        <w:rPr>
          <w:rFonts w:ascii="Times New Roman" w:cs="Times New Roman" w:eastAsia="Times New Roman" w:hAnsi="Times New Roman"/>
          <w:sz w:val="11"/>
          <w:szCs w:val="11"/>
          <w:color w:val="auto"/>
        </w:rPr>
        <w:t>Subject to certain ownership limitations, the February 2024 BDO Common Warrants are exercisable immediately, will expire on the five-year anniversary of the date of issuance and have an exercise price of $59.50 per share. The exercise price of the February 2024 BDO Common Warrants is subject to certain adjustments, including (but not limited to) for stock dividends, stock splits, combinations and reclassifications of the Common Stock.</w:t>
      </w:r>
    </w:p>
    <w:p>
      <w:pPr>
        <w:spacing w:after="0" w:line="102"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In connection with the February 2024 BDO, pursuant to the February 2024 BDO Underwriting Agreement, we issued to the Representatives warrants (the “February 2024 BDO Representative Warrants”, and together with the February 2024 BDO Common Warrants, the “February 2024 BDO Warrants”) to purchase up to an aggregate of 13,446 shares of Common Stock (which represents 8.0% of the aggregate number of February 2024 BDO Firm Shares sold in the February 2024 BDO). The February 2024 BDO Representative Warrants are immediately exercisable and have the same terms as the February 2024 BDO Common Warrants described above, except that the exercise price of the February 2024 BDO Representative Warrants is $74.38 per share, which represents 125% of the combined public offering price per Firm Share and accompanying February 2024 BDO Firm Warrant. We also agreed to pay certain expenses of the Representatives in connection with the February 2024 BDO, including their legal fees and out-of-pocket expenses up to $200,000 and up to $15,950 for clearing expenses.</w:t>
      </w:r>
    </w:p>
    <w:p>
      <w:pPr>
        <w:spacing w:after="0" w:line="128"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February 2024 BDO Shares, the February 2024 BDO Warrants and the shares of Common Stock issuable upon exercise of the February 2024 BDO Warrants were offered and sold by us pursuant to an effective shelf registration statement on Form S-3 (which was initially filed with the SEC on December 22, 2023, as amended, and was declared effective on January 11, 2024 (File No. 333-276245) (the “Shelf S-3 Registration Statement”)), a base prospectus dated January 11, 2024 and a prospectus supplement dated February 29, 2024.</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April 2024 Registered Direct Offering</w:t>
      </w:r>
    </w:p>
    <w:p>
      <w:pPr>
        <w:spacing w:after="0" w:line="8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April 23, 2024, we entered into a securities purchase agreement (the “April 2024 RDO Purchase Agreement”) with the investor named therein, pursuant to which we sold and issued, in a registered direct offering (the “April 2024 RDO”): (i) an aggregate of 428,572 shares (the “April 2024 RDO Shares”) of Common Stock, and (ii) common warrants to purchase up to 428,572 shares of Common Stock (the “April 2024 RDO Common Warrants”). The offering price per share and accompanying April 2024 RDO Common Warrant to purchase one share of Common Stock was $35.00, for aggregate gross proceeds to us of $15,000,000, before deducting the placement agent fees and other offering expenses.</w:t>
      </w:r>
    </w:p>
    <w:p>
      <w:pPr>
        <w:spacing w:after="0" w:line="125"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Subject to certain ownership limitations, the April 2024 RDO Common Warrants are exercisable on the six-month anniversary from the date of issuance, will expire on the five-year anniversary of the date of issuance and have an exercise price of $38.50 per share. The exercise price of the April 2024 RDO Common Warrants is subject to certain adjustments, including stock dividends, stock splits, combinations and reclassifications of the Common Stock.</w:t>
      </w:r>
    </w:p>
    <w:p>
      <w:pPr>
        <w:spacing w:after="0" w:line="12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StockBlock and its affiliate, Rodman &amp; Renshaw LLC acted as exclusive placement agents (the “Placement Agents”) in connection with the April 2024 RDO. As compensation for such placement agent services, we paid the Placement Agents an aggregate cash fee equal to 8.0% of the gross proceeds actually received by us from the April 2024 RDO. We also reimbursed the Placement Agents $100,000 for actual, reasonable and documented fees and expenses, inclusive of fees and expenses of legal counsel and out-of-pocket expenses and $15,950 for clearing expenses. We also issued to the Placement Agents or their respective designees common warrants, substantially in the form of the April 2024 RDO Common Warrants, to purchase up to 34,286 shares of Common Stock (the “April 2024 RDO Placement Agent Warrants”, and together with the April 2024 RDO Common Warrants, the “April 2024 RDO Warrants”), representing up to 8.0% of the total number of the April 2024 RDO Shares issued in the April 2024 RDO. The April 2024 RDO Placement Agent Warrants have an exercise price of $43.75 per share (which represents 125% of the combined offering price per share of Common Stock and the</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125</w:t>
      </w:r>
    </w:p>
    <w:p>
      <w:pPr>
        <w:sectPr>
          <w:pgSz w:w="11900" w:h="16838" w:orient="portrait"/>
          <w:cols w:equalWidth="0" w:num="1">
            <w:col w:w="10159"/>
          </w:cols>
          <w:pgMar w:left="300" w:top="368" w:right="1440"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19"/>
        <w:spacing w:after="0" w:line="279" w:lineRule="auto"/>
        <w:rPr>
          <w:sz w:val="20"/>
          <w:szCs w:val="20"/>
          <w:color w:val="auto"/>
        </w:rPr>
      </w:pPr>
      <w:r>
        <w:rPr>
          <w:rFonts w:ascii="Times New Roman" w:cs="Times New Roman" w:eastAsia="Times New Roman" w:hAnsi="Times New Roman"/>
          <w:sz w:val="12"/>
          <w:szCs w:val="12"/>
          <w:color w:val="auto"/>
        </w:rPr>
        <w:t>April 2024 RDO Common Warrant sold in the April 2024 RDO), will become exercisable on the six-month anniversary of the date of issuance and expire five years from the commencement of sales in the April 2024 RDO.</w:t>
      </w:r>
    </w:p>
    <w:p>
      <w:pPr>
        <w:spacing w:after="0" w:line="111"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The April 2024 RDO Shares, the April 2024 RDO Warrants, and the shares of Common Stock issuable upon exercise of such warrants were offered and sold by us pursuant to the Shelf S-3 Registration Statement, a base prospectus dated January 11, 2024 and a prospectus supplement dated April 23, 2024. The April 2024 RDO closed on April 25, 2024.</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Commitment Letter</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June 11, 2024, we entered into the Commitment Letter, pursuant to which FSF committed to provide us a loan in the aggregate amount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$100 million (the “Commitment Amount”). The Commitment Amount shall be payable as follows: (i) $85 million no later than the date that is 70 days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following the date on which we receive the FSF Deposit (the “Outside Date” and the funding of the initial $85 million, the “Initial Closing”) and (ii)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remaining $15 million within 60 days following the Initial Closing. Pursuant to the Commitment Letter, FSF provided us the non-refundable FSF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Deposit in immediately available funds in the aggregate principal amount of $10 million on June 18, 2024 (the “Deposit Date”), which amount will be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creditable towards the $85 million required to be funded by FSF at the Initial Closing. On the Deposit Date, we issued to FSF the Deposit Warrant to</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purchase up to an aggregate of 3,250,000 shares of Common Stock (subject to adjustment for certain stock dividends, stock splits, or similar</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transaction), with an exercise price of $1.20 per share. The terms of the Deposit Warrant were not subject to adjustment as a result of the Reverse Stock</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Split. Subject to certain ownership limitations, the Deposit Warrant is immediately exercisable and will expire five years from the date of issuance.</w:t>
      </w:r>
    </w:p>
    <w:p>
      <w:pPr>
        <w:spacing w:after="0" w:line="139"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connection with the transactions contemplated by the Commitment Letter, we also entered into a letter agreement with FSF and FSF’s strategic consultant, IVI, dated July 16, 2024, pursuant to which we agreed to reimburse the actual, reasonable and documented consulting fees incurred by FSF in connection with the preparation, negotiation and execution of the Commitment Letter and the definitive documents with respect to the transactions contemplated thereby, which fees were satisfied in full by us issuing to IVI a warrant to purchase up to an aggregate of 250,000 shares (on a pre-Reverse Stock Split basis) of Common Stock (the “Fee Warrant”) on July 16, 2024, with an exercise price of $1.20 per share (on a pre-Reverse Stock Split basis). In October 2024, the Fee Warrant was exercised by IVI.</w:t>
      </w:r>
    </w:p>
    <w:p>
      <w:pPr>
        <w:spacing w:after="0" w:line="125" w:lineRule="exact"/>
        <w:rPr>
          <w:sz w:val="20"/>
          <w:szCs w:val="20"/>
          <w:color w:val="auto"/>
        </w:rPr>
      </w:pPr>
    </w:p>
    <w:p>
      <w:pPr>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The shares of Common Stock issuable upon exercise of the Deposit Warrant and the Fee Warrant were offered and sold by us in a private placement and were subsequently registered for resale on our registration statement on Form S-3 (the “Perigrove Form S-3 Registration Statement”) (which was initially filed with the SEC on July 18, 2024, and was declared effective on July 25, 2024 (File No. 333-280882)).</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On September 17, 2024, we entered into the Satisfaction Agreement with FSF and Endeavor, pursuant to which the remaining obligations in respect of the FSF Deposit shall be fully satisfied by our delivery of 28,000 cartons of ZTlido to Endeavor (the “Additional Product”), which delivery shall occur no later than December 31, 2024. Upon satisfaction of such remaining obligations, the Commitment Letter shall be terminated and of no further force or effect and neither FSF nor we shall have any further liability or obligations thereunder. In consideration of Endeavor assuming our payment obligation in respect of the FSF Deposit, Endeavor will not be responsible for making any payment to us for (i) the product already delivered as of the date of such agreement in an amount of approximately $13.2 million and (ii) the Additional Product. In November 2024, we delivered the Additional Product to Endeavor and fully satisfied the remaining obligations in respect of the FSF Deposit.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Tranche B Notes</w:t>
      </w:r>
    </w:p>
    <w:p>
      <w:pPr>
        <w:spacing w:after="0" w:line="80"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On October 7, 2024, we entered into the Tranche B Securities Purchase Agreement with the Tranche B Noteholders, to refinance a portion of the Oramed Note and pay off certain other indebtedness. Pursuant to the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126</w:t>
      </w:r>
    </w:p>
    <w:p>
      <w:pPr>
        <w:sectPr>
          <w:pgSz w:w="11900" w:h="16838" w:orient="portrait"/>
          <w:cols w:equalWidth="0" w:num="1">
            <w:col w:w="10159"/>
          </w:cols>
          <w:pgMar w:left="300" w:top="368"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19"/>
        <w:spacing w:after="0" w:line="260" w:lineRule="auto"/>
        <w:rPr>
          <w:sz w:val="20"/>
          <w:szCs w:val="20"/>
          <w:color w:val="auto"/>
        </w:rPr>
      </w:pPr>
      <w:r>
        <w:rPr>
          <w:rFonts w:ascii="Times New Roman" w:cs="Times New Roman" w:eastAsia="Times New Roman" w:hAnsi="Times New Roman"/>
          <w:sz w:val="12"/>
          <w:szCs w:val="12"/>
          <w:color w:val="auto"/>
        </w:rPr>
        <w:t>Tranche B Securities Purchase Agreement, we agreed to issue and sell, in a registered offering directly to the Tranche B Noteholders: (i) the Tranche B Notes in the aggregate principal amount of $50.0 million, which notes will mature on the two-year anniversary of the issuance date and are convertible into shares of our Common Stock at a current conversion price equal to $36.40 per share and (ii) warrants (the “October 2024 Noteholder Warrants”) to purchase up to 214,284 shares of our Common Stock directly to the Tranche B Noteholders.</w:t>
      </w:r>
    </w:p>
    <w:p>
      <w:pPr>
        <w:spacing w:after="0" w:line="122" w:lineRule="exact"/>
        <w:rPr>
          <w:sz w:val="20"/>
          <w:szCs w:val="20"/>
          <w:color w:val="auto"/>
        </w:rPr>
      </w:pPr>
    </w:p>
    <w:p>
      <w:pPr>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We received in exchange for the issuance of the Tranche B Notes to the Tranche B Investors an aggregate amount in cash of $22,500,000, excluding fees and expenses payable by us. We received from Oramed in consideration for the Tranche B Notes issued to Oramed an exchange and reduction of the principal balance under the Oramed Note of $22,500,000.</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October 2024 Noteholder Warrants are immediately exercisable for cash at a current exercise price equal to $36.40 per share of Common Stock and will expire five years from the issuance date. The October 2024 Noteholder Warrants issued to the Tranche B Investors are initially exercisable for 107,142 shares of Common Stock in the aggregate. The October 2024 Noteholder Warrants issued to Oramed are initially exercisable for 107,142 shares of Common Stock.</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Pursuant to the terms and conditions contained in the Tranche B Securities Purchase Agreement, we also agreed to reimburse the Tranche B Investors for all reasonable costs and expenses incurred by it or its affiliates in connection with the Tranche B Securities Purchase Agreement, the Tranche B Notes, the October 2024 Noteholder Warrants, the ZTlido Royalty Purchase Agreement (as defined below) and certain other transaction documents, and an aggregate amount of $950,000 non-accountable legal fees of outside counsel and special finance and collateral counsel, which shall be withheld by the Tranche B Investors from its purchase price at the closing of the transaction, less $20,000 previously paid by us. We shall also be responsible for the payment of a $2,000,000 fee to the placement agent in addition to the payment of any placement agent’s reasonable fees, financial advisory fees relating to or arising out of the transactions contemplated by the Tranche B Securities Purchase Agreement. In addition, in conjunction with and pursuant to the letter agreement we entered into with Oramed, dated as of October 2, 2025 (the “Tranche B Letter Agreement”), we are also responsible for the payment of legal fees of outside counsel for Oramed relating to or arising out of the transactions contemplated hereby and the payment date extensions described under the Tranche B Letter Agreement. We shall also be responsible for the payment of any fees of the Agent and the legal fees incurred thereby relating to or arising out of the transactions contemplated by the Tranche B Securities Purchase Agreement.</w:t>
      </w:r>
    </w:p>
    <w:p>
      <w:pPr>
        <w:spacing w:after="0" w:line="128" w:lineRule="exact"/>
        <w:rPr>
          <w:sz w:val="20"/>
          <w:szCs w:val="20"/>
          <w:color w:val="auto"/>
        </w:rPr>
      </w:pPr>
    </w:p>
    <w:p>
      <w:pPr>
        <w:ind w:left="1980" w:right="979" w:firstLine="294"/>
        <w:spacing w:after="0" w:line="280" w:lineRule="auto"/>
        <w:rPr>
          <w:sz w:val="20"/>
          <w:szCs w:val="20"/>
          <w:color w:val="auto"/>
        </w:rPr>
      </w:pPr>
      <w:r>
        <w:rPr>
          <w:rFonts w:ascii="Times New Roman" w:cs="Times New Roman" w:eastAsia="Times New Roman" w:hAnsi="Times New Roman"/>
          <w:sz w:val="11"/>
          <w:szCs w:val="11"/>
          <w:color w:val="auto"/>
        </w:rPr>
        <w:t>In connection with the offering of the Tranche B Notes, we issued to the Placement Agents or their respective designees, (i) 62,794 shares of Common Stock (the “Placement Agent Shares”) and (ii) Placement Agent Warrants to purchase up to 104,848 shares of Common Stock (the “October 2024 Placement Agent Warrants”). The Placement Agent Shares were subject to a 120-day lock-up, which is now expired. In addition, during such</w:t>
      </w: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120-day period, the Placement Agents (whether directly or indirectly through their respective affiliates) shall be prohibited from hedging, pledging or similar transactions and from short-selling our securities, subject to certain exceptions. The October 2024 Placement Agent Warrants will have the same terms as the October 2024 Noteholder Warrants, except that the Placement Agents have agreed not to exercise the October 2024 Placement Agent Warrants for a period of 180 days following the date of issuance.</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December 2024 Registered Direct Offering</w:t>
      </w:r>
    </w:p>
    <w:p>
      <w:pPr>
        <w:spacing w:after="0" w:line="80"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On December 11, 2024, we entered into a securities purchase agreement (the “December 2024 RDO Purchase Agreement”) with the investors named therein, pursuant to which we agreed to sell and issue, in a registered direct offering (the “December 2024 RDO”): (i) an aggregate of 753,009 shares of Common Stock, (ii) pre-funded warrants to purchase up to 68,604 shares of Common Stock (the “December 2024 RDO Pre-Funded Warrants”) and (iii) common warrants to purchase up to 1,642,871 shares of Common Stock (the “December 2024 RDO Common Warrants” and together with the December 2024 RDO Pre-Funded Warrants and the warrants issued to StockBlock pursuant to certain contractual obligations between us and StockBlock,</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127</w:t>
      </w:r>
    </w:p>
    <w:p>
      <w:pPr>
        <w:sectPr>
          <w:pgSz w:w="11900" w:h="16838" w:orient="portrait"/>
          <w:cols w:equalWidth="0" w:num="1">
            <w:col w:w="10159"/>
          </w:cols>
          <w:pgMar w:left="300" w:top="368"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with an exercise price of $25.81 per share (the “StockBlock Warrants”), the “December 2024 RDO Warrants”). The combined offering price (a) per share of Common Stock and accompanying December 2024 RDO Common Warrants was $20.65 and (b) per December 2024 RDO Pre-Funded Warrant and accompanying December 2024 RDO Common Warrants was $20.6499. We received approximately $17.0 million in gross proceeds from the December 2024 RDO, before deducting offering fees and expenses. We intend to use the net proceeds from the December 2024 RDO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Amendment to Common Stock Purchase Warrant</w:t>
      </w:r>
    </w:p>
    <w:p>
      <w:pPr>
        <w:spacing w:after="0" w:line="80"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On December 11, 2024, we entered into a warrant amendment (the “Warrant Amendment”) with one of the investors to exercise the outstanding amount of certain warrants that we issued to such investor in the February 2024 BDO on March 5, 2024. Pursuant to the Warrant Amendment, the investor agreed to exercise outstanding warrants to purchase an aggregate of 50,421 shares of Common Stock in cash at an amended exercise price of $20.65 per share. The gross proceeds to us from such exercise was approximately $1.0 million.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Future Liquidity Needs</w:t>
      </w:r>
    </w:p>
    <w:p>
      <w:pPr>
        <w:spacing w:after="0" w:line="82" w:lineRule="exact"/>
        <w:rPr>
          <w:sz w:val="20"/>
          <w:szCs w:val="20"/>
          <w:color w:val="auto"/>
        </w:rPr>
      </w:pPr>
    </w:p>
    <w:p>
      <w:pPr>
        <w:jc w:val="both"/>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spacing w:after="0" w:line="56" w:lineRule="exact"/>
        <w:rPr>
          <w:sz w:val="20"/>
          <w:szCs w:val="20"/>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expenses associated with our ongoing commercialization efforts for ZTlido, GLOPERBA and ELYXYB;</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degree of success we experience in commercializing ZTlido, GLOPERBA and ELYXYB;</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revenue generated by sales of ZTlido, GLOPERBA, ELYXYB and other products that may be approved, if 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and costs of conducting studies and clinical trials for our product candidates, SEMDEXA, SP-103 and SP-104;</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and the costs involved in, obtaining regulatory approvals for our product candidates;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manufacturing ZTlido, GLOPERBA, ELYXYB and our product candidates;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79" w:lineRule="auto"/>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amount of any milestone, royalty or other payments we are required to make pursuant to any current or future collaboration or license agreements;</w:t>
      </w:r>
    </w:p>
    <w:p>
      <w:pPr>
        <w:spacing w:after="0" w:line="48"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48"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ZTlido, GLOPERBA, ELYXYB or any of our product candidates, if approved for commercialization, is adopted by the physician community;</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expand our research and development activities;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acquiring, licensing or investing in businesses, product candidates and technologies;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competing products and product candidates and other market developments;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types of future products we develop and commercialize;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product liability or other lawsuits related to our products;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128</w:t>
      </w:r>
    </w:p>
    <w:p>
      <w:pPr>
        <w:sectPr>
          <w:pgSz w:w="11900" w:h="16838" w:orient="portrait"/>
          <w:cols w:equalWidth="0" w:num="1">
            <w:col w:w="10159"/>
          </w:cols>
          <w:pgMar w:left="300" w:top="368"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expenses needed to attract, hire and retain skilled personnel;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associated with being a public company;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need to implement additional internal systems and infrastructure, including financial and reporting systems;</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preparing, filing and prosecuting patent applications and maintaining, enforcing and defending intellectual property-related claims;</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related to servicing of our debt;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and scope of our general and administrative expenses.</w:t>
      </w:r>
    </w:p>
    <w:p>
      <w:pPr>
        <w:spacing w:after="0" w:line="150"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Should our sales of ZTlido, GLOPERBA, ELYXYB and other product candidates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and debt financings and license agreements.</w:t>
      </w:r>
    </w:p>
    <w:p>
      <w:pPr>
        <w:spacing w:after="0" w:line="12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In addition to the liquidity provided by revenue generating products and the issuance of the Common Stock under the ATM Sales Agreement, the February 2024 BDO Underwriting Agreement, the April 2024 RDO Purchase Agreement, the Tranche B Securities Purchase Agreement and the December 2024 RDO Purchase Agreement, as of March 31, 2025, we will receive up to an aggregate of approximately $80.0 million from the exercise of the private placement warrants to purchase Common Stock (the “Private Warrants”) and public warrants to purchase Common Stock (the “Public Warrants”, and together with the Private Warrants, the “SPAC Warrants”) (at an exercise price of $402.50 per whole share of Common Stock), assuming the exercise in full of all of the SPAC Warrants for cash, but will not receive any proceeds from the sale of the shares of our Common Stock issuable upon such exercise. However, our ability to generate proceeds will depend on the market price of our Common Stock. If the price of our Common Stock remains below $402.50 per whole share, we believe warrant holders will be unlikely to cash exercise their SPAC Warrants, resulting in little or no cash proceeds to us. To the extent any of the February 2024 BDO Firm Warrants, February 2024 BDO Representative Warrants, April 2024 RDO Common Warrants, April 2024 RDO Placement Agent Warrants, Deposit Warrant, October 2024 Noteholder Warrants, October 2024 Placement Agent Warrants, December 2024 RDO Common Warrants and StockBlock Warrants is exercised, we will receive additional proceeds.</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We can give no assurances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or as we have done pursuant to the Oramed Note and the Tranche B Notes, it could result in dilution to our existing stockholders or increased fixed payment obligations. In addition, as a condition to providing additional funds to us, future investors may demand, and may be granted, rights superior to those of existing stockholders. If we incur additional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ZTlido, GLOPERBA, ELYXYB, or our product candidates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reduce the scope of the commercialization of ZTlido, GLOPERBA or ELYXYB or delay, scale back or discontinue the development of one or more of our product candidates.</w:t>
      </w:r>
    </w:p>
    <w:p>
      <w:pPr>
        <w:spacing w:after="0" w:line="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129</w:t>
      </w:r>
    </w:p>
    <w:p>
      <w:pPr>
        <w:sectPr>
          <w:pgSz w:w="11900" w:h="16838" w:orient="portrait"/>
          <w:cols w:equalWidth="0" w:num="1">
            <w:col w:w="10159"/>
          </w:cols>
          <w:pgMar w:left="300" w:top="368"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firstLine="294"/>
        <w:spacing w:after="0" w:line="291" w:lineRule="auto"/>
        <w:rPr>
          <w:sz w:val="20"/>
          <w:szCs w:val="20"/>
          <w:color w:val="auto"/>
        </w:rPr>
      </w:pPr>
      <w:r>
        <w:rPr>
          <w:rFonts w:ascii="Times New Roman" w:cs="Times New Roman" w:eastAsia="Times New Roman" w:hAnsi="Times New Roman"/>
          <w:sz w:val="11"/>
          <w:szCs w:val="11"/>
          <w:color w:val="auto"/>
        </w:rPr>
        <w:t>We may also need to take certain other actions to allow us to maintain our projected cash and projected financial position including but not limited to, additional reductions in general and administrative costs, sales and marketing costs, suspension or winding down of clinical development programs for SP-102, SP-103 and SP-104 and other discretionary costs. Although we believe such plans, if executed and coupled with the above described sources of liquidity, should provide us with financing to meet our needs, successful completion of such plans is dependent on factors outside of our control.</w:t>
      </w:r>
    </w:p>
    <w:p>
      <w:pPr>
        <w:spacing w:after="0" w:line="107"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anticipate that we will continue to incur net losses into the foreseeable future as we support our clinical development to expand approved indications, continue our development of, and seek regulatory approvals for, our product candidates, and expand our corporate infrastructure. As a result, we have concluded that there is substantial doubt about our ability to continue as a going concern within one year after the date that the consolidated financial statements are issued. See Note 2 titled “</w:t>
      </w:r>
      <w:r>
        <w:rPr>
          <w:rFonts w:ascii="Times New Roman" w:cs="Times New Roman" w:eastAsia="Times New Roman" w:hAnsi="Times New Roman"/>
          <w:sz w:val="12"/>
          <w:szCs w:val="12"/>
          <w:i w:val="1"/>
          <w:iCs w:val="1"/>
          <w:color w:val="auto"/>
        </w:rPr>
        <w:t>Liquidity and Going Concern</w:t>
      </w:r>
      <w:r>
        <w:rPr>
          <w:rFonts w:ascii="Times New Roman" w:cs="Times New Roman" w:eastAsia="Times New Roman" w:hAnsi="Times New Roman"/>
          <w:sz w:val="12"/>
          <w:szCs w:val="12"/>
          <w:color w:val="auto"/>
        </w:rPr>
        <w:t>” to our consolidated financial statements included elsewhere in this prospectus for additional information. Our existing cash and cash equivalents may be insufficient to enable us to fund our operating expenses, capital expenditure requirements, and to service our debt obligations (whether under the Oramed Note, the Tranche B Notes or otherwise) for at least the next 12 months. If these sources are insufficient to satisfy our liquidity requirements, we may seek to raise additional funds through equity offerings, debt financings, collaborations, government contracts or other strategic transactions.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summarizes our cash flows for each of the periods presented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r>
      <w:tr>
        <w:trPr>
          <w:trHeight w:val="88"/>
        </w:trPr>
        <w:tc>
          <w:tcPr>
            <w:tcW w:w="4220" w:type="dxa"/>
            <w:vAlign w:val="bottom"/>
          </w:tcPr>
          <w:p>
            <w:pPr>
              <w:spacing w:after="0"/>
              <w:rPr>
                <w:sz w:val="7"/>
                <w:szCs w:val="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720" w:type="dxa"/>
            <w:vAlign w:val="bottom"/>
            <w:tcBorders>
              <w:top w:val="single" w:sz="8" w:color="auto"/>
            </w:tcBorders>
            <w:gridSpan w:val="2"/>
          </w:tcPr>
          <w:p>
            <w:pPr>
              <w:jc w:val="right"/>
              <w:ind w:right="460"/>
              <w:spacing w:after="0" w:line="88" w:lineRule="exact"/>
              <w:rPr>
                <w:sz w:val="20"/>
                <w:szCs w:val="20"/>
                <w:color w:val="auto"/>
              </w:rPr>
            </w:pPr>
            <w:r>
              <w:rPr>
                <w:rFonts w:ascii="Times New Roman" w:cs="Times New Roman" w:eastAsia="Times New Roman" w:hAnsi="Times New Roman"/>
                <w:sz w:val="10"/>
                <w:szCs w:val="10"/>
                <w:b w:val="1"/>
                <w:bCs w:val="1"/>
                <w:color w:val="auto"/>
                <w:w w:val="79"/>
              </w:rPr>
              <w:t>2024 </w:t>
            </w:r>
          </w:p>
        </w:tc>
        <w:tc>
          <w:tcPr>
            <w:tcW w:w="10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8"/>
                <w:szCs w:val="8"/>
                <w:b w:val="1"/>
                <w:bCs w:val="1"/>
                <w:color w:val="auto"/>
                <w:w w:val="74"/>
              </w:rPr>
              <w:t> </w:t>
            </w:r>
          </w:p>
        </w:tc>
        <w:tc>
          <w:tcPr>
            <w:tcW w:w="380" w:type="dxa"/>
            <w:vAlign w:val="bottom"/>
            <w:tcBorders>
              <w:top w:val="single" w:sz="8" w:color="auto"/>
            </w:tcBorders>
          </w:tcPr>
          <w:p>
            <w:pPr>
              <w:jc w:val="right"/>
              <w:ind w:right="62"/>
              <w:spacing w:after="0" w:line="88" w:lineRule="exact"/>
              <w:rPr>
                <w:sz w:val="20"/>
                <w:szCs w:val="20"/>
                <w:color w:val="auto"/>
              </w:rPr>
            </w:pPr>
            <w:r>
              <w:rPr>
                <w:rFonts w:ascii="Times New Roman" w:cs="Times New Roman" w:eastAsia="Times New Roman" w:hAnsi="Times New Roman"/>
                <w:sz w:val="10"/>
                <w:szCs w:val="10"/>
                <w:b w:val="1"/>
                <w:bCs w:val="1"/>
                <w:color w:val="auto"/>
                <w:w w:val="79"/>
              </w:rPr>
              <w:t>2023 </w:t>
            </w:r>
          </w:p>
        </w:tc>
        <w:tc>
          <w:tcPr>
            <w:tcW w:w="80" w:type="dxa"/>
            <w:vAlign w:val="bottom"/>
          </w:tcPr>
          <w:p>
            <w:pPr>
              <w:spacing w:after="0"/>
              <w:rPr>
                <w:sz w:val="7"/>
                <w:szCs w:val="7"/>
                <w:color w:val="auto"/>
              </w:rPr>
            </w:pPr>
          </w:p>
        </w:tc>
      </w:tr>
      <w:tr>
        <w:trPr>
          <w:trHeight w:val="124"/>
        </w:trPr>
        <w:tc>
          <w:tcPr>
            <w:tcW w:w="42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Cash Flow Data:</w:t>
            </w: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Net cash proceeds from (used for) operating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19,349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(20,707)</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(2,675)</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(330)</w:t>
            </w: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for) proceeds from financing activities</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w w:val="97"/>
              </w:rPr>
              <w:t>(18,131)</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23,582</w:t>
            </w:r>
          </w:p>
        </w:tc>
      </w:tr>
      <w:tr>
        <w:trPr>
          <w:trHeight w:val="20"/>
        </w:trPr>
        <w:tc>
          <w:tcPr>
            <w:tcW w:w="4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(1,457)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2,545</w:t>
            </w:r>
          </w:p>
        </w:tc>
      </w:tr>
      <w:tr>
        <w:trPr>
          <w:trHeight w:val="27"/>
        </w:trPr>
        <w:tc>
          <w:tcPr>
            <w:tcW w:w="4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Cash Flows from Operating Activities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For the year ended December 31, 2024, net cash proceeds from operating activities was approximately $19.3 million, attributable to non-cash reconciling items of $27.3 million related to allocated expense for financial instruments at fair value, stock-based compensation, change in fair value of debt and liability instruments, allowances for expected credit losses, depreciation and amortization, non-cash operating lease cost and gain on derivative liabilities, and changes in operating assets and liabilities that provided $64.8 million of cash, partially offset by our net loss of $72.8 million.</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2023, net cash used for operating activities was approximately $20.7 million, attributable to our net loss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$114.3 million, partially offset by other non-cash reconciling items of $27.9 million related to loss on derivative liabilities, stock-based compensation,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change in fair value of debt and liability instruments, depreciation and amortization and non-cash operating lease cost, and changes in operating assets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liabilities that provided $65.7 million of cash.</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Cash Flows from Investing Activities</w:t>
      </w:r>
    </w:p>
    <w:p>
      <w:pPr>
        <w:spacing w:after="0" w:line="154"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2024, net cash used for investing activities was approximately $2.7 million and was related to $0.6 million payments of deferred consideration for Romeg intangible asset</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130</w:t>
      </w:r>
    </w:p>
    <w:p>
      <w:pPr>
        <w:sectPr>
          <w:pgSz w:w="11900" w:h="16838" w:orient="portrait"/>
          <w:cols w:equalWidth="0" w:num="1">
            <w:col w:w="10159"/>
          </w:cols>
          <w:pgMar w:left="300" w:top="368"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acquisition under the Romeg License Agreement, $2.0 million purchase of the Class B ordinary shares of Denali and $0.1 million purchase of a convertible promissory note from Denali (see Note 5 titled “</w:t>
      </w:r>
      <w:r>
        <w:rPr>
          <w:rFonts w:ascii="Times New Roman" w:cs="Times New Roman" w:eastAsia="Times New Roman" w:hAnsi="Times New Roman"/>
          <w:sz w:val="12"/>
          <w:szCs w:val="12"/>
          <w:i w:val="1"/>
          <w:iCs w:val="1"/>
          <w:color w:val="auto"/>
        </w:rPr>
        <w:t>Balance Sheet Components</w:t>
      </w:r>
      <w:r>
        <w:rPr>
          <w:rFonts w:ascii="Times New Roman" w:cs="Times New Roman" w:eastAsia="Times New Roman" w:hAnsi="Times New Roman"/>
          <w:sz w:val="12"/>
          <w:szCs w:val="12"/>
          <w:color w:val="auto"/>
        </w:rPr>
        <w:t>” to our consolidated financial statements included elsewhere in this prospectus for additional information).</w:t>
      </w:r>
    </w:p>
    <w:p>
      <w:pPr>
        <w:spacing w:after="0" w:line="119"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2023, net cash used for investing activities was approximately $0.3 million, related to payments of deferred consideration for Romeg intangible asset acquisition and $30.0 thousand attributed to cash paid for property and equipment purchases.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Cash Flows from Financing Activities</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For the year ended December 31, 2024, net cash used for financing activities was approximately $18.1 million and is primarily related to the repayment of an aggregate of $184.6 million of borrowings under the Revolving Facility, the Oramed Note, the Convertible Debentures and the Tranche B Notes, the payment of an aggregate of $4.4 million of transaction costs related to the February 2024 BDO, the April 2024 RDO and the December 2024 RDO, the payment of an aggregate of $4.2 million of transaction cost related to the Tranche B Notes and the ZTlido Royalty Purchase Agreement, a $1.4 million payment of deferred transaction costs related to the Semnur Business Combination, a $0.5 million payment of excise tax on stock repurchases, and a payment of $0.3 million cash in consideration of the repurchase of a certain portion of the SPAC Warrants, partially offset by $95.5 million in gross proceeds from the Revolving Facility, an aggregate of $42.0 million in gross proceeds from the issuance of shares under the February 2024 BDO, April 2024 RDO, December 2024 RDO and the exercise of the February 2024 BDO Firm Warrants, an aggregate of $25.0 million in gross proceeds from issuance of Tranche B Notes and ZTlido Royalty Purchase Agreement, $10.0 million in proceeds from receiving the FSF Deposit, an aggregate of $2.7 million in proceeds from the Standby Equity Purchase Agreements and the ATM Sales Agreement and an aggregate of $2.1 million in proceeds from the exercise of stock options and warrants and purchases under the ESPP.</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For the year ended December 31, 2023, net cash provided by financing activities was approximately $23.6 million and is primarily related to</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$86.4 million in gross proceeds from the Revolving Facility between Scilex Pharma and eCapital Healthcare Corp., $35.5 million in proceeds from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Standby Equity Purchase Agreements, $24.0 million in proceeds from the Convertible Debentures and $1.1 million in proceeds from the exercise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stock options and warrants, partially offset by $89.6 million repayment of the borrowings under the Revolving Facility, Convertible Debentures,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Oramed Note, $20.0 million capital distribution to Sorrento, $10.0 million cash consideration paid for the securities purchased by the Company from</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Sorrento under the Sorrento SPA, $2.0 million payment of the transaction costs related to the Scilex-Oramed SPA and the Sorrento SPA and $1.8 million</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payment of the transaction costs related to the Business Combination and debt issuance costs.</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This management’s discussion and analysis of our financial condition and results of operations are based upon our consolidated financial statements which are prepared in accordance with the accounting principles generally accepted in the United States of America (“U.S. GAAP”). The preparation of these consolidated financial statements requires us to make estimates and judgments that affect the reported amounts of assets and liabilities and the reported amounts of revenue and expenses during the reporting period. We continually evaluate our estimates and judgments and base them on historical experience and other factors that we believe to be reasonable under the circumstances. Materially different results can occur as circumstances change and additional information becomes known.</w:t>
      </w:r>
    </w:p>
    <w:p>
      <w:pPr>
        <w:spacing w:after="0" w:line="125"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2"/>
          <w:szCs w:val="12"/>
          <w:color w:val="auto"/>
        </w:rPr>
        <w:t>We believe the following accounting policies and estimates are most critical to aid in understanding and evaluating our reported financial results.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131</w:t>
      </w:r>
    </w:p>
    <w:p>
      <w:pPr>
        <w:sectPr>
          <w:pgSz w:w="11900" w:h="16838" w:orient="portrait"/>
          <w:cols w:equalWidth="0" w:num="1">
            <w:col w:w="10159"/>
          </w:cols>
          <w:pgMar w:left="300" w:top="368"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Our revenue to date has been generated from product sales of ZTlido, ELYXYB and GLOPERBA in the United States. We do not have significant costs associated with obtaining contracts with our customers.</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We recognize revenue when control of the products is transferred to the customers in an amount that reflects the consideration we expect to receive from the customers in exchange for those products. In accordance with FASB ASC Topic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this process involves identifying the contract with a customer, determining the performance obligations in the contract and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We consider a performance obligation satisfied once we have transferred control of a good or service to the customer, meaning the customer has the ability to use and obtain the benefit of the good or service. We recognize revenue for satisfied performance obligations only when we determine there are no uncertainties regarding payment terms or transfer of control.</w:t>
      </w:r>
    </w:p>
    <w:p>
      <w:pPr>
        <w:spacing w:after="0" w:line="126"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Our performance obligations with respect to sales of ZTlido, ELYXYB and GLOPERBA are satisfied at a certain point in time, and we consider control to have transferred upon delivery to the customer, because, upon delivery, the customer has legal title to the asset, physical possession of the asset has been transferred to the customer, the customer has significant risks and rewards in connection with ownership of the asset, and we have a present right to payment from the customer at that time. Invoicing typically occurs upon shipment and the length of time between invoicing and the date on which payment is due is not significant.</w:t>
      </w:r>
    </w:p>
    <w:p>
      <w:pPr>
        <w:spacing w:after="0" w:line="125"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Revenues from product sales are recorded net of reserves established for commercial and government rebates, fees, and chargebacks, wholesaler and distributor fees, sales returns and prompt payment discounts. Such variable consideration is estimated in the period of the sale and is estimated using a most likely amount approach based primarily upon provisions included in our customer contracts, customary industry practices and current government regulations.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Rebates and Chargebacks</w:t>
      </w:r>
    </w:p>
    <w:p>
      <w:pPr>
        <w:spacing w:after="0" w:line="80"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Rebates are discounts that we pay under either government or private health care programs. Government rebate programs include state Medicaid drug rebate programs, the Medicare coverage gap discount programs and the Tricare programs. Commercial rebate and fee programs relate to contractual agreements with commercial healthcare providers, under which we pay rebates and fees for access to and position on that provider’s patient drug formulary. Rebates and chargebacks paid under government programs are generally mandated under law, whereas private rebates and fees are generally contractually negotiated with commercial healthcare providers. Both types of rebates vary over time. We record a reduction to gross product sales at the time the customer takes title to the product based on estimates of expected rebate claims. We monitor the sales trends and adjust for these rebates on a regular basis to reflect the most recent rebate experience and contractual obligations. Reserves for rebates and chargebacks are recorded as accrued rebates and fees under current liabilities within the Company’s consolidated balance sheets.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Prompt Payment Discounts</w:t>
      </w:r>
    </w:p>
    <w:p>
      <w:pPr>
        <w:spacing w:after="0" w:line="80"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provide our customers with prompt payment discounts which may result in adjustments to the price that is invoiced for the product transferred, in the case that payments are made within a defined period. The prompt payment discount reserve is based on actual gross sales and contractual discount rates. Reserves for prompt payment discounts are included in accounts receivable, net on the consolidated balance sheets.</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132</w:t>
      </w:r>
    </w:p>
    <w:p>
      <w:pPr>
        <w:sectPr>
          <w:pgSz w:w="11900" w:h="16838" w:orient="portrait"/>
          <w:cols w:equalWidth="0" w:num="1">
            <w:col w:w="10159"/>
          </w:cols>
          <w:pgMar w:left="300" w:top="368" w:right="1440"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Service Fees</w:t>
      </w:r>
    </w:p>
    <w:p>
      <w:pPr>
        <w:spacing w:after="0" w:line="80"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We compensate our customers and others in the distribution chain for wholesaler and distribution services. The Company has determined such services received are not distinct from our sale of products to the customers, and therefore, these payments have been recorded as a reduction of revenue. Service fees are presented as accrued rebates and fees under current liabilities within the Company’s consolidated balance sheets.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Product Returns</w:t>
      </w:r>
    </w:p>
    <w:p>
      <w:pPr>
        <w:spacing w:after="0" w:line="80"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We are obligated to accept the return of products sold that are damaged or do not meet certain specifications. We currently estimate our product returns using historical trends and product return rates typically experienced in the industry and record this estimate as a reduction of revenue in the period the related product revenue is recognized. Product returns are presented as accrued rebates and fees under current liabilities within the Company’s consolidated balance sheets.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Co-payment Assistance</w:t>
      </w:r>
    </w:p>
    <w:p>
      <w:pPr>
        <w:spacing w:after="0" w:line="80" w:lineRule="exact"/>
        <w:rPr>
          <w:sz w:val="20"/>
          <w:szCs w:val="20"/>
          <w:color w:val="auto"/>
        </w:rPr>
      </w:pPr>
    </w:p>
    <w:p>
      <w:pPr>
        <w:ind w:left="1980" w:right="899" w:firstLine="294"/>
        <w:spacing w:after="0" w:line="300" w:lineRule="auto"/>
        <w:rPr>
          <w:sz w:val="20"/>
          <w:szCs w:val="20"/>
          <w:color w:val="auto"/>
        </w:rPr>
      </w:pPr>
      <w:r>
        <w:rPr>
          <w:rFonts w:ascii="Times New Roman" w:cs="Times New Roman" w:eastAsia="Times New Roman" w:hAnsi="Times New Roman"/>
          <w:sz w:val="11"/>
          <w:szCs w:val="11"/>
          <w:color w:val="auto"/>
        </w:rPr>
        <w:t>Patients who have commercial insurance or pay cash and meet certain eligibility requirements may receive co- payment assistance. We accrue for co-payment assistance based on actual program participation and estimates of program redemption using data provided by third-party administrators. Co-payment assistance is presented as accrued rebates and fees under current liabilities within the Company’s consolidated balance sheets.</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Derivative Liability</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Derivative liabilities are recorded on our consolidated balance sheets at their fair value on the date of issuance and are revalued on each balance sheet date until such instruments are exercised or expire, with changes in the fair value between reporting periods recorded as other income or expense. The warrant liability associated with the Private Warrants, the February 2024 BDO Firm Warrants, the April 2024 RDO Common Warrants, the Deposit Warrant, the October 2024 Noteholder Warrants and the December 2024 RDO Common Warrants was valued using the Black-Scholes option pricing model, which is considered to be Level 3 fair value measurement. The primary unobservable input utilized in determining the fair value of the warrants is the expected volatility of the Common Stock. The expected volatility assumption is a blend of our own stock volatility and historical volatilities of comparable companies whose share prices are publicly available as well as the implied volatility of the Public Warrants.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80" w:lineRule="exact"/>
        <w:rPr>
          <w:sz w:val="20"/>
          <w:szCs w:val="20"/>
          <w:color w:val="auto"/>
        </w:rPr>
      </w:pPr>
    </w:p>
    <w:p>
      <w:pPr>
        <w:ind w:left="1980" w:right="919" w:firstLine="294"/>
        <w:spacing w:after="0" w:line="292" w:lineRule="auto"/>
        <w:rPr>
          <w:sz w:val="20"/>
          <w:szCs w:val="20"/>
          <w:color w:val="auto"/>
        </w:rPr>
      </w:pPr>
      <w:r>
        <w:rPr>
          <w:rFonts w:ascii="Times New Roman" w:cs="Times New Roman" w:eastAsia="Times New Roman" w:hAnsi="Times New Roman"/>
          <w:sz w:val="11"/>
          <w:szCs w:val="11"/>
          <w:color w:val="auto"/>
        </w:rPr>
        <w:t>We account for stock-based compensation in accordance with FASB ASC Topic 718 “</w:t>
      </w:r>
      <w:r>
        <w:rPr>
          <w:rFonts w:ascii="Times New Roman" w:cs="Times New Roman" w:eastAsia="Times New Roman" w:hAnsi="Times New Roman"/>
          <w:sz w:val="11"/>
          <w:szCs w:val="11"/>
          <w:i w:val="1"/>
          <w:iCs w:val="1"/>
          <w:color w:val="auto"/>
        </w:rPr>
        <w:t>Compensation – Stock Compensation</w:t>
      </w:r>
      <w:r>
        <w:rPr>
          <w:rFonts w:ascii="Times New Roman" w:cs="Times New Roman" w:eastAsia="Times New Roman" w:hAnsi="Times New Roman"/>
          <w:sz w:val="11"/>
          <w:szCs w:val="11"/>
          <w:color w:val="auto"/>
        </w:rPr>
        <w:t>”, which establishes accounting for equity instruments exchanged for employee and consulting services. Under such provisions, stock-based compensation cost is measured at the grant date, based on the calculated fair value of the award, and is recognized as an expense, under the straight-line-method, over the employee’s requisite service period (generally the vesting period of the equity grant) or non-employee’s vesting period. We account for forfeitures as incurred.</w:t>
      </w:r>
    </w:p>
    <w:p>
      <w:pPr>
        <w:spacing w:after="0" w:line="106"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Then the Company determines an estimate of option volatility based on an assessment of historical volatilities of comparable companies whose share prices are publicly available. We use these estimates as variables in the Black-Scholes option pricing model. Depending upon the number of stock options granted, any fluctuations in these calculations could have a material effect on the results presented in our consolidated statements of operations and comprehensive loss.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133</w:t>
      </w:r>
    </w:p>
    <w:p>
      <w:pPr>
        <w:sectPr>
          <w:pgSz w:w="11900" w:h="16838" w:orient="portrait"/>
          <w:cols w:equalWidth="0" w:num="1">
            <w:col w:w="10159"/>
          </w:cols>
          <w:pgMar w:left="300" w:top="368"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Convertible Debentures, the Oramed Note, Tranche B Notes and Purchased Revenue Liability</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We elected the fair value option to account for the Convertible Debentures in an aggregate principal amount of up to $25.0 million that were issued in March and April 2023, the Oramed Note in the principal amount of $101.9 million that was issued in September 2023, Tranche B Notes in the principal amount of $50.0 million that were issued in October 2024 and purchased revenue liability pursuant to the ZTlido Royalty Purchase Agreement. The Convertible Debentures, the Oramed Note, the Tranche B Notes and the purchased revenue liability are discussed in Note 7 titled “</w:t>
      </w:r>
      <w:r>
        <w:rPr>
          <w:rFonts w:ascii="Times New Roman" w:cs="Times New Roman" w:eastAsia="Times New Roman" w:hAnsi="Times New Roman"/>
          <w:sz w:val="12"/>
          <w:szCs w:val="12"/>
          <w:i w:val="1"/>
          <w:iCs w:val="1"/>
          <w:color w:val="auto"/>
        </w:rPr>
        <w:t>Debt”</w:t>
      </w:r>
      <w:r>
        <w:rPr>
          <w:rFonts w:ascii="Times New Roman" w:cs="Times New Roman" w:eastAsia="Times New Roman" w:hAnsi="Times New Roman"/>
          <w:sz w:val="12"/>
          <w:szCs w:val="12"/>
          <w:color w:val="auto"/>
        </w:rPr>
        <w:t xml:space="preserve"> of the Notes to our consolidated financial statements included elsewhere in this prospectus. These instruments are measured at fair value on a recurring basis using Level 3 inputs. We employ the Binomial Lattice Model valuation technique to measure the fair value of the Convertible Debentures and Tranche B Notes, a Scenario-Based Method valuation technique to measure the fair value of the purchased revenue liability, and a discounted cash flow model to measure the fair value of the Oramed Note, respectively, with any changes in fair value recorded as change in fair value of debt and liability instruments in the consolidated statements of operations, except for changes due to instrument-specific credit risk, if any, which are recorded as a component of other comprehensive income. Interest expense related to these financial instruments is included in the changes in fair value.</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80" w:lineRule="exact"/>
        <w:rPr>
          <w:sz w:val="20"/>
          <w:szCs w:val="20"/>
          <w:color w:val="auto"/>
        </w:rPr>
      </w:pPr>
    </w:p>
    <w:p>
      <w:pPr>
        <w:ind w:left="1980" w:right="1039" w:firstLine="294"/>
        <w:spacing w:after="0" w:line="283" w:lineRule="auto"/>
        <w:rPr>
          <w:sz w:val="20"/>
          <w:szCs w:val="20"/>
          <w:color w:val="auto"/>
        </w:rPr>
      </w:pPr>
      <w:r>
        <w:rPr>
          <w:rFonts w:ascii="Times New Roman" w:cs="Times New Roman" w:eastAsia="Times New Roman" w:hAnsi="Times New Roman"/>
          <w:sz w:val="12"/>
          <w:szCs w:val="12"/>
          <w:color w:val="auto"/>
        </w:rPr>
        <w:t>See Note 1 titled “</w:t>
      </w:r>
      <w:r>
        <w:rPr>
          <w:rFonts w:ascii="Times New Roman" w:cs="Times New Roman" w:eastAsia="Times New Roman" w:hAnsi="Times New Roman"/>
          <w:sz w:val="12"/>
          <w:szCs w:val="12"/>
          <w:i w:val="1"/>
          <w:iCs w:val="1"/>
          <w:color w:val="auto"/>
        </w:rPr>
        <w:t>Nature of Operations and Basis of Presentation</w:t>
      </w:r>
      <w:r>
        <w:rPr>
          <w:rFonts w:ascii="Times New Roman" w:cs="Times New Roman" w:eastAsia="Times New Roman" w:hAnsi="Times New Roman"/>
          <w:sz w:val="12"/>
          <w:szCs w:val="12"/>
          <w:color w:val="auto"/>
        </w:rPr>
        <w:t>” of the Notes to our consolidated financial statements included elsewhere in this prospectus for a discussion of recent accounting pronouncements.</w:t>
      </w:r>
    </w:p>
    <w:p>
      <w:pPr>
        <w:spacing w:after="0" w:line="1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Emerging Growth Company</w:t>
      </w:r>
    </w:p>
    <w:p>
      <w:pPr>
        <w:spacing w:after="0" w:line="82"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1"/>
          <w:szCs w:val="11"/>
          <w:color w:val="auto"/>
        </w:rPr>
        <w:t>An “emerging growth company” as defined in Section 2(a) of the Securities Act, as modified by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Scilex’s business could significantly affect our business, financial condition and results of operations.</w:t>
      </w:r>
    </w:p>
    <w:p>
      <w:pPr>
        <w:spacing w:after="0" w:line="114"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w:t>
      </w:r>
    </w:p>
    <w:p>
      <w:pPr>
        <w:spacing w:after="0" w:line="59" w:lineRule="exact"/>
        <w:rPr>
          <w:sz w:val="20"/>
          <w:szCs w:val="20"/>
          <w:color w:val="auto"/>
        </w:rPr>
      </w:pPr>
    </w:p>
    <w:p>
      <w:pPr>
        <w:ind w:left="2620" w:right="899" w:hanging="288"/>
        <w:spacing w:after="0" w:line="279" w:lineRule="auto"/>
        <w:tabs>
          <w:tab w:leader="none" w:pos="26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exemption from compliance with the requirement to obtain an attestation and report from our auditors on the assessment of our internal control over financial reporting pursuant to the Sarbanes-Oxley Act;</w:t>
      </w:r>
    </w:p>
    <w:p>
      <w:pPr>
        <w:spacing w:after="0" w:line="48" w:lineRule="exact"/>
        <w:rPr>
          <w:rFonts w:ascii="Times New Roman" w:cs="Times New Roman" w:eastAsia="Times New Roman" w:hAnsi="Times New Roman"/>
          <w:sz w:val="12"/>
          <w:szCs w:val="12"/>
          <w:color w:val="auto"/>
        </w:rPr>
      </w:pPr>
    </w:p>
    <w:p>
      <w:pPr>
        <w:ind w:left="2620" w:right="1259" w:hanging="288"/>
        <w:spacing w:after="0" w:line="279" w:lineRule="auto"/>
        <w:tabs>
          <w:tab w:leader="none" w:pos="26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exemption from compliance with any new requirements adopted by the Public Company Accounting Oversight Board requiring mandatory audit firm rotation;</w:t>
      </w:r>
    </w:p>
    <w:p>
      <w:pPr>
        <w:spacing w:after="0" w:line="48" w:lineRule="exact"/>
        <w:rPr>
          <w:rFonts w:ascii="Times New Roman" w:cs="Times New Roman" w:eastAsia="Times New Roman" w:hAnsi="Times New Roman"/>
          <w:sz w:val="12"/>
          <w:szCs w:val="12"/>
          <w:color w:val="auto"/>
        </w:rPr>
      </w:pPr>
    </w:p>
    <w:p>
      <w:pPr>
        <w:ind w:left="2620" w:right="979" w:hanging="288"/>
        <w:spacing w:after="0" w:line="279" w:lineRule="auto"/>
        <w:tabs>
          <w:tab w:leader="none" w:pos="26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disclosure about our executive compensation arrangements in our periodic reports, proxy statements and registration statements; and</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134</w:t>
      </w:r>
    </w:p>
    <w:p>
      <w:pPr>
        <w:sectPr>
          <w:pgSz w:w="11900" w:h="16838" w:orient="portrait"/>
          <w:cols w:equalWidth="0" w:num="1">
            <w:col w:w="10159"/>
          </w:cols>
          <w:pgMar w:left="300" w:top="368"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exemptions from the requirements of holding non-binding advisory votes on executive compensation or golden parachute arrangements.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Scilex qualifies and will remain as an emerging growth company until the earlier of (i) the last day of the fiscal year (a) following the fifth anniversary of the closing of the IPO, (b) in which Scilex has total annual gross revenue of at least $1.235 billion, or (c) in which Scilex is deemed to be a large accelerated filer, which means the market value of the common equity of Scilex that is held by non-affiliates equals or exceeds $700 million as of the last business day of its most recently completed second fiscal quarter; and (ii) the date on which Scilex has issued more than $1.00 billion in non-convertible debt securities during the prior three-year period. References herein to “emerging growth company” have the meaning associated with it in the JOBS Act.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Smaller Reporting Company</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Smaller reporting companies may take advantage of certain reduced disclosure obligations, including, among other things, providing only two years of audited financial statements. Scilex qualifies and will remain a smaller reporting company until the last day of the fiscal year in which (i) Scilex has annual revenue of at least $100 million and a public float that equals or exceeds $700 million as of the last business day of its most recently completed second fiscal quarter or (ii) Scilex has a public float that equals or exceeds $250 million as of the last business day of its most recently completed second fiscal quarter.</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135</w:t>
      </w:r>
    </w:p>
    <w:p>
      <w:pPr>
        <w:sectPr>
          <w:pgSz w:w="11900" w:h="16838" w:orient="portrait"/>
          <w:cols w:equalWidth="0" w:num="1">
            <w:col w:w="10159"/>
          </w:cols>
          <w:pgMar w:left="300" w:top="368" w:right="1440"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The Company</w:t>
      </w:r>
    </w:p>
    <w:p>
      <w:pPr>
        <w:spacing w:after="0" w:line="82" w:lineRule="exact"/>
        <w:rPr>
          <w:sz w:val="20"/>
          <w:szCs w:val="20"/>
          <w:color w:val="auto"/>
        </w:rPr>
      </w:pPr>
    </w:p>
    <w:p>
      <w:pPr>
        <w:jc w:val="both"/>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We are an innovative revenue-generating company focused on acquiring, developing and commercializing non-opioid pain management products for the treatment of acute and chronic pain. We target indications with high unmet needs and large market opportunities with non-opioid therapies for the treatment of patients with acute and chronic pain and are dedicated to advancing and improving patient outcomes.</w:t>
      </w:r>
    </w:p>
    <w:p>
      <w:pPr>
        <w:spacing w:after="0" w:line="119" w:lineRule="exact"/>
        <w:rPr>
          <w:sz w:val="20"/>
          <w:szCs w:val="20"/>
          <w:color w:val="auto"/>
        </w:rPr>
      </w:pPr>
    </w:p>
    <w:p>
      <w:pPr>
        <w:ind w:left="1980" w:right="859" w:firstLine="294"/>
        <w:spacing w:after="0" w:line="218" w:lineRule="auto"/>
        <w:rPr>
          <w:sz w:val="20"/>
          <w:szCs w:val="20"/>
          <w:color w:val="auto"/>
        </w:rPr>
      </w:pPr>
      <w:r>
        <w:rPr>
          <w:rFonts w:ascii="Times New Roman" w:cs="Times New Roman" w:eastAsia="Times New Roman" w:hAnsi="Times New Roman"/>
          <w:sz w:val="12"/>
          <w:szCs w:val="12"/>
          <w:color w:val="auto"/>
        </w:rPr>
        <w:t>Our commercial products are: (i) ZTlido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(lidocaine topical system) 1.8%, a prescription lidocaine topical product approved by the FDA for the relief of neuropathic pain associated with PHN, which is a form of post-shingles nerve pain; (ii)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 potential first-line treatment and the only FDA-approved, ready-to-use oral solution for the acute treatment of migraine, with or without aura, in adults; and (iii)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the first and only liquid oral version of the anti-gout medicine colchicine indicated for the prophylaxis of painful gout flares in adults, which launched in June 2024. In addition, we have three product candidates: (i) SP-102 (10 mg, dexamethasone sodium phosphate viscous gel) (“SEMDEXA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 novel, viscous gel formulation of a widely used corticosteroid for epidural injections to treat lumbosacral radicular pain, or sciatica for which we have completed a Phase 3 study; (ii) SP-103, a next-generation, triple-strength formulation of ZTlido, for the treatment of acute pain and for which we have completed a Phase 2 trial in acute LBP; and (iii) SP-104, a novel low-dose delayed-release naltrexone hydrochloride being developed for the treatment of fibromyalgia, for which Phase 1 trials were completed. We believe our currently approved products and future product candidates, if approved by the FDA, could uniquely address what we believe are the significant unmet needs of the targeted populations and become the preferred treatment option for their respective indications.</w:t>
      </w:r>
    </w:p>
    <w:p>
      <w:pPr>
        <w:spacing w:after="0" w:line="140"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Scilex as the preeminent name in commercial non-opioid pain management, specifically targeting the unmet needs in both acute and chronic pain sectors with our innovative and leading therapies. We believe that we have not only responded to the global demand for safer, more effective pain relief solutions, but also made substantial progress in demonstrating the rapid onset and enhanced safety of our products.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Products</w:t>
      </w:r>
    </w:p>
    <w:p>
      <w:pPr>
        <w:spacing w:after="0" w:line="82" w:lineRule="exact"/>
        <w:rPr>
          <w:sz w:val="20"/>
          <w:szCs w:val="20"/>
          <w:color w:val="auto"/>
        </w:rPr>
      </w:pPr>
    </w:p>
    <w:p>
      <w:pPr>
        <w:ind w:left="1980" w:right="879" w:firstLine="294"/>
        <w:spacing w:after="0"/>
        <w:rPr>
          <w:sz w:val="20"/>
          <w:szCs w:val="20"/>
          <w:color w:val="auto"/>
        </w:rPr>
      </w:pPr>
      <w:r>
        <w:rPr>
          <w:rFonts w:ascii="Times New Roman" w:cs="Times New Roman" w:eastAsia="Times New Roman" w:hAnsi="Times New Roman"/>
          <w:sz w:val="12"/>
          <w:szCs w:val="12"/>
          <w:color w:val="auto"/>
        </w:rPr>
        <w:t>We launched our first commercial product, ZTlido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(lidocaine topical system) 1.8% in October 2018. ZTlido possesses novel delivery and adhesion technology designed to address many of the limitations of current prescription lidocaine patches by providing significantly improved adhesion and continuous pain relief throughout the 12-hour administration period. 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in Japan. We license the rights to ZTlido from and rely exclusively on Oishi and Itochu pursuant to the Product Development Agreement, and the Commercial Supply Agreement. We have exclusive worldwide rights to Oishi’s proprietary formulation and manufacturing technologies except with respect to Japan. In 2024, there were more than 206 million prescription lidocaine patches sold in the United States, according to Symphony Healthcare.</w:t>
      </w:r>
    </w:p>
    <w:p>
      <w:pPr>
        <w:spacing w:after="0" w:line="135" w:lineRule="exact"/>
        <w:rPr>
          <w:sz w:val="20"/>
          <w:szCs w:val="20"/>
          <w:color w:val="auto"/>
        </w:rPr>
      </w:pPr>
    </w:p>
    <w:p>
      <w:pPr>
        <w:ind w:left="1980" w:right="1059" w:firstLine="294"/>
        <w:spacing w:after="0" w:line="203" w:lineRule="auto"/>
        <w:rPr>
          <w:sz w:val="20"/>
          <w:szCs w:val="20"/>
          <w:color w:val="auto"/>
        </w:rPr>
      </w:pPr>
      <w:r>
        <w:rPr>
          <w:rFonts w:ascii="Times New Roman" w:cs="Times New Roman" w:eastAsia="Times New Roman" w:hAnsi="Times New Roman"/>
          <w:sz w:val="12"/>
          <w:szCs w:val="12"/>
          <w:color w:val="auto"/>
        </w:rPr>
        <w:t>We launched our second commercial product,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in April 2023. We acquired the rights to certain patents, trademarks, regulatory approvals, data, contracts, and other rights related to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(celecoxib oral solution) and the commercialization thereof in the United States and Canada from BioDelivery Sciences International, Inc. and Collegium Pharmaceutical, Inc. in February 2023.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is a potential first-line treatment and the only FDA-approved, ready-to-use oral solution for the acute treatment of migraine, with or without aura, in adults. We filed a New Drug Submission to Health Canada’s Pharmaceutical Drugs Directorate,</w:t>
      </w:r>
    </w:p>
    <w:p>
      <w:pPr>
        <w:spacing w:after="0" w:line="9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136</w:t>
      </w:r>
    </w:p>
    <w:p>
      <w:pPr>
        <w:sectPr>
          <w:pgSz w:w="11900" w:h="16838" w:orient="portrait"/>
          <w:cols w:equalWidth="0" w:num="1">
            <w:col w:w="10159"/>
          </w:cols>
          <w:pgMar w:left="300" w:top="368" w:right="1440"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2"/>
          <w:szCs w:val="12"/>
          <w:color w:val="auto"/>
        </w:rPr>
        <w:t>Bureau of Cardiology, Allergy and Neurological Sciences for the approval of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acute treatment of migraine with or without aura in Canada.</w:t>
      </w:r>
    </w:p>
    <w:p>
      <w:pPr>
        <w:spacing w:after="0" w:line="93" w:lineRule="exact"/>
        <w:rPr>
          <w:sz w:val="20"/>
          <w:szCs w:val="20"/>
          <w:color w:val="auto"/>
        </w:rPr>
      </w:pPr>
    </w:p>
    <w:p>
      <w:pPr>
        <w:ind w:left="1980" w:right="839" w:firstLine="294"/>
        <w:spacing w:after="0" w:line="242" w:lineRule="auto"/>
        <w:rPr>
          <w:sz w:val="20"/>
          <w:szCs w:val="20"/>
          <w:color w:val="auto"/>
        </w:rPr>
      </w:pPr>
      <w:r>
        <w:rPr>
          <w:rFonts w:ascii="Times New Roman" w:cs="Times New Roman" w:eastAsia="Times New Roman" w:hAnsi="Times New Roman"/>
          <w:sz w:val="12"/>
          <w:szCs w:val="12"/>
          <w:color w:val="auto"/>
        </w:rPr>
        <w:t>We launched our third commercial product, GLOPERBA, in June 2024. We acquired certain rights to GLOPERBA and the exclusive license to use the trademark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pursuant to the Romeg License Agreement we entered into with Romeg, dated as of June 14, 2022, which agreement was subsequently amended on January 16, 2025. GLOPERBA is an FDA-approved, liquid, oral medication for the treatment of gout in adults. Gout is a painful arthritic disorder affecting an estimated 9.2 million people in the United States. Gout pain can be excruciating and is a form of inflammatory arthritis that develops in some people who have high levels of uric acid in their blood. It can cause sudden severe episodes of pain and can be disabling with tenderness, warmth and swelling. Non-steroidal anti-inflammatory drugs, colchicine and corticosteroids are used a majority of time as the first line to treat acute gout. The U.S. is observed to have a high prevalence of gout, owing to lifestyle issues such as high alcohol intake, obesity, and smoking. We commercialized GLOPERBA in June 2024 and believe we are well positioned to market and distribute the product. We have a direct distribution network to national and regional wholesalers and pharmacies throughout the U.S. For more information, please see the section titled “</w:t>
      </w:r>
      <w:r>
        <w:rPr>
          <w:rFonts w:ascii="Times New Roman" w:cs="Times New Roman" w:eastAsia="Times New Roman" w:hAnsi="Times New Roman"/>
          <w:sz w:val="12"/>
          <w:szCs w:val="12"/>
          <w:i w:val="1"/>
          <w:iCs w:val="1"/>
          <w:color w:val="auto"/>
        </w:rPr>
        <w:t>Business — Material Agreements — Romeg License and Commercialization Agreement.</w:t>
      </w:r>
      <w:r>
        <w:rPr>
          <w:rFonts w:ascii="Times New Roman" w:cs="Times New Roman" w:eastAsia="Times New Roman" w:hAnsi="Times New Roman"/>
          <w:sz w:val="12"/>
          <w:szCs w:val="12"/>
          <w:color w:val="auto"/>
        </w:rPr>
        <w:t>”</w:t>
      </w:r>
    </w:p>
    <w:p>
      <w:pPr>
        <w:spacing w:after="0" w:line="20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Our Product Candidates</w:t>
      </w:r>
    </w:p>
    <w:p>
      <w:pPr>
        <w:spacing w:after="0" w:line="82" w:lineRule="exact"/>
        <w:rPr>
          <w:sz w:val="20"/>
          <w:szCs w:val="20"/>
          <w:color w:val="auto"/>
        </w:rPr>
      </w:pPr>
    </w:p>
    <w:p>
      <w:pPr>
        <w:ind w:left="1980" w:right="959" w:firstLine="294"/>
        <w:spacing w:after="0" w:line="267" w:lineRule="auto"/>
        <w:rPr>
          <w:sz w:val="20"/>
          <w:szCs w:val="20"/>
          <w:color w:val="auto"/>
        </w:rPr>
      </w:pPr>
      <w:r>
        <w:rPr>
          <w:rFonts w:ascii="Times New Roman" w:cs="Times New Roman" w:eastAsia="Times New Roman" w:hAnsi="Times New Roman"/>
          <w:sz w:val="11"/>
          <w:szCs w:val="11"/>
          <w:color w:val="auto"/>
        </w:rPr>
        <w:t>We acquired SP-102 from Semnur in March 2019 and are developing SP-102 to be an injectable viscous gel formulation of a widely used corticosteroid designed to address the serious risks posed by off-label ESI, which are administered over 12 million times annually in the United States. SEMDEXA</w:t>
      </w:r>
      <w:r>
        <w:rPr>
          <w:rFonts w:ascii="Times New Roman" w:cs="Times New Roman" w:eastAsia="Times New Roman" w:hAnsi="Times New Roman"/>
          <w:sz w:val="16"/>
          <w:szCs w:val="16"/>
          <w:color w:val="auto"/>
          <w:vertAlign w:val="superscript"/>
        </w:rPr>
        <w:t>™</w:t>
      </w:r>
      <w:r>
        <w:rPr>
          <w:rFonts w:ascii="Times New Roman" w:cs="Times New Roman" w:eastAsia="Times New Roman" w:hAnsi="Times New Roman"/>
          <w:sz w:val="11"/>
          <w:szCs w:val="11"/>
          <w:color w:val="auto"/>
        </w:rPr>
        <w:t xml:space="preserve"> has been granted fast track designation by the FDA and, if approved, could become the only FDA-approved ESI for the treatment of sciatica. According to a report by Decision Resources Group, it was estimated that over 4.8 million patients would suffer from sciatica in the United States in 2022. 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SP-103, if approved, could become the first FDA-approved lidocaine topical product for the treatment of acute pain. We are developing SP-104 as a novel delayed-release formulation of low-dose naltrexone hydrochloride for the treatment of fibromyalgia, which remains a largely unmet medical need given the low response rates of commercially available therapies. Naltrexone is routinely used off-label to treat fibromyalgia. There are no low-dose formulations commercially available in the United States. Our patented formulation is designed to overcome undesirable effects of immediate release naltrexone, such as hyperalgesia, dysphoria, nausea, anxiety and insomnia.</w:t>
      </w:r>
    </w:p>
    <w:p>
      <w:pPr>
        <w:spacing w:after="0" w:line="267"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Federal Food, Drug, and Cosmetic Act for each of our product candidates.</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137</w:t>
      </w:r>
    </w:p>
    <w:p>
      <w:pPr>
        <w:sectPr>
          <w:pgSz w:w="11900" w:h="16838" w:orient="portrait"/>
          <w:cols w:equalWidth="0" w:num="1">
            <w:col w:w="10159"/>
          </w:cols>
          <w:pgMar w:left="300" w:top="368"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chart illustrates completed and anticipated milestones for our current commercial products and novel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113665</wp:posOffset>
            </wp:positionV>
            <wp:extent cx="3440430" cy="1274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40430" cy="127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Strategy</w:t>
      </w:r>
    </w:p>
    <w:p>
      <w:pPr>
        <w:spacing w:after="0" w:line="82"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Our vision is to become the leading pain management company delivering novel non-opioid and non-addictive treatments to provide safe, effective and durable relief of multiple pain conditions. To accomplish this, the principal elements of our strategy are the following:</w:t>
      </w:r>
    </w:p>
    <w:p>
      <w:pPr>
        <w:spacing w:after="0" w:line="44" w:lineRule="exact"/>
        <w:rPr>
          <w:sz w:val="20"/>
          <w:szCs w:val="20"/>
          <w:color w:val="auto"/>
        </w:rPr>
      </w:pPr>
    </w:p>
    <w:p>
      <w:pPr>
        <w:ind w:left="2620" w:right="879" w:hanging="288"/>
        <w:spacing w:after="0" w:line="242" w:lineRule="auto"/>
        <w:tabs>
          <w:tab w:leader="none" w:pos="26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Maximize the commercial potential of ZTlido</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We have assembled an integrated commercial organization using a dedicated sales force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sales management team, marketing and managed care capabilities to support continued uptake of ZTlido. We leverage a sales force of over 70 people, targeting over 10,000 primary care physicians, pain specialists, neurologists, rheumatologist, and palliative care physicians who we believe treat the majority of PHN patients. Additionally, we are utilizing direct-to-patient marketing strategies to expand awareness and utilization of ZTlido. Our managed healthcare account executives have extensive experience in negotiating contracts and have already achieved significant uptake by adding ZTlido to key formularies such as CVS Caremark/Aetna Commercial, Cigna HealthCare (commercial and Medicare plans), Express Scripts (commercial), United Healthcare Commercial, Optum Rx Select Commercial, Anthem Blue Cross Blue Shield (“BCBS”), BCBS Louisiana and Kansas, Lifetime/Excellus BCBS, MedImpact, CareFirst, Elixir Commercial and Medicaid in California, Florida, Idaho, and North Dakota.</w:t>
      </w:r>
    </w:p>
    <w:p>
      <w:pPr>
        <w:spacing w:after="0" w:line="66" w:lineRule="exact"/>
        <w:rPr>
          <w:rFonts w:ascii="Times New Roman" w:cs="Times New Roman" w:eastAsia="Times New Roman" w:hAnsi="Times New Roman"/>
          <w:sz w:val="12"/>
          <w:szCs w:val="12"/>
          <w:color w:val="auto"/>
        </w:rPr>
      </w:pPr>
    </w:p>
    <w:p>
      <w:pPr>
        <w:ind w:left="2620" w:right="919" w:hanging="288"/>
        <w:spacing w:after="0" w:line="235" w:lineRule="auto"/>
        <w:tabs>
          <w:tab w:leader="none" w:pos="26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Commercialize and successfully continue launch of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b w:val="1"/>
          <w:bCs w:val="1"/>
          <w:color w:val="auto"/>
        </w:rPr>
        <w:t xml:space="preserve"> for migraine in the U.S. </w:t>
      </w:r>
      <w:r>
        <w:rPr>
          <w:rFonts w:ascii="Times New Roman" w:cs="Times New Roman" w:eastAsia="Times New Roman" w:hAnsi="Times New Roman"/>
          <w:sz w:val="12"/>
          <w:szCs w:val="12"/>
          <w:color w:val="auto"/>
        </w:rPr>
        <w:t>We will utilize our current commercial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infrastructure comprised of our sales, marketing and managed health care functions to promote ELYXYB for acute migraine to healthcare providers (“HCPs”) in the U.S. market. There is a good degree of overlap between the current Scilex sales force HCP targets and HCPs who prescribe medications for acute migraine, allowing for efficient dual promotion of ELYXYB and ZTlido. The principal elements of the ELYXYB strategy are the following:</w:t>
      </w:r>
    </w:p>
    <w:p>
      <w:pPr>
        <w:spacing w:after="0" w:line="73" w:lineRule="exact"/>
        <w:rPr>
          <w:rFonts w:ascii="Times New Roman" w:cs="Times New Roman" w:eastAsia="Times New Roman" w:hAnsi="Times New Roman"/>
          <w:sz w:val="12"/>
          <w:szCs w:val="12"/>
          <w:color w:val="auto"/>
        </w:rPr>
      </w:pPr>
    </w:p>
    <w:p>
      <w:pPr>
        <w:ind w:left="2920" w:right="979" w:hanging="219"/>
        <w:spacing w:after="0" w:line="265" w:lineRule="auto"/>
        <w:tabs>
          <w:tab w:leader="none" w:pos="292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Educate the market on the need for and value of a novel and differentiated option for the treatment of acute migraine, where a high degree of unmet medical need already exists. We will leverage our in-person sales field forces, medical affairs teams, and omni-channel HCP engagement campaigns to drive awareness of ELYXYB features and benefits.</w:t>
      </w:r>
    </w:p>
    <w:p>
      <w:pPr>
        <w:spacing w:after="0" w:line="55" w:lineRule="exact"/>
        <w:rPr>
          <w:rFonts w:ascii="Times New Roman" w:cs="Times New Roman" w:eastAsia="Times New Roman" w:hAnsi="Times New Roman"/>
          <w:sz w:val="12"/>
          <w:szCs w:val="12"/>
          <w:color w:val="auto"/>
        </w:rPr>
      </w:pPr>
    </w:p>
    <w:p>
      <w:pPr>
        <w:ind w:left="2920" w:right="1099" w:hanging="219"/>
        <w:spacing w:after="0" w:line="279" w:lineRule="auto"/>
        <w:tabs>
          <w:tab w:leader="none" w:pos="2920" w:val="left"/>
        </w:tabs>
        <w:numPr>
          <w:ilvl w:val="1"/>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Broaden access to ELYXYB. Our managed healthcare account executives will negotiate contracts with key payer and pharmacy stakeholders to achieve uptake to key formularies.</w:t>
      </w:r>
    </w:p>
    <w:p>
      <w:pPr>
        <w:spacing w:after="0" w:line="44" w:lineRule="exact"/>
        <w:rPr>
          <w:rFonts w:ascii="Times New Roman" w:cs="Times New Roman" w:eastAsia="Times New Roman" w:hAnsi="Times New Roman"/>
          <w:sz w:val="12"/>
          <w:szCs w:val="12"/>
          <w:color w:val="auto"/>
        </w:rPr>
      </w:pPr>
    </w:p>
    <w:p>
      <w:pPr>
        <w:ind w:left="2620" w:right="1279" w:hanging="288"/>
        <w:spacing w:after="0" w:line="217" w:lineRule="auto"/>
        <w:tabs>
          <w:tab w:leader="none" w:pos="26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Commercialize and successfully continue launch of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b w:val="1"/>
          <w:bCs w:val="1"/>
          <w:color w:val="auto"/>
        </w:rPr>
        <w:t xml:space="preserve"> for gout in the U.S. </w:t>
      </w:r>
      <w:r>
        <w:rPr>
          <w:rFonts w:ascii="Times New Roman" w:cs="Times New Roman" w:eastAsia="Times New Roman" w:hAnsi="Times New Roman"/>
          <w:sz w:val="12"/>
          <w:szCs w:val="12"/>
          <w:color w:val="auto"/>
        </w:rPr>
        <w:t>We will utilize our current commercial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infrastructure comprised of our sales, marketing, and managed health</w:t>
      </w:r>
    </w:p>
    <w:p>
      <w:pPr>
        <w:spacing w:after="0" w:line="8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138</w:t>
      </w:r>
    </w:p>
    <w:p>
      <w:pPr>
        <w:sectPr>
          <w:pgSz w:w="11900" w:h="16838" w:orient="portrait"/>
          <w:cols w:equalWidth="0" w:num="1">
            <w:col w:w="10159"/>
          </w:cols>
          <w:pgMar w:left="300" w:top="368"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859"/>
        <w:spacing w:after="0" w:line="225" w:lineRule="auto"/>
        <w:rPr>
          <w:sz w:val="20"/>
          <w:szCs w:val="20"/>
          <w:color w:val="auto"/>
        </w:rPr>
      </w:pPr>
      <w:r>
        <w:rPr>
          <w:rFonts w:ascii="Times New Roman" w:cs="Times New Roman" w:eastAsia="Times New Roman" w:hAnsi="Times New Roman"/>
          <w:sz w:val="12"/>
          <w:szCs w:val="12"/>
          <w:color w:val="auto"/>
        </w:rPr>
        <w:t>care functions to promote GLOPERBA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for gout to approximately 3,000 HCPs in the U.S. market. We anticipate a good degree of overlap between the current HCPs that we target and HCPs who prescribe colchicine for gout, allowing for efficient dual promotion of GLOPERBA and ZTlido. The principal elements of the GLOPERBA strategy are as follows:</w:t>
      </w:r>
    </w:p>
    <w:p>
      <w:pPr>
        <w:spacing w:after="0" w:line="71" w:lineRule="exact"/>
        <w:rPr>
          <w:sz w:val="20"/>
          <w:szCs w:val="20"/>
          <w:color w:val="auto"/>
        </w:rPr>
      </w:pPr>
    </w:p>
    <w:p>
      <w:pPr>
        <w:ind w:left="2920" w:right="839" w:hanging="219"/>
        <w:spacing w:after="0" w:line="257" w:lineRule="auto"/>
        <w:tabs>
          <w:tab w:leader="none" w:pos="292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Educate the market on the need for and value of simplified and precise colchicine dose adjustments to allow individualized, patient-by-patient therapy. Scilex will leverage its in-person sales forces, medical affairs teams, and omni-channel HCP engagement campaigns to drive awareness of GLOPERBA’s features and benefits. In addition, target providers, rheumatologists and primary care physicians treating various comorbidities, will be provided with tools to help them identify and prescribe GLOPERBA to appropriate patients.</w:t>
      </w:r>
    </w:p>
    <w:p>
      <w:pPr>
        <w:spacing w:after="0" w:line="62" w:lineRule="exact"/>
        <w:rPr>
          <w:rFonts w:ascii="Times New Roman" w:cs="Times New Roman" w:eastAsia="Times New Roman" w:hAnsi="Times New Roman"/>
          <w:sz w:val="12"/>
          <w:szCs w:val="12"/>
          <w:color w:val="auto"/>
        </w:rPr>
      </w:pPr>
    </w:p>
    <w:p>
      <w:pPr>
        <w:ind w:left="2920" w:right="839" w:hanging="219"/>
        <w:spacing w:after="0" w:line="265" w:lineRule="auto"/>
        <w:tabs>
          <w:tab w:leader="none" w:pos="292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access to GLOPERBA for subsets of patients in prophylactic treatment of gout, specifically those with comorbidities and GI intolerance. Our managed healthcare account executives will negotiate contracts with key payer and pharmacy customers to achieve uptake of key formularies.</w:t>
      </w:r>
    </w:p>
    <w:p>
      <w:pPr>
        <w:spacing w:after="0" w:line="51" w:lineRule="exact"/>
        <w:rPr>
          <w:rFonts w:ascii="Times New Roman" w:cs="Times New Roman" w:eastAsia="Times New Roman" w:hAnsi="Times New Roman"/>
          <w:sz w:val="12"/>
          <w:szCs w:val="12"/>
          <w:color w:val="auto"/>
        </w:rPr>
      </w:pPr>
    </w:p>
    <w:p>
      <w:pPr>
        <w:ind w:left="2620" w:right="859" w:hanging="288"/>
        <w:spacing w:after="0" w:line="245" w:lineRule="auto"/>
        <w:tabs>
          <w:tab w:leader="none" w:pos="26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Develop and commercialize SEMDEXA</w:t>
      </w:r>
      <w:r>
        <w:rPr>
          <w:rFonts w:ascii="Times New Roman" w:cs="Times New Roman" w:eastAsia="Times New Roman" w:hAnsi="Times New Roman"/>
          <w:sz w:val="17"/>
          <w:szCs w:val="17"/>
          <w:b w:val="1"/>
          <w:bCs w:val="1"/>
          <w:color w:val="auto"/>
          <w:vertAlign w:val="superscript"/>
        </w:rPr>
        <w:t>TM</w:t>
      </w:r>
      <w:r>
        <w:rPr>
          <w:rFonts w:ascii="Times New Roman" w:cs="Times New Roman" w:eastAsia="Times New Roman" w:hAnsi="Times New Roman"/>
          <w:sz w:val="12"/>
          <w:szCs w:val="12"/>
          <w:b w:val="1"/>
          <w:bCs w:val="1"/>
          <w:color w:val="auto"/>
        </w:rPr>
        <w:t xml:space="preserve"> as a novel epidural injection for the first approved treatment of sciatica. </w:t>
      </w:r>
      <w:r>
        <w:rPr>
          <w:rFonts w:ascii="Times New Roman" w:cs="Times New Roman" w:eastAsia="Times New Roman" w:hAnsi="Times New Roman"/>
          <w:sz w:val="12"/>
          <w:szCs w:val="12"/>
          <w:color w:val="auto"/>
        </w:rPr>
        <w:t>We are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developing SEMDEXA to address the limitations associated with the available corticosteroid epidural injectable products that are used off-label. Many of these products contain potentially neurotoxic preservatives and particulates, and are administered over 12 million times annually despite a warning on the label of serious neurologic complications, including loss of vision, stroke, paralysis and death. These products carry warnings required by the FDA that the safety and efficacy of epidural administration has not been established. SEMDEXA has received fast track designation from the FDA and, if approved, could become the first FDA-approved epidural steroid product with long-term patent protection, which we also believe would create significant barriers to entry. Although such designation has been granted, it may not lead to a faster development or regulatory review process and such designation does not increase the likelihood that SEMDEXA will receive marketing approval. Due to the novelty of our formulation as well as the associated patents and trade secrets, future potential competitors could be required to conduct extensive preclinical studies and costly comparative clinical trials. A full 6-month data analysis was completed in February 2022 and we have completed a pivotal Phase 3 study with final results received in March 2022, which results reflect achievement of primary and secondary endpoints. We have extensive clinical and pre-clinical data (including those obtained from multiple Phase 2 clinical trials) with the novel viscous gel formulation of SP-102. We also presented the pivotal Phase 3 trial results at the American Society of Interventional Pain Physicians annual meeting in Las Vegas, Nevada in May 2022.</w:t>
      </w:r>
    </w:p>
    <w:p>
      <w:pPr>
        <w:spacing w:after="0" w:line="66" w:lineRule="exact"/>
        <w:rPr>
          <w:rFonts w:ascii="Times New Roman" w:cs="Times New Roman" w:eastAsia="Times New Roman" w:hAnsi="Times New Roman"/>
          <w:sz w:val="12"/>
          <w:szCs w:val="12"/>
          <w:color w:val="auto"/>
        </w:rPr>
      </w:pPr>
    </w:p>
    <w:p>
      <w:pPr>
        <w:ind w:left="2620" w:right="879" w:hanging="288"/>
        <w:spacing w:after="0" w:line="254" w:lineRule="auto"/>
        <w:tabs>
          <w:tab w:leader="none" w:pos="26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Pursue clinical development of SP-103 for the first approved topical treatment in patients with acute pain. </w:t>
      </w:r>
      <w:r>
        <w:rPr>
          <w:rFonts w:ascii="Times New Roman" w:cs="Times New Roman" w:eastAsia="Times New Roman" w:hAnsi="Times New Roman"/>
          <w:sz w:val="12"/>
          <w:szCs w:val="12"/>
          <w:color w:val="auto"/>
        </w:rPr>
        <w:t>We are developing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SP-103 as a triple-strength lidocaine topical system for the treatment of acute pain, to be used where we believe a high-dose strength and superior adhesive qualities of a topical system may provide a greater therapeutic benefit than currently available therapies. SP-103 is designed to use ZTlido’s delivery and adhesion technology to deliver a dose of lidocaine that is three times higher than any other approved lidocaine topical products. We received our SP-103 Phase 2 top-line results in August 2023 and the trial achieved its objectives characterizing safety, tolerability and preliminary efficacy of SP-103 in acute LBP associated with muscle spasms. SP-103 was safe and well tolerated. The increase of lidocaine load in topical system by three times, compared with 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of ZTlido in patients with chronic neck pain completed in the second half of 2023, which also has shown promising top-line efficacy and safety results. SP-103, if approved, could become the first FDA-approved lidocaine topical product for the treatment of acute pain.</w:t>
      </w:r>
    </w:p>
    <w:p>
      <w:pPr>
        <w:spacing w:after="0" w:line="58" w:lineRule="exact"/>
        <w:rPr>
          <w:rFonts w:ascii="Times New Roman" w:cs="Times New Roman" w:eastAsia="Times New Roman" w:hAnsi="Times New Roman"/>
          <w:sz w:val="12"/>
          <w:szCs w:val="12"/>
          <w:color w:val="auto"/>
        </w:rPr>
      </w:pPr>
    </w:p>
    <w:p>
      <w:pPr>
        <w:ind w:left="2620" w:right="1379" w:hanging="288"/>
        <w:spacing w:after="0" w:line="286" w:lineRule="auto"/>
        <w:tabs>
          <w:tab w:leader="none" w:pos="262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Pursue clinical development of SP-104 for the treatment of fibromyalgia, which has very few approved therapies that are marginally effective and have unpleasant side-effects. </w:t>
      </w:r>
      <w:r>
        <w:rPr>
          <w:rFonts w:ascii="Times New Roman" w:cs="Times New Roman" w:eastAsia="Times New Roman" w:hAnsi="Times New Roman"/>
          <w:sz w:val="12"/>
          <w:szCs w:val="12"/>
          <w:color w:val="auto"/>
        </w:rPr>
        <w:t>We are</w:t>
      </w:r>
    </w:p>
    <w:p>
      <w:pPr>
        <w:spacing w:after="0" w:line="6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139</w:t>
      </w:r>
    </w:p>
    <w:p>
      <w:pPr>
        <w:sectPr>
          <w:pgSz w:w="11900" w:h="16838" w:orient="portrait"/>
          <w:cols w:equalWidth="0" w:num="1">
            <w:col w:w="10159"/>
          </w:cols>
          <w:pgMar w:left="300" w:top="368"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919"/>
        <w:spacing w:after="0" w:line="255" w:lineRule="auto"/>
        <w:rPr>
          <w:sz w:val="20"/>
          <w:szCs w:val="20"/>
          <w:color w:val="auto"/>
        </w:rPr>
      </w:pPr>
      <w:r>
        <w:rPr>
          <w:rFonts w:ascii="Times New Roman" w:cs="Times New Roman" w:eastAsia="Times New Roman" w:hAnsi="Times New Roman"/>
          <w:sz w:val="12"/>
          <w:szCs w:val="12"/>
          <w:color w:val="auto"/>
        </w:rPr>
        <w:t>developing SP-104 for fibromyalgia. Low-dose naltrexone hydrochloride delayed-release capsules are routinely used off-label to treat fibromyalgia and other chronic pain conditions such as complex regional pain. SP-104 addresses the shortcomings of using the high-dose commercial products and pharmacy-compounded products by delivering a low-dose of naltrexone hydrochloride (approximately 11 times less than the commercial product) in a delayed-release formulation that bypasses the stomach and releases the drug in the gut (upper intestine). These product characteristics mitigate against the known safety issues associated with the high-dose commercial products and immediate release pharmacy-compounded products, and the overall reliability issues associated with pharmacy-compounded products. SP-104 has completed two Phase 1 studies to characterize the pharmacokinetics (“PK”) and safety of the product.</w:t>
      </w:r>
    </w:p>
    <w:p>
      <w:pPr>
        <w:spacing w:after="0" w:line="59" w:lineRule="exact"/>
        <w:rPr>
          <w:sz w:val="20"/>
          <w:szCs w:val="20"/>
          <w:color w:val="auto"/>
        </w:rPr>
      </w:pPr>
    </w:p>
    <w:p>
      <w:pPr>
        <w:ind w:left="2620" w:right="959" w:hanging="288"/>
        <w:spacing w:after="0" w:line="256" w:lineRule="auto"/>
        <w:tabs>
          <w:tab w:leader="none" w:pos="26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Expand our product portfolio by developing or acquiring non-opioid assets that leverage our novel delivery and adhesion technologies and our existing commercial infrastructure. </w:t>
      </w:r>
      <w:r>
        <w:rPr>
          <w:rFonts w:ascii="Times New Roman" w:cs="Times New Roman" w:eastAsia="Times New Roman" w:hAnsi="Times New Roman"/>
          <w:sz w:val="12"/>
          <w:szCs w:val="12"/>
          <w:color w:val="auto"/>
        </w:rPr>
        <w:t>We are continuously evaluating opportunities to leverage our research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development experience to develop non-opioid therapeutics for pain management indications that are not adequately served with existing treatment options. We also seek to in-license or acquire non-opioid therapeutics that can both complement our existing product portfolio and benefit from our existing commercial infrastructure. In evaluating marketed and clinical-stage expansion opportunities, we intend to pursue therapeutics that address markets served by our established target physician audience and that can be commercialized by our existing sales force.</w:t>
      </w:r>
    </w:p>
    <w:p>
      <w:pPr>
        <w:spacing w:after="0" w:line="58" w:lineRule="exact"/>
        <w:rPr>
          <w:rFonts w:ascii="Times New Roman" w:cs="Times New Roman" w:eastAsia="Times New Roman" w:hAnsi="Times New Roman"/>
          <w:sz w:val="12"/>
          <w:szCs w:val="12"/>
          <w:color w:val="auto"/>
        </w:rPr>
      </w:pPr>
    </w:p>
    <w:p>
      <w:pPr>
        <w:ind w:left="2620" w:right="979" w:hanging="288"/>
        <w:spacing w:after="0" w:line="259" w:lineRule="auto"/>
        <w:tabs>
          <w:tab w:leader="none" w:pos="262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Leverage our management team’s experience to further develop and commercialize its current and future product portfolio. </w:t>
      </w:r>
      <w:r>
        <w:rPr>
          <w:rFonts w:ascii="Times New Roman" w:cs="Times New Roman" w:eastAsia="Times New Roman" w:hAnsi="Times New Roman"/>
          <w:sz w:val="12"/>
          <w:szCs w:val="12"/>
          <w:color w:val="auto"/>
        </w:rPr>
        <w:t>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management team has held senior positions at leading biopharmaceutical companies, including Allergan, Inc., Bristol-Myers Squibb Company, Teva Pharmaceuticals Industries Ltd. (“Teva”), Novartis Pharmaceuticals, Cephalon, Inc., Roche AG, PDL BioPharma, Inc., Xenoport, Inc. and Chiron Corp. Our team has substantial experience in rapidly progressing new drugs to clinical proof of concept, completing successful pivotal registration programs and successfully commercializing products.</w:t>
      </w:r>
    </w:p>
    <w:p>
      <w:pPr>
        <w:spacing w:after="0" w:line="123"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We believe that our innovative non-opioid product portfolio has the potential to provide effective pain management therapies that can have a transformative impact on patients’ lives.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Management Team</w:t>
      </w:r>
    </w:p>
    <w:p>
      <w:pPr>
        <w:spacing w:after="0" w:line="8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We have assembled a management team of experienced biopharma industry veterans, who have deep scientific, business and leadership expertise in the pharmaceutical industry, as well as strong transactional and business development track records.</w:t>
      </w:r>
    </w:p>
    <w:p>
      <w:pPr>
        <w:spacing w:after="0" w:line="111"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Our management team is led by our Chief Executive Officer and President, Jaisim Shah, with strategic guidance from our Executive Chairperson, Henry Ji, Ph.D. They collectively have over 60 years of global biopharmaceutical and biotechnology experience.</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Jaisim Shah has over 30 years of industry success in leading product development and commercializing innovative therapies and creating companies, with documented success in development and commercialization of some of today’s most recognized pharmaceutical brands. He is a seasoned life science executive and board director with extensive accomplishments at Scilex, Bristol-Myers Squibb, Roche, PDL Biopharma, Pfizer, and start-ups such as Elevation. Mr. Shah has served as our Chief Executive Officer and President and as a member of our board of directors since the closing of the business combination in November 2022. He has also served as Chief Executive Officer and President of Legacy Scilex and Scilex Pharma since March 2019 and as a member of the board of directors of Scilex Pharmaceuticals, Inc., our wholly owned subsidiary (“Scilex Pharma”), since November 2016. Mr. Shah has served as Chief Executive Officer and President of Semnur Pharmaceuticals since its inception in 2013. Mr. Shah served as Chief Business Officer of Elevation Pharmaceuticals where he focused on financing, business strategy, mergers and acquisitions, and business development. He led the sale of Elevation</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140</w:t>
      </w:r>
    </w:p>
    <w:p>
      <w:pPr>
        <w:sectPr>
          <w:pgSz w:w="11900" w:h="16838" w:orient="portrait"/>
          <w:cols w:equalWidth="0" w:num="1">
            <w:col w:w="10159"/>
          </w:cols>
          <w:pgMar w:left="300" w:top="368"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44" w:lineRule="auto"/>
        <w:rPr>
          <w:sz w:val="20"/>
          <w:szCs w:val="20"/>
          <w:color w:val="auto"/>
        </w:rPr>
      </w:pPr>
      <w:r>
        <w:rPr>
          <w:rFonts w:ascii="Times New Roman" w:cs="Times New Roman" w:eastAsia="Times New Roman" w:hAnsi="Times New Roman"/>
          <w:sz w:val="12"/>
          <w:szCs w:val="12"/>
          <w:color w:val="auto"/>
        </w:rPr>
        <w:t>to Sunovion Pharmaceuticals in 2012. At Facet Biotech and PDL BioPharma, he served from 2000 to 2009 as Chief Business Officer and also held the position of senior vice president of marketing and medical affairs. During this time, he completed numerous licensing/partnering and strategic transactions including with Roche, Bristol-Myers Squibb, Otsuka, and Biogen Idec. His leadership in marketing and portfolio management, including leading the commercial enterprise, helped the company make large improvements to meet its profitability potential. At Bristol-Myers Squibb, as vice president of global marketing from 1997 to 2000, Mr. Shah received the “Presidents Award” for completing one of the most significant collaborations in the company’s history. He has played a key role in the formulation of long-range plans and pre-launch and launch strategies for brands such as Abilify</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Pegasys</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and Rituxan/MabThera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each of which have generated well over $1 billion in sales. Dr. Henry Ji is the holder of several issued and pending patents in the life science research field. Our Chief Financial Officer, Stephen Ma, has more than 15 years of finance and operational expertise across pharmaceuticals and venture-backed biotechnology companies. Our research efforts are guided by highly experienced scientists and experts. Our management team contributes a diverse range of experiences from leading biopharmaceutical companies, including Allergan, Inc., Bristol-Myers Squibb Company, Teva Pharmaceuticals Industries Ltd., Novartis Pharmaceuticals, Cephalon, Inc., Roche AG, PDL BioPharma, Inc., Xenoport, Inc. and Chiron Corp. With this leadership, we believe we are well positioned to achieve our vision of becoming the leading pain management company delivering novel non-opioid and non-addictive treatments aiming to provide safe, effective and durable relief of multiple pain conditions.</w:t>
      </w:r>
    </w:p>
    <w:p>
      <w:pPr>
        <w:spacing w:after="0" w:line="134"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In addition, we are supported by impressive teams across all levels of the organization. We hire and develop world-class talent from diverse backgrounds in biopharma, academia, technology and finance to ensure we have all of the capabilities to design and deliver first-class pain management therapies.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Product Portfolio</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Our marketed product, ZTlido, is a lidocaine topical system approved for the relief of neuropathic pain associated with PHN. ZTlido was strategically designed to address the limitations of current prescription lidocaine patches by providing significantly improved adhesion and continuous pain relief throughout the 12-hour administration period. We launched ZTlido in October 2018 with an integrated commercial organization and we believe its differentiated therapeutic profile, combined with our competitive pricing strategy and our active direct marketing efforts have driven, and will continue to drive, accelerated sales growth and increased market uptake.</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Prescription Lidocaine Patch Market Overview</w:t>
      </w:r>
    </w:p>
    <w:p>
      <w:pPr>
        <w:spacing w:after="0" w:line="80"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Prescription lidocaine patches are approved by the FDA as a local anesthetic and are generally used as a first-line treatment for the relief of neuropathic pain associated with PHN. PHN is a chronic neuropathic pain syndrome that results as a complication following an infection of herpes zoster, also known as shingles. Herpes zoster symptoms resolve after a few weeks, but the pain caused by the nerve injury and surrounding the affected area can persist for months and sometimes years. According to Evaluate Ltd., there were over 3.5 million people living with PHN conditions in the United States in 2021. Lidocaine patches have also been used in patients with other types of pain, such as diabetic neuropathy, osteoarthritis and pain associated with surgery, cancer or trauma, and often in patients with LBP.</w:t>
      </w:r>
    </w:p>
    <w:p>
      <w:pPr>
        <w:spacing w:after="0" w:line="125"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In 2024, there were more than 206 million prescription lidocaine patches sold in the United States, according to Symphony Healthcare. Of this number of prescriptions, there are only six main lidocaine patch manufacturers, which accounted for approximately 90% of the total prescriptions, according to Symphony Healthcare. We believe that the PHN market will continue to expand with the introduction of our lidocaine topical system, ZTlido, which is supported by our commercial organization, by prescribing trends away from opioid use, and by continued growth in the population of patients aged 45 years and older who are at greater risk</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141</w:t>
      </w:r>
    </w:p>
    <w:p>
      <w:pPr>
        <w:sectPr>
          <w:pgSz w:w="11900" w:h="16838" w:orient="portrait"/>
          <w:cols w:equalWidth="0" w:num="1">
            <w:col w:w="10159"/>
          </w:cols>
          <w:pgMar w:left="300" w:top="368"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of suffering from PHN. Unlike Lidoderm, the FDA has not determined that any other products are therapeutically equivalent to ZTlido, and accordingly, a prescription for ZTlido may not be able to be substituted by a generic product.</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Current Treatment Landscape and Limitations of Existing Treatments</w:t>
      </w:r>
    </w:p>
    <w:p>
      <w:pPr>
        <w:spacing w:after="0" w:line="80"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recommended first-line treatment for the relief of neuropathic pain associated with PHN includes topical lidocaine, gabapentinoids (which have been associated with the potential for abuse as well as numerous adverse events), antidepressants and a multi-modal approach. Topical lidocaine and gabapentinoids are preferred for combination therapies due to their low propensity for drug-to-drug interactions. For example, an eight-week combination use with pregabalin (Lyrica) has been proven to reduce pain in half for patients who had inadequate relief on monotherapy, despite titration of pregabalin to effect. This efficacy boost was achieved without tolerability issues or adding to side effects.</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 survey analyzing treatment patterns for neuropathic pain associated with PHN found that recommended first-line therapeutics were used in only 29% of patients examined from 2010 to 2014, while the remaining patients were started on various off-label treatments, including nonsteroidal anti-inflammatory drugs (“NSAIDS”) and opioids. These drugs can have adverse effects, especially on elderly patients, which represent the majority of PHN patients. For example, opioids carry a well-characterized risk of abuse and misuse and the potential for serious side effects, such as respiratory depression, constipation and others, including death. According to the Centers for Disease Control and Prevention, over 75% of the 100,306 drug overdose deaths during the 12-month period ending in April 2021 involved opioids. Similarly, tricyclic antidepressants, which can be effective in managing the neuropathic pain associated with PHN, can result in significant systemic side effects and cardiotoxicity, posing risks to the elderly and patients with heart disease, epilepsy or glaucoma. These side effects make topical lidocaine products an attractive first-line treatment option from a safety perspective.</w:t>
      </w:r>
    </w:p>
    <w:p>
      <w:pPr>
        <w:spacing w:after="0" w:line="126"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The safety of lidocaine patches is well supported in medical literature. Unlike transdermal medications that are designed to achieve systemic drug levels via absorption through the skin or mucosal membrane, leading to effects away from the application site, topical lidocaine has a local effect at the site of application. Because drug application is localized to the immediate area surrounding the patch, systemic absorption from a topical patch is low, reducing the risk of systemic side effects and lowering the potential for drug interactions relative to other systemic pharmacologic therapies. Due to the low systemic exposure and minimal systemic side effects reported in clinical trials, we believe a topical lidocaine patch is well suited for patients being treated with multiple medications or at a higher risk of side effects, including the elderly or those with chronic conditions. As a localized treatment, lidocaine patches have been used concomitantly with other medications in patients for whom monotherapy is inadequate. Furthermore, we believe medication administered topically rather than orally can improve patient compliance.</w:t>
      </w:r>
    </w:p>
    <w:p>
      <w:pPr>
        <w:spacing w:after="0" w:line="128"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While lidocaine patches have certain advantages over the treatment alternatives discussed above, certain patches have limitations that may impact efficacy. For example, poor adhesion of the patch is a leading problem for topical lidocaine patches cited in the FDA Adverse Event Reporting System (“FAERS”). Because the drug is incorporated in the adhesive for these products, patches must maintain adhesion or risk compromising the ability to deliver their full drug dose. As a result, establishing strong adhesion is a key factor for patient compliance and satisfaction. In draft guidance issued in July 2021, the FDA recommended that developers of topical and transdermal delivery systems (“TDSs”) conduct studies to characterize the adhesion performance of the product with suggested data requirements. Likewise, the FDA issued a draft guidance in October 2018 outlining the adhesion data requirements for generic TDSs. This guidance, along with Scilex’s past experience with regulatory agencies, shows the FDA’s interest and the importance of adhesion performance of these products. There are also dermal safety requirements that force developers to carefully balance adhesion performance against dermal safety. ZTlido is the first TDS product approved by the FDA that was able to demonstrate the targeted adhesion performance with an overall benign dermal safety profile.</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142</w:t>
      </w:r>
    </w:p>
    <w:p>
      <w:pPr>
        <w:sectPr>
          <w:pgSz w:w="11900" w:h="16838" w:orient="portrait"/>
          <w:cols w:equalWidth="0" w:num="1">
            <w:col w:w="10159"/>
          </w:cols>
          <w:pgMar w:left="300" w:top="368"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figure depicts data derived from FAERS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113665</wp:posOffset>
            </wp:positionV>
            <wp:extent cx="3429000" cy="130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00" cy="130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For many of the competing lidocaine patches, a common drawback is the usage of hydrogel technology that limits the overall pharmaceutical efficiency of the product, requiring more total drug to be loaded into the patch to deliver a sufficient amount of drug to achieve a therapeutic effect. For example, Lidoderm has a drug load of 700 mg drug but only delivers 3± 2% of that drug load. Consequently, adhesive thickness must be increased in order to have a drug load sufficient to deliver a therapeutic dose of drug to the skin. As adhesive thickness increases, the product’s pliability can be compromised to the extent that the patch loses adhesion as the skin moves and wrinkles through normal patient activity. The weight of the hydrogel patches (largely due to high water content) further contributes to the challenge in maintaining adhesion.</w:t>
      </w:r>
    </w:p>
    <w:p>
      <w:pPr>
        <w:spacing w:after="0" w:line="125"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The greater drug load also poses a risk of accidental exposure. For example, with a bioavailability of 3 ± 2% of the 700 mg drug load for Lidoderm, there is over 650 mg of drug remaining on the patch at the end of the 12-hour administration period, as captured in a bolded warning on the product label. If improperly disposed of, the residual drug poses the potential risk to children, pets and others of accidental exposure to a toxic amount of lidocaine, although we believe the risk with this formulation has not been evaluated.</w:t>
      </w:r>
    </w:p>
    <w:p>
      <w:pPr>
        <w:spacing w:after="0" w:line="12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In addition to prescription lidocaine patches, there are commercially-available OTC topical lidocaine products in the market, but none of these OTC products have been reviewed or approved by the FDA. Notably in 2003, the FDA proposed amending the tentative final monograph for OTC external analgesic drug products to clarify the status of patches (and poultices and plasters), noting that the dosage forms had not been determined to be generally recognized as safe and effective for any analgesia at that time. Therefore, the FDA would likely not consider these OTC products to be compliant with the monograph and do not have legal marketing status.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Our Solution</w:t>
      </w:r>
    </w:p>
    <w:p>
      <w:pPr>
        <w:spacing w:after="0" w:line="80"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Our novel adhesion and delivery technology provides significantly improved adhesion compared to Lidoderm, manufactured by Endo Pharmaceuticals, and generic alternatives marketed by Mylan N.V. (“Mylan”), while providing bioequivalent delivery of lidocaine via an efficient drug delivery system. Our product is lighter, thinner and provides for a better patient experience without compromise to dermal safety and with no presentation of dermal sensitization. Below is a comparison of the key advantages of ZTlido to Lidoderm and generic lidocaine patches manufactured by Teva and by Mylan.</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143</w:t>
      </w:r>
    </w:p>
    <w:p>
      <w:pPr>
        <w:sectPr>
          <w:pgSz w:w="11900" w:h="16838" w:orient="portrait"/>
          <w:cols w:equalWidth="0" w:num="1">
            <w:col w:w="10159"/>
          </w:cols>
          <w:pgMar w:left="300" w:top="368"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Key Advantages of ZTlido vs. Lidoderm and Associated Generics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114935</wp:posOffset>
            </wp:positionV>
            <wp:extent cx="3429000" cy="22574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00"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Note: DIA = Drug-in-adhesive</w:t>
      </w:r>
    </w:p>
    <w:p>
      <w:pPr>
        <w:spacing w:after="0" w:line="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Source: A Scilex-sponsored head-to-head comparative adhesion study (SCI-LIDO-ADH-003)</w:t>
      </w:r>
    </w:p>
    <w:p>
      <w:pPr>
        <w:spacing w:after="0" w:line="150" w:lineRule="exact"/>
        <w:rPr>
          <w:sz w:val="20"/>
          <w:szCs w:val="20"/>
          <w:color w:val="auto"/>
        </w:rPr>
      </w:pPr>
    </w:p>
    <w:p>
      <w:pPr>
        <w:ind w:left="1980" w:right="859" w:firstLine="294"/>
        <w:spacing w:after="0" w:line="242" w:lineRule="auto"/>
        <w:rPr>
          <w:sz w:val="20"/>
          <w:szCs w:val="20"/>
          <w:color w:val="auto"/>
        </w:rPr>
      </w:pPr>
      <w:r>
        <w:rPr>
          <w:rFonts w:ascii="Times New Roman" w:cs="Times New Roman" w:eastAsia="Times New Roman" w:hAnsi="Times New Roman"/>
          <w:sz w:val="12"/>
          <w:szCs w:val="12"/>
          <w:color w:val="auto"/>
        </w:rPr>
        <w:t>ZTlido has been strategically designed to address poor adhesion, a leading complaint associated with other currently marketed topical lidocaine products. ZTlido uses an advanced hot-melt technology, which uses premixing and hot-melt mixing of various excipients and lidocaine, followed by current Good Manufacturing Practices (“cGMP”) compliant coating, lining, cutting and filling processes. In clinical studies, the technology provided significantly improved adhesion over Lidoderm</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(a branded, prescription 5% lidocaine patch product) (“Lidoderm”) and Mylan’s generic lidocaine patch at 12 hours after application. In a head-to-head study of 44 subjects, ZTlido showed statistically significant adhesion at all-time points compared to Lidoderm. Further, ZTlido maintained greater than 90% mean adhesion over the labeled 12-hour administration period while Lidoderm fell below this benchmark within 3 hours. ZTlido also showed superior adhesion when compared to Mylan’s generic lidocaine patch. In this head-to-head study, ZTlido maintained greater than 90% mean adhesion throughout the labeled 12-hour administration period, while Mylan’s generic product had a mean adhesion score of only 80% immediately after application, which progressively worsened over time. The formulation components are also carefully selected to achieve the target adhesion profile without creating dermal sensitization and maintaining a benign irritation profile.</w:t>
      </w:r>
    </w:p>
    <w:p>
      <w:pPr>
        <w:spacing w:after="0" w:line="135"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In two separate studies, adhesion performance of ZTlido was compared to Lidoderm (with 44 subjects) and to Mylan’s generic lidocaine patch (with 24 subjects), as depicted in the diagrams below. Both studies were performed with healthy volunteers using a standard clinical adhesion protocol where adhesion could not be enhanced (i.e., no reinforcement, pressing or reattaching). The level of adhesion was measured immediately after application (Time 0), and at 3, 6, 9 and 12 hours after application. ZTlido was the only lidocaine product to</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144</w:t>
      </w:r>
    </w:p>
    <w:p>
      <w:pPr>
        <w:sectPr>
          <w:pgSz w:w="11900" w:h="16838" w:orient="portrait"/>
          <w:cols w:equalWidth="0" w:num="1">
            <w:col w:w="10159"/>
          </w:cols>
          <w:pgMar w:left="300" w:top="368" w:right="14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achieve over 90% adhesion over 12 hours after application in these studies. Maintaining 90% adhesion was a requirement for ZTlido’s NDA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113665</wp:posOffset>
            </wp:positionV>
            <wp:extent cx="3291840" cy="15087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918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proprietary adhesive system utilized for ZTlido allows for a more efficient delivery of the drug from the patch to the skin. This was supported by a clinical study in which ZTlido achieved a bioequivalent dose of lidocaine while using a reduced drug load (36 mg for ZTlido versus 700 mg for Lidoderm). The drug delivery efficiency of ZTlido lessens the danger of accidental exposure. After 12 hours after application, ZTlido contains approximately 18 mg of residual lidocaine. In comparison, each Lidoderm patch leaves over 650 mg in the patch at the end of the 12-hour administration period. If improperly disposed of, the residual drug poses a risk of accidental exposure to a toxic amount of lidocaine to children, pets and others, although the risk with this formulation has not been evaluated.</w:t>
      </w:r>
    </w:p>
    <w:p>
      <w:pPr>
        <w:spacing w:after="0" w:line="12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The drug delivery efficiency of ZTlido also enables it to be manufactured as a thinner product relative to Lidoderm and Teva’s generic lidocaine patch. We strategically leveraged this property of ZTlido by utilizing a thin patch design with a nonwoven backing cloth that allows for better adhesion of the product. The improved adhesion performance, thinner profile and incorporation of a flexible backing material allows for a product that maintains contact with the skin in contoured areas of the body when encountering torsional strains arising from normal body movements and during contact with clothing and bedding. While Mylan’s generic lidocaine patch is also thinner than Lidoderm, it incorporates a film backing material that makes the product inflexible with body movements, contributing to its rapid loss in adhesion.</w:t>
      </w:r>
    </w:p>
    <w:p>
      <w:pPr>
        <w:spacing w:after="0" w:line="12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adhesion profile of ZTlido allows the product to be used under moderate exercise conditions (tested in 4 sessions of 30-minutes of stationary bike exercise, cumulatively 2 hours) as captured in the ZTlido label. No ZTlido patches fell off during the entire 12-hour administration period. Lidoderm and the associated generics have not produced any public data on the use of their products by active pain patients under such conditions. ZTlido is also labeled to allow patients to shower and bathe while wearing the patch, which is supported by an adhesion or PK study showing that, while some degree of lifting is observed in these environments, the patches were able to be pressed back down or reattached in the cases where the product completely detached, with no clinically meaningful change in PK. In contrast, Lidoderm and the associated generics are labeled with the effects of water exposure being unknown.</w:t>
      </w:r>
    </w:p>
    <w:p>
      <w:pPr>
        <w:spacing w:after="0" w:line="126"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Although ZTlido, Lidoderm and the associated generics are all labeled to not be used with heat (e.g., heating pad or blanket), the FDA-approved ZTlido label states that users may apply ZTlido to a treatment site after moderate heat exposure, such as after 15 minutes of heating pad use on a medium setting. This authorized use of ZTlido is of value as heat therapy is widely used in treating pain. In contrast, Lidoderm and the associated generics are not labeled for use with heat.</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145</w:t>
      </w:r>
    </w:p>
    <w:p>
      <w:pPr>
        <w:sectPr>
          <w:pgSz w:w="11900" w:h="16838" w:orient="portrait"/>
          <w:cols w:equalWidth="0" w:num="1">
            <w:col w:w="10159"/>
          </w:cols>
          <w:pgMar w:left="300" w:top="368" w:right="1440"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We believe ZTlido has other favorable features compared to Lidoderm and associated generic lidocaine patches such as the inclusion of a perforated release liner and the absence of cold flow. The perforated release liner allows for easier removal of the liner before application, which we believe provides convenience to patients who have dexterity challenges. In contrast, Lidoderm and generic lidocaine patches incorporate a single-sheet release liner, requiring patients to pick at the corners and edges to breach and remove before application. Cold flow is the propensity of the adhesive to migrate from the edges of the product under normal conditions, either in the product envelope or while on the skin. This can lead to difficulties in removing the product from the envelope and/or movement of the product, while on the skin, away from the intended administration site.</w:t>
      </w:r>
    </w:p>
    <w:p>
      <w:pPr>
        <w:spacing w:after="0" w:line="125"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We launched ZTlido in October 2018 with support from an integrated commercial organization using a dedicated sales force and sales management, marketing and managed care capabilities. We market ZTlido through a dedicated sales force of approximately 65 people, targeting over 10,000 primary care physicians, pain specialists, neurologists and palliative care physicians who we believe treat the majority of PHN patients. We are utilizing a multi-channel marketing strategy to expand awareness and utilization of ZTlido. Our managed healthcare account executives have achieved success in adding ZTlido to key formularies, including CVS Caremark/Aetna Commercial, Cigna HealthCare (commercial and Medicare plans), Express Scripts (commercial and most Medicare plans), United Healthcare Commercial, Optum Rx Select Commercial, Anthem BCBS, BCBS Louisiana and Kansas, Lifetime/Excellus BCBS, MedImpact, CareFirst, Elixir Commercial and Medicaid in California, Florida, Idaho, and North Dakota. We believe the benefits of ZTlido, combined with our competitive pricing strategy and our active direct marketing efforts, have driven, and will continue to drive, accelerated sales growth and increased market uptake.</w:t>
      </w:r>
    </w:p>
    <w:p>
      <w:pPr>
        <w:spacing w:after="0" w:line="126"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We plan to support several investigator-initiated research studies to explore the clinical benefits of using ZTlido in patients with carpal tunnel syndrome, neck pain, intercostal neuralgia and other possible indications.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SP-102 (SEMDEXA)</w:t>
      </w:r>
    </w:p>
    <w:p>
      <w:pPr>
        <w:spacing w:after="0" w:line="8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SP-102 (SEMDEXA) is a pivotal Phase 3, novel, injectable viscous gel formulation of a widely used corticosteroid for epidural injections to treat sciatica. No ESIs are currently approved by the FDA.</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Sciatica Market Overview</w:t>
      </w:r>
    </w:p>
    <w:p>
      <w:pPr>
        <w:spacing w:after="0" w:line="80"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 particularly debilitating complication of back pathology is sciatica, which is a condition caused by mechanical compression of the nerve root, or by the effects of inflammatory mediators arising from a degenerative disc that results in inflammation and damage to the nerve roots. This nerve root compression in the lumbar segment of the spine causes shock-like or burning LBP combined with pain radiating down along the sciatic nerve through the buttocks and down one leg, sometimes reaching the foot. This often severe and debilitating leg pain is usually associated with symptoms of neuropathy-like numbness and tingling. The estimated lifetime incidence of sciatica ranges from 13% to 40% of the U.S. population, and about one-third of these cases will develop symptoms lasting over a year. According to a report by Decision Resources Group, it was estimated that over 4.8 million patients would suffer from sciatica in the United States in 2024.</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Current Treatment Landscape and Limitations of Existing Treatments</w:t>
      </w:r>
    </w:p>
    <w:p>
      <w:pPr>
        <w:spacing w:after="0" w:line="80"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As the U.S. population ages, the incidence of sciatica and the need for interventions are expected to continue to increase. For example, from 2000 to 2018, ESIs in Medicare beneficiaries increased by more than 125%.</w:t>
      </w:r>
    </w:p>
    <w:p>
      <w:pPr>
        <w:spacing w:after="0" w:line="111"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Although there are numerous etiologies of sciatica, and therapies may differ based on the etiology, pain management interventions for sciatica are usually multi-modal. Among the pain management interventions, ESI is considered to be efficacious and has been widely used by physicians across multiple specialties, including anesthesiology, physical medicine and rehabilitation and pain medicine. However, there is no ESI therapy approved by the FDA for sciatica to date, and particulate formulations of glucocorticoids have been associated with severe adverse events.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146</w:t>
      </w:r>
    </w:p>
    <w:p>
      <w:pPr>
        <w:sectPr>
          <w:pgSz w:w="11900" w:h="16838" w:orient="portrait"/>
          <w:cols w:equalWidth="0" w:num="1">
            <w:col w:w="10159"/>
          </w:cols>
          <w:pgMar w:left="300" w:top="36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Patients with sciatica have a wide range of invasive and non-invasive treatment options. Surgical intervention options include vertebroplasty, spinal laminectomy, discectomy, microdiscectomy, foraminotomy, intradiscal electrothermal therapy, nucleoplasty, radiofrequency denervation, spinal fusion and artificial disc replacement. These options are generally the last line of treatment because they can result in prolonged recovery time, may not be successful in reducing pain or addressing the underlying cause, and may result in permanent loss of flexibility. For these reasons, less invasive interventions are usually implemented first. Less invasive interventions may include (i) nonpharmacological therapies such as physical therapy, stretching exercises, spinal manipulations or chiropractic therapy, traction, acupuncture, transcutaneous electrical nerve stimulation, and biofeedback;</w:t>
      </w:r>
    </w:p>
    <w:p>
      <w:pPr>
        <w:spacing w:after="0" w:line="2" w:lineRule="exact"/>
        <w:rPr>
          <w:sz w:val="20"/>
          <w:szCs w:val="20"/>
          <w:color w:val="auto"/>
        </w:rPr>
      </w:pPr>
    </w:p>
    <w:p>
      <w:pPr>
        <w:ind w:left="1980" w:right="999" w:hanging="8"/>
        <w:spacing w:after="0" w:line="260" w:lineRule="auto"/>
        <w:tabs>
          <w:tab w:leader="none" w:pos="215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oral pharmaceutical therapies such as NSAIDs, muscle relaxants, opiates, antidepressants, and anticonvulsants; and (iii) injectable pharmaceutical therapies such as off-label use of ESIs or nerve blocks.</w:t>
      </w:r>
    </w:p>
    <w:p>
      <w:pPr>
        <w:spacing w:after="0" w:line="12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ESIs for various back pain syndromes are one of the most common procedures performed in the United States and lumbosacral radicular ESI procedures represent 88% of total ESI procedures. ESIs are used when a patient’s pain is inadequately controlled with oral pain medications, topical systems or interventions such as physical therapy. ESIs have demonstrated efficacy in reducing pain, restoring function, reducing the need for other health care and avoiding back surgery. However, in addition to not being FDA-approved for the treatment of sciatica, currently-used ESIs also present various risks and challenges.</w:t>
      </w:r>
    </w:p>
    <w:p>
      <w:pPr>
        <w:spacing w:after="0" w:line="125" w:lineRule="exact"/>
        <w:rPr>
          <w:sz w:val="20"/>
          <w:szCs w:val="20"/>
          <w:color w:val="auto"/>
        </w:rPr>
      </w:pPr>
    </w:p>
    <w:p>
      <w:pPr>
        <w:ind w:left="1980" w:right="919" w:firstLine="294"/>
        <w:spacing w:after="0" w:line="253" w:lineRule="auto"/>
        <w:rPr>
          <w:sz w:val="20"/>
          <w:szCs w:val="20"/>
          <w:color w:val="auto"/>
        </w:rPr>
      </w:pPr>
      <w:r>
        <w:rPr>
          <w:rFonts w:ascii="Times New Roman" w:cs="Times New Roman" w:eastAsia="Times New Roman" w:hAnsi="Times New Roman"/>
          <w:sz w:val="12"/>
          <w:szCs w:val="12"/>
          <w:color w:val="auto"/>
        </w:rPr>
        <w:t>When administering an ESI, many physicians use a particulate steroid (including methylprednisolone acetate, triamcinolone acetonide, or betamethasone sodium phosphate or betamethasone sodium acetate) instead of a non-particulate steroid (dexamethasone sodium phosphate) because early studies suggested that the duration of pain relief was longer with the particulates and fewer repeat injections were required, even though dexamethasone is considered an otherwise potent and therapeutically beneficial therapy. Particulate in injectable products is defined as extraneous undissolved particles present in injectable solution products. An example of such particulate is precipitate of insoluble drug product form, or suspended drug particle. These steroid particles or their aggregates have at least two mechanisms for neurological damage: (1) they can act as emboli if injected into an artery and are of sufficient size to block small terminal arterioles supplying the brain or spinal cord; and (2) several particulate steroids have an immediate and massive effect on microvascular perfusion because of formation of red blood cell aggregates. These emboli can cause rare but catastrophic neurologic injuries including stroke and spinal cord injury that can result in increased pain, severe permanent disability or death. In addition, fungal meningitis has occurred from the injection of steroids manufactured in a compounding pharmacy that did not adhere to sterility standards.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FDA has been evaluating serious neurologic events with ESIs since 2009, and in 2014, the FDA required a class warning on the currently off-label use of injectable corticosteroids to include information about the risk of serious neurologic events with ESIs. The warning on product labels for all injectable glucocorticoids states that the product is to be used for intramuscular or intravenous purposes only, and specifically includes a warning for serious neurologic adverse reactions with epidural administration. These serious neurologic events have been reported with and without the use of fluoroscopy. The class warning also includes a statement that safety and effectiveness of epidural administration of these corticosteroids have not been established.</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Certain third-party payors have also provided limited coverage of ESIs to date. Based on coverage criteria established by different health care plans and certain Medicare Administrative Contractors, an ESI is considered medically necessary and therefore reimbursable only when certain specific criteria are met.</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Our Solution</w:t>
      </w:r>
    </w:p>
    <w:p>
      <w:pPr>
        <w:spacing w:after="0" w:line="8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are developing SP-102 to address problems associated with currently available corticosteroid products that are used in practice but not approved for epidural injection or the treatment of sciatica. SP-102 is a Phase 3 sterile dexamethasone sodium phosphate viscous gel formulation of 10 mg dexamethasone at a 5 mg/mL concentration in a pre-filled glass syringe for delivery via an epidural injection. SP-102 allows for the use of the potent dexamethasone and provides for longer residency time at the site of injection through the use of a viscous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147</w:t>
      </w:r>
    </w:p>
    <w:p>
      <w:pPr>
        <w:sectPr>
          <w:pgSz w:w="11900" w:h="16838" w:orient="portrait"/>
          <w:cols w:equalWidth="0" w:num="1">
            <w:col w:w="10159"/>
          </w:cols>
          <w:pgMar w:left="300" w:top="368"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99"/>
        <w:spacing w:after="0" w:line="279" w:lineRule="auto"/>
        <w:rPr>
          <w:sz w:val="20"/>
          <w:szCs w:val="20"/>
          <w:color w:val="auto"/>
        </w:rPr>
      </w:pPr>
      <w:r>
        <w:rPr>
          <w:rFonts w:ascii="Times New Roman" w:cs="Times New Roman" w:eastAsia="Times New Roman" w:hAnsi="Times New Roman"/>
          <w:sz w:val="12"/>
          <w:szCs w:val="12"/>
          <w:color w:val="auto"/>
        </w:rPr>
        <w:t>excipient in lieu of particulates. The product is also formulated without the use of preservatives and packaged in a pre-filled syringe, so as to confer greater physician convenience.</w:t>
      </w:r>
    </w:p>
    <w:p>
      <w:pPr>
        <w:spacing w:after="0" w:line="111"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Currently-used steroids carry a class warning and are not approved to be administered epidurally for the treatment of sciatica. In fact, there are further warnings that the safety and efficacy of the use of these products following epidural administration has not been established. Their formulations include neurotoxic preservatives, surfactants, suspensions or particulates that carry risks of serious neurologic complications. Unlike currently-used steroids, SP-102 does not contain neurotoxic preservatives, surfactants, suspensions or particulates that carry risk of serious neurologic complications, which we believe may improve tolerability and the extent of pain relief. By using dexamethasone sodium phosphate, the soluble form of the potent dexamethasone, we believe SP-102 may substantially reduce the risk of embolic events in case of inadvertent intra-arterial administration and enable repeat injections. We expect the injectable viscous gel product, SP-102, which uses a biocompatible, biodegradable, novel excipient and is protected by multiple patents and patent applications and trade secrets, to prolong the residence time at the injection site and result in extended local activity. We believe SP-102, if successfully developed and approved, has the potential to reduce the disability related to lumbosacral radicular pain and help delay or avoid spine surgery.</w:t>
      </w:r>
    </w:p>
    <w:p>
      <w:pPr>
        <w:spacing w:after="0" w:line="12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If approved, SP-102 could become the first FDA-approved ESI product for sciatica. We believe an FDA-approved therapy for the treatment of sciatica could potentially benefit from first-to-market advantage if it can be shown to reduce or delay the need for expensive and potentially risky interventions such as spinal surgery and decrease the use of opioids. SP-102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w:t>
      </w:r>
    </w:p>
    <w:p>
      <w:pPr>
        <w:spacing w:after="0" w:line="126" w:lineRule="exact"/>
        <w:rPr>
          <w:sz w:val="20"/>
          <w:szCs w:val="20"/>
          <w:color w:val="auto"/>
        </w:rPr>
      </w:pPr>
    </w:p>
    <w:p>
      <w:pPr>
        <w:ind w:left="1980" w:right="999" w:firstLine="294"/>
        <w:spacing w:after="0" w:line="255" w:lineRule="auto"/>
        <w:rPr>
          <w:sz w:val="20"/>
          <w:szCs w:val="20"/>
          <w:color w:val="auto"/>
        </w:rPr>
      </w:pPr>
      <w:r>
        <w:rPr>
          <w:rFonts w:ascii="Times New Roman" w:cs="Times New Roman" w:eastAsia="Times New Roman" w:hAnsi="Times New Roman"/>
          <w:sz w:val="12"/>
          <w:szCs w:val="12"/>
          <w:color w:val="auto"/>
        </w:rPr>
        <w:t>We have completed a pivotal Phase 3 Corticosteroid Lumbar Epidural Analgesia Radiculopathy (“CLEAR”) trial (NCT03372161), which was designed to evaluate the tolerability and clinical benefit of SP-102 in the proposed indication (i.e., treatment of LRP). The CLEAR clinical trial is a randomized, double-blind, placebo-controlled, multicenter Phase 3 trial that enrolled 401 subjects with LRP at over 40 clinical sites across the United States, with a primary objective to evaluate the analgesic effect on average in the affected leg pain (as measured by the Numeric Pain Rating Scale (“NPRS”) in the affected leg) following a single epidural transforaminal (TF) injection of SP-102, compared to an intramuscular (i.e., the posterior multifidus muscle) injection of placebo over four weeks. After the primary Week Four analysis period, and if the subject continued to experience leg pain, a repeat injection of open-label SP-102 was made optional at the investigator’s discretion.</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SP-103 (lidocaine topical system) 5.4%</w:t>
      </w:r>
    </w:p>
    <w:p>
      <w:pPr>
        <w:spacing w:after="0" w:line="82"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are developing SP-103 to be a triple-strength, non-aqueous lidocaine topical system for the treatment of acute pain. SP-103 leverages the same adhesive drug delivery formulation and manufacturing as ZTlido along with comparable backing material, perforated release liner and container-closure system. The increase in drug load is offset by a corresponding decrease in the adhesive diluent.</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Our Solution</w:t>
      </w:r>
    </w:p>
    <w:p>
      <w:pPr>
        <w:spacing w:after="0" w:line="80"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Our triple-strength SP-103 is an investigational, non-aqueous lidocaine topical system undergoing clinical development in acute pain. If approved, we believe that SP-103 could become the lidocaine topical product for acute pain indications. This program builds on the learning from ZTlido because both products share the same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148</w:t>
      </w:r>
    </w:p>
    <w:p>
      <w:pPr>
        <w:sectPr>
          <w:pgSz w:w="11900" w:h="16838" w:orient="portrait"/>
          <w:cols w:equalWidth="0" w:num="1">
            <w:col w:w="10159"/>
          </w:cols>
          <w:pgMar w:left="300" w:top="368"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superior adhesion and superior drug delivery formulation and manufacturing technology. We are developing SP-103 to deliver a dose of lidocaine that is at least three times higher than any approved lidocaine topical products (including the approved ZTlido, which has a drug load of 36 mg lidocaine). We manufacture SP-103 to have a drug load of 108 mg lidocaine in a similar superior adhesion as ZTlido, along with comparable backing material, perforated release liner and container-closure system.</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SP-103 has demonstrated delivery of three times the level of drug of ZTlido, and consequently delivers three times the level of drug of Lidoderm and associated generics by extrapolation. SP-103 has been granted fast track designation by the FDA in LBP. We believe SP-103, if successfully developed and approved, may be able to address the limitations of prescription lidocaine patches in treating acute pain by delivering a higher dose of lidocaine to the application site, but with systemic exposure of the drug remaining well below established safety thresholds. SP-103 has three times the drug load of ZTlido (108 mg versus 36 mg) in the adhesive system and can potentially deliver three times the level of the drug within a targeted area, with the convenience of a single topical system. This level of dosage for SP-103 is comparable to the maximum approved daily dosage of ZTlido, or three topical systems for up to 12 hours during a 24-hour period. By contrast, delivering higher levels of drug with other lidocaine patches is encumbered by the underlying hydrogel technology that constrains the level of drug that can be loaded into the adhesive of those products. The level of drug product in such patches can be increased only with a thicker adhesive layer, which can result in a loss of adhesion performance and flexibility. Further, increasing product dimensions can allow delivery of the drug over a larger area, but does not increase drug delivery to a localized area under the topical system.</w:t>
      </w:r>
    </w:p>
    <w:p>
      <w:pPr>
        <w:spacing w:after="0" w:line="128"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We believe the acute pain market presents an attractive commercial opportunity due to the large patient population, lack of any approved drugs and high level of unmet medical need. We believe developing and commercializing a topical non-opioid product targeting this segment of the pain population represents a commercially attractive strategy.</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Potential Additional Markets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Neuropathic Pain Market Overview</w:t>
      </w:r>
    </w:p>
    <w:p>
      <w:pPr>
        <w:spacing w:after="0" w:line="80"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Neuropathic pain is triggered as a consequence of a disease or lesion to the somatosensory nervous system, altering its structure and function. It is maladaptive, meaning that the pain can be felt in the absence of a stimulus, and responses to innocuous and noxious stimuli are pathologically amplified. Neuropathic pain affects around 7-10% of the general population.</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Common causes of the condition include postsurgical and post-traumatic nerve damage or nerve pressure, vascular malformations, alcoholism, metabolic diseases such as diabetes, cancer, viral infections, and neurological diseases such as multiple sclerosis. Chronic neuropathic pain may also be associated with an underlying condition such as diabetic neuropathy or cancer, and with treatments such as chemotherapy.</w:t>
      </w:r>
    </w:p>
    <w:p>
      <w:pPr>
        <w:spacing w:after="0" w:line="119"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Neuropathic pain often manifests as a burning sensation, with the affected regions becoming sensitive to even a slight touch. The symptoms of neuropathic pain include burning and sensations of electric shock, sleep disturbance, depression and anxiety, numbness, pins and needles, and difficulty in sensing temperatures.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Neuropathic Pain: Current Treatment Landscape and Limitations of Existing Treatments</w:t>
      </w:r>
    </w:p>
    <w:p>
      <w:pPr>
        <w:spacing w:after="0" w:line="80"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Recommended first-line treatment for the relief of neuropathic pain associated with PHN includes topical lidocaine, gabapentinoids (which have been associated with the potential for abuse as well as numerous adverse events), antidepressants and a multi-modal approach. Topical lidocaine and gabapentinoids are preferred for combination therapies due to their low propensity for drug-to-drug interactions. For example, an eight-week combination use with pregabalin (Lyrica) has been proven to reduce pain in half for patients who had inadequate relief on monotherapy, despite titration of pregabalin to effect. This efficacy boost was achieved without tolerability issues or adding to side effects.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149</w:t>
      </w:r>
    </w:p>
    <w:p>
      <w:pPr>
        <w:sectPr>
          <w:pgSz w:w="11900" w:h="16838" w:orient="portrait"/>
          <w:cols w:equalWidth="0" w:num="1">
            <w:col w:w="10159"/>
          </w:cols>
          <w:pgMar w:left="300" w:top="368"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According to the Centers for Disease Control and Prevention, over 75% of the 100,306 drug overdose deaths during the 12-month period ending in April 2021 involved opioids. Similarly, tricyclic antidepressants, which can be effective in managing the neuropathic pain associated with PHN, can result in significant systemic side effects and cardiotoxicity, posing risks to the elderly and patients with heart disease, epilepsy or glaucoma. These side effects make topical lidocaine products an attractive first-line treatment option from a safety perspective. The safety of lidocaine patches is well supported in medical literature. Unlike transdermal medications that are designed to achieve systemic drug levels via absorption through the skin or mucosal membrane, leading to effects away from the application site, topical lidocaine has a local effect at the site of application. Because drug application is localized to the immediate area surrounding the patch, systemic absorption from a topical patch is low, reducing the risk of systemic side effects and lowering the potential for drug interactions relative to other systemic pharmacologic therapies. Due to the low systemic exposure and minimal systemic side effects reported in clinical trials, we believe a topical lidocaine patch is well suited for patients being treated with multiple medications or at a higher risk of side effects, including the elderly or those with chronic conditions. As a localized treatment, lidocaine patches have been used concomitantly with other medications in patients for whom monotherapy is inadequate. Furthermore, we believe medication administered topically rather than orally can improve patient compliance.</w:t>
      </w:r>
    </w:p>
    <w:p>
      <w:pPr>
        <w:spacing w:after="0" w:line="126"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While lidocaine patches have certain advantages over the treatment alternatives discussed above, certain patches have limitations that may impact efficacy. For example, poor adhesion of the patch is a leading problem for topical lidocaine patches cited in the FAERS. Because the drug is incorporated in the adhesive for these products, patches must maintain adhesion or risk compromising the ability to deliver their full drug dose. As a result, establishing strong adhesion is a key factor for patient compliance and satisfaction. In draft guidance issued in July 2021, the FDA recommended that developers of topical and TDSs conduct studies to characterize the adhesion performance of the product with suggested data requirements. Likewise, the FDA issued draft guidance in October 2018 outlining the adhesion data requirements for generic TDSs. This guidance, along with Scilex’s past experience with regulatory agencies, shows the FDA’s interest and the importance of adhesion performance of these products. Since SP-103 uses the same technology as ZTlido, we anticipate that SP-103 will have similar superior adhesive properties.</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Acute &amp; Chronic LBP Market Overview</w:t>
      </w:r>
    </w:p>
    <w:p>
      <w:pPr>
        <w:spacing w:after="0" w:line="80"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safe and effective treatment of acute and chronic LBP addresses a high unmet need and creates large market opportunities. LBP affects about 70% of people in resource-rich countries at some point in their lives. Acute and chronic LBP can be self-limiting, however. One year after an initial episode, as many as 33% of people still have moderate intensity pain and 15% have severe pain. Acute LBP has a high recurrence rate with 75% of those with a first episode having a recurrence. Although acute episodes may resolve completely, they may increase in severity and duration over time. Americans spent approximately $134.5 billion in 2016 on treating LBP and neck pain, which was the highest expenditure among 154 conditions studied by the Department of Institute for Health Metrics and Evaluation at the University of Washington.</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Acute &amp; Chronic LBP: Current Treatment Landscape and Limitations of Existing Treatments</w:t>
      </w:r>
    </w:p>
    <w:p>
      <w:pPr>
        <w:spacing w:after="0" w:line="80"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According to the Centers for Disease Control and Prevention, in 2018, 28.0% of men and 31.6% of women aged 18 years old and older had lower back pain in the past three months. The percentage of women who had lower back pain increased as age increased. Among men, the percentage increased with age through age 74 years and then decreased. Women in the age groups 18—44, 45—64, and 75 years and older were more likely to have lower back pain in the past three months than were men in the same age groups, but percentages were similar between men and women in the age group 65-74 years. Although most patients recover quickly with minimal treatment, proper evaluation is imperative to identify rare cases of serious underlying pathology. Certain red flags should prompt aggressive treatment or referral to a spine specialist, whereas others are less concerning. Serious red flags include significant trauma related to age (i.e., injury related to a fall from a height or motor vehicle crash in a young patient, or from a minor fall or heavy lifting in a patient with osteoporosis or possible</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150</w:t>
      </w:r>
    </w:p>
    <w:p>
      <w:pPr>
        <w:sectPr>
          <w:pgSz w:w="11900" w:h="16838" w:orient="portrait"/>
          <w:cols w:equalWidth="0" w:num="1">
            <w:col w:w="10159"/>
          </w:cols>
          <w:pgMar w:left="300" w:top="368" w:right="1440"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79"/>
        <w:spacing w:after="0" w:line="260" w:lineRule="auto"/>
        <w:rPr>
          <w:sz w:val="20"/>
          <w:szCs w:val="20"/>
          <w:color w:val="auto"/>
        </w:rPr>
      </w:pPr>
      <w:r>
        <w:rPr>
          <w:rFonts w:ascii="Times New Roman" w:cs="Times New Roman" w:eastAsia="Times New Roman" w:hAnsi="Times New Roman"/>
          <w:sz w:val="12"/>
          <w:szCs w:val="12"/>
          <w:color w:val="auto"/>
        </w:rPr>
        <w:t>osteoporosis), major or progressive motor or sensory deficit, new-onset bowel or bladder incontinence or urinary retention, loss of anal sphincter tone, saddle anesthesia, history of cancer metastatic to bone and suspected spinal infection. Without clinical signs of serious pathology, diagnostic imaging and laboratory testing often are not required. Although there are numerous treatments for nonspecific acute LBP, most have little evidence of benefit. Patient education and medications such as nonsteroidal anti-inflammatory drugs, acetaminophen and muscle relaxants are beneficial.</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SP-104 (4.5mg, low-dose naltrexone hydrochloride delayed-release capsules)</w:t>
      </w:r>
    </w:p>
    <w:p>
      <w:pPr>
        <w:spacing w:after="0" w:line="82"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We are developing SP-104 for the treatment of fibromyalgia. Low-dose naltrexone hydrochloride delayed-release capsules are routinely used off-label to treat fibromyalgia and other chronic pain conditions such as complex regional pain.</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Fibromyalgia Market Overview</w:t>
      </w:r>
    </w:p>
    <w:p>
      <w:pPr>
        <w:spacing w:after="0" w:line="8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Fibromyalgia affects an estimated 10 million people in the United States and an estimated 3% to 6% of the world population. While it is most prevalent in women, it also occurs in men and children of all ethnic groups. Fibromyalgia is the second most common disorder that rheumatologists encounter, seen in 15% of evaluated patients. Approximately 8% of patients cared for in primary care clinics have fibromyalgia. Prominent fibromyalgia researchers and specialists estimate the economic burden of fibromyalgia in the United States to be between $12 billion to $14 billion each year and the condition accounts for a loss of 1% to 2% of the national overall productivity.</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Potential Complications of Fibromyalgia</w:t>
      </w:r>
    </w:p>
    <w:p>
      <w:pPr>
        <w:spacing w:after="0" w:line="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is a non-exhaustive list of complications of fibromyalgia:</w:t>
      </w:r>
    </w:p>
    <w:p>
      <w:pPr>
        <w:spacing w:after="0" w:line="87" w:lineRule="exact"/>
        <w:rPr>
          <w:sz w:val="20"/>
          <w:szCs w:val="20"/>
          <w:color w:val="auto"/>
        </w:rPr>
      </w:pPr>
    </w:p>
    <w:p>
      <w:pPr>
        <w:ind w:left="2620" w:hanging="288"/>
        <w:spacing w:after="0"/>
        <w:tabs>
          <w:tab w:leader="none" w:pos="26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extreme allodynia with high levels of distress;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opioid or alcohol dependence;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marked functional impairment;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severe depression and anxiety;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obesity and physical deconditioning;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metabolic syndrome.</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151</w:t>
      </w:r>
    </w:p>
    <w:p>
      <w:pPr>
        <w:sectPr>
          <w:pgSz w:w="11900" w:h="16838" w:orient="portrait"/>
          <w:cols w:equalWidth="0" w:num="1">
            <w:col w:w="10159"/>
          </w:cols>
          <w:pgMar w:left="300" w:top="368"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Although fibromyalgia is frequently grouped with arthritis-related conditions, there is no apparent inflammation or damage to the joints, muscles or other tissues. The diagnostic criteria for fibromyalgia are detailed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88900</wp:posOffset>
            </wp:positionV>
            <wp:extent cx="3097530" cy="2423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97530"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980" w:right="1079" w:firstLine="294"/>
        <w:spacing w:after="0" w:line="260" w:lineRule="auto"/>
        <w:rPr>
          <w:sz w:val="20"/>
          <w:szCs w:val="20"/>
          <w:color w:val="auto"/>
        </w:rPr>
      </w:pPr>
      <w:r>
        <w:rPr>
          <w:rFonts w:ascii="Times New Roman" w:cs="Times New Roman" w:eastAsia="Times New Roman" w:hAnsi="Times New Roman"/>
          <w:sz w:val="12"/>
          <w:szCs w:val="12"/>
          <w:color w:val="auto"/>
        </w:rPr>
        <w:t>Currently approved products for pain in fibromyalgia, including duloxetine, pregabalin and milnacipran, have limited efficacy. Responders applying such products can only demonstrate a 27% to 40% reduction of symptoms, which is far below the commonly accepted threshold of 50% to prove efficacy in treating fibromyalgia. In light of this, we believe new treatments with higher efficacy are needed to improve management of fibromyalgia.</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Our Solution</w:t>
      </w:r>
    </w:p>
    <w:p>
      <w:pPr>
        <w:spacing w:after="0" w:line="80" w:lineRule="exact"/>
        <w:rPr>
          <w:sz w:val="20"/>
          <w:szCs w:val="20"/>
          <w:color w:val="auto"/>
        </w:rPr>
      </w:pPr>
    </w:p>
    <w:p>
      <w:pPr>
        <w:ind w:left="1980" w:right="919" w:firstLine="294"/>
        <w:spacing w:after="0" w:line="280" w:lineRule="auto"/>
        <w:rPr>
          <w:sz w:val="20"/>
          <w:szCs w:val="20"/>
          <w:color w:val="auto"/>
        </w:rPr>
      </w:pPr>
      <w:r>
        <w:rPr>
          <w:rFonts w:ascii="Times New Roman" w:cs="Times New Roman" w:eastAsia="Times New Roman" w:hAnsi="Times New Roman"/>
          <w:sz w:val="11"/>
          <w:szCs w:val="11"/>
          <w:color w:val="auto"/>
        </w:rPr>
        <w:t>SP-104 has key clinical data supporting its use in fibromyalgia. There are investigational trials that support use and development of SP-104 for fibromyalgia. Currently there are no low-dose formulations (i.e., less than 5 mg) available. Physicians currently use the commercially available high-dose tablets (50 mg) and have compounding pharmacies aliquot lower doses for patients. Pharmacy-compounding is inherently inaccurate and does not involve analyses to confirm that the aliquoted product has the target level of drug, and there is no assurance as to content uniformity within a batch as well as other quality attributes critical for pharmaceutical product performance. This approach can lead to errors in dosing and challenges with titration. The commercial products and pharmacy-compounded products also allow for the immediate release of the drug in the stomach, which can lead to compliance challenges due to severe side effects. Common side effects for naltrexone include hyperalgesia, dysphoria, insomnia and anxiety. All these issues culminate into patient compliance issues and result in the eventual abandonment of an otherwise viable therapy to treat this debilitating disease.</w:t>
      </w:r>
    </w:p>
    <w:p>
      <w:pPr>
        <w:spacing w:after="0" w:line="7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152</w:t>
      </w:r>
    </w:p>
    <w:p>
      <w:pPr>
        <w:sectPr>
          <w:pgSz w:w="11900" w:h="16838" w:orient="portrait"/>
          <w:cols w:equalWidth="0" w:num="1">
            <w:col w:w="10159"/>
          </w:cols>
          <w:pgMar w:left="300" w:top="368" w:right="1440"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Our SP-104 uses delayed burst release technology that bypasses the stomach and releases the drug in the gut (upper intestine). When taking SP-104 at night before bed, peak drug levels are achieved at night during sleep, allowing the patient to avoid conscious perception of hyperalgesia and other side effects. The combination of the delayed-release and administration at night may also maximize efficacy as most endorphin/ enkephalin release is during sleep, which maximizes the product’s potential to elicit compensatory response.</w:t>
      </w:r>
    </w:p>
    <w:p>
      <w:pPr>
        <w:spacing w:after="0" w:line="12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We are committed to developing SP-104 for fibromyalgia. Phase 1 studies are designed to characterize the PK and safety profile of SP-104. If successful, we believe SP-104 can become a pivotal treatment for management of fibromyalgia, which represents a large commercial opportunity with high unmet demands.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Commercialization and Market Access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Sales &amp; Marketing</w:t>
      </w:r>
    </w:p>
    <w:p>
      <w:pPr>
        <w:spacing w:after="0" w:line="8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We have built a robust and integrated commercial infrastructure using a dedicated sales force and sales management, marketing and managed care capabilities, to maximize the potential of our three current marketed products, ZTlido, ELYXYB and GLOPERBA, and to commercialize our product candidates, if approved. We are focused on achieving accelerated sales growth and increased market uptake for ZTlido in the topical lidocaine product market, where we believe we have the only actively promoted product, ELYXYB in the migraine market, and GLOPERBA in the grout market. Our dedicated sales force of over 70 people has broad experience in pain management and is exclusively focused on promoting ZTlido, ELYXYB and GLOPERBA. Our sales representatives leverage their established relationships to call on over 10,000 target pain specialists, neurologists, select primary care providers and palliative care physicians who Scilex believes treat the majority of PHN patients and migraine patients. We believe these same call points provide treatment for the sciatica, acute LBP, and acute pain patients that could benefit from SEMDEXA and SP-103, if approved. Our sales representatives typically have over 10 years of experience in promoting a broad scope of pain management products that Scilex intends to leverage as our product candidates are commercialized.</w:t>
      </w:r>
    </w:p>
    <w:p>
      <w:pPr>
        <w:spacing w:after="0" w:line="129"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As of December 31, 2024, ZTlido had gained approximately 9.2% market share of the lidocaine patch prescription market across the territories we cover in the United States. The total prescriptions of ZTlido for the year ended December 31, 2024 grew by approximately 2.4% over the year ended December 31, 2023, according to Symphony Healthcare’s national prescription data. Our experienced sales representatives and managers are supported by our marketing team, whose members have successfully launched over 20 products with large pharmaceutical, biotechnology and specialty pharmaceutical companies. Our marketing team has developed a multi-channel marketing strategy to promote the continued uptake of ZTlido by highlighting its significantly improved adhesion and continuous pain relief throughout the 12-hour administration period. We are also promoting ZTlido with a marketing campaign that engages patients seeking relief for neuropathic pain associated with PHN through social media and medical and consumer journals. Further, our marketing function is supported by an experienced analytics team that leverages its experience in forecasting and analytics to draw insights from healthcare databases to inform our marketing strategy. As part of our broader commercial strategy, our marketing analytics team is conducting market research to support the launch of SP-102, SP-103 and SP-104, if any of these candidates is approved. We believe that our sales force, supporting commercial infrastructure and established relationships with our targeted physician audience will provide a strategic advantage in pursuing potential partnerships to commercialize other non-opioid pain management therapeutics.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Market Access</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We have established a patient-centric market access function with robust capabilities across the market access continuum, including payor sales, contracting and marketing strategies, supplemental patient assistance programs and responsible drug pricing to support patients’ access to ZTlido. Our team of managed healthcare account executives has demonstrated experience in establishing products on formularies and have currently prioritized and targeted select payor accounts representing approximately 275 million of the over 300 million lives, with the remaining 25 million to be considered in the future. Currently, ZTlido is covered for over</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153</w:t>
      </w:r>
    </w:p>
    <w:p>
      <w:pPr>
        <w:sectPr>
          <w:pgSz w:w="11900" w:h="16838" w:orient="portrait"/>
          <w:cols w:equalWidth="0" w:num="1">
            <w:col w:w="10159"/>
          </w:cols>
          <w:pgMar w:left="300" w:top="368" w:right="1440"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200 million lives in the United States and coverage continues to improve. As of January 2023, we have secured coverage for ZTlido on CVS Caremark/Aetna Commercial, Cigna HealthCare (commercial and Medicare plans), Express Scripts (commercial and most Medicare plans), United Healthcare Commercial, Optum Rx Select Commercial, Anthem BCBS, BCBS Louisiana and Kansas, Lifetime/Excellus BCBS, MedImpact, CareFirst, Elixir Commercial and Medicaid in California, Florida, Idaho, and North Dakota. We continue to negotiate coverage with large payors and pharmacy benefit managers in all books of business.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Formulary Coverage - Over 90% of Lives Covered or In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114935</wp:posOffset>
            </wp:positionV>
            <wp:extent cx="3303270" cy="15830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3270"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We utilize an outside vendor to administer a patient assistance program directed at patients with commercial insurance or those paying out-of-pocket. With the co-pay assistance program, qualifying patients do not have to pay any co-payment for their ZTlido prescription. We utilize an external vendor and train the sales force to work proactively with clinician office managers in completing required forms for prior authorization for ZTlido.</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Clinical Development Overview</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Clinical Trial Highlights</w:t>
      </w:r>
    </w:p>
    <w:p>
      <w:pPr>
        <w:spacing w:after="0" w:line="80" w:lineRule="exact"/>
        <w:rPr>
          <w:sz w:val="20"/>
          <w:szCs w:val="20"/>
          <w:color w:val="auto"/>
        </w:rPr>
      </w:pPr>
    </w:p>
    <w:p>
      <w:pPr>
        <w:ind w:left="1980" w:right="1159" w:firstLine="294"/>
        <w:spacing w:after="0" w:line="260" w:lineRule="auto"/>
        <w:rPr>
          <w:sz w:val="20"/>
          <w:szCs w:val="20"/>
          <w:color w:val="auto"/>
        </w:rPr>
      </w:pPr>
      <w:r>
        <w:rPr>
          <w:rFonts w:ascii="Times New Roman" w:cs="Times New Roman" w:eastAsia="Times New Roman" w:hAnsi="Times New Roman"/>
          <w:sz w:val="12"/>
          <w:szCs w:val="12"/>
          <w:color w:val="auto"/>
        </w:rPr>
        <w:t>We have evaluated ZTlido in over 600 subjects in clinical trials to support marketing approval and promotional campaigns for the relief of neuropathic pain associated with PHN in the United States. Our studies sought to investigate the bioequivalence of ZTlido compared to Lidoderm, adhesion performance and the dermal safety and tolerability of ZTlido under a range of application times and settings. Based on these studies, we concluded that ZTlido:</w:t>
      </w:r>
    </w:p>
    <w:p>
      <w:pPr>
        <w:spacing w:after="0" w:line="59" w:lineRule="exact"/>
        <w:rPr>
          <w:sz w:val="20"/>
          <w:szCs w:val="20"/>
          <w:color w:val="auto"/>
        </w:rPr>
      </w:pPr>
    </w:p>
    <w:p>
      <w:pPr>
        <w:ind w:left="2620" w:hanging="288"/>
        <w:spacing w:after="0"/>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demonstrated bioequivalence to Lidoderm in study SCI-LIDO-PK-002A;</w:t>
      </w:r>
    </w:p>
    <w:p>
      <w:pPr>
        <w:spacing w:after="0" w:line="87" w:lineRule="exact"/>
        <w:rPr>
          <w:rFonts w:ascii="Times New Roman" w:cs="Times New Roman" w:eastAsia="Times New Roman" w:hAnsi="Times New Roman"/>
          <w:sz w:val="12"/>
          <w:szCs w:val="12"/>
          <w:color w:val="auto"/>
        </w:rPr>
      </w:pPr>
    </w:p>
    <w:p>
      <w:pPr>
        <w:ind w:left="2620" w:right="1299" w:hanging="288"/>
        <w:spacing w:after="0" w:line="279" w:lineRule="auto"/>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showed greater than or equal to 90% adhesion in over 90% of the subjects at the end of the 12-hour administration period in study SCI-LIDO-ADH-001;</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showed superior adhesion to Lidoderm and Mylan’s generic lidocaine patch in studies SCI-LIDO-AHD-002 and SCI-LIDO-ADH-003;</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not meaningfully impacted by heat or exercise in study SCI-LIDO-HEX-001;</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able to be used under showering and bathing conditions in study SCI-LIDO-ADH-004;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did not show clinically meaningful dermal irritation in study SCI-LIDO-DERM-001.</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154</w:t>
      </w:r>
    </w:p>
    <w:p>
      <w:pPr>
        <w:sectPr>
          <w:pgSz w:w="11900" w:h="16838" w:orient="portrait"/>
          <w:cols w:equalWidth="0" w:num="1">
            <w:col w:w="10159"/>
          </w:cols>
          <w:pgMar w:left="300" w:top="368" w:right="144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Study Details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Pivotal Bioequivalence Study </w:t>
      </w:r>
      <w:r>
        <w:rPr>
          <w:rFonts w:ascii="Times New Roman" w:cs="Times New Roman" w:eastAsia="Times New Roman" w:hAnsi="Times New Roman"/>
          <w:sz w:val="12"/>
          <w:szCs w:val="12"/>
          <w:color w:val="auto"/>
        </w:rPr>
        <w:t>- SCI-LIDO-PK-002A</w:t>
      </w:r>
    </w:p>
    <w:p>
      <w:pPr>
        <w:spacing w:after="0" w:line="80"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conducted a comparative single-dose PK study between ZTlido and Lidoderm designed as a two-way cross-over in 54 healthy subjects. In this trial design, each subject received a single dose of three ZTlido or three Lidoderm patches followed by a washout period and the administration of the other product. The purpose of this study was to establish bioequivalence between the products, which was determined by the statistical comparability of Cmax and AUC as shown in the figure below.</w:t>
      </w:r>
    </w:p>
    <w:p>
      <w:pPr>
        <w:spacing w:after="0" w:line="122" w:lineRule="exact"/>
        <w:rPr>
          <w:sz w:val="20"/>
          <w:szCs w:val="20"/>
          <w:color w:val="auto"/>
        </w:rPr>
      </w:pPr>
    </w:p>
    <w:p>
      <w:pPr>
        <w:jc w:val="both"/>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This was considered the pivotal clinical trial for ZTlido, as it provided the pharmaceutical bridge between the two products and showed that ZTlido had comparable safety and efficacy to Lidoderm. As a result of successfully establishing the pharmaceutical bridge, no stand-alone clinical efficacy studies were required by the FDA to determine ZTlido’s analgesic effects for ZTlido’s approval.</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Mean Lidocaine Plasma Concentration Time Profiles - Semilog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114935</wp:posOffset>
            </wp:positionV>
            <wp:extent cx="2777490" cy="18630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77490" cy="186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Pivotal Adhesion Study </w:t>
      </w:r>
      <w:r>
        <w:rPr>
          <w:rFonts w:ascii="Times New Roman" w:cs="Times New Roman" w:eastAsia="Times New Roman" w:hAnsi="Times New Roman"/>
          <w:sz w:val="12"/>
          <w:szCs w:val="12"/>
          <w:color w:val="auto"/>
        </w:rPr>
        <w:t>- SCI-LIDO-ADH-001</w:t>
      </w:r>
    </w:p>
    <w:p>
      <w:pPr>
        <w:spacing w:after="0" w:line="80"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We conducted an open-label, single-treatment, single-period, single-application adhesion performance study in 54 healthy, human subjects to assess the adhesion performance of ZTlido over the 12-hour administration period of the product. The study also investigated whether ZTlido met an FDA established adhesion performance benchmark of greater than or equal to 90% adhesion in greater than or equal to 90% of subjects in the study at the end of the administration period. At the end of the 12-hour administration period, over 90% of the subjects (49 out of the 54 subjects) maintained greater than or equal to 90% adhesion, with no adverse events reported during the study.</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155</w:t>
      </w:r>
    </w:p>
    <w:p>
      <w:pPr>
        <w:sectPr>
          <w:pgSz w:w="11900" w:h="16838" w:orient="portrait"/>
          <w:cols w:equalWidth="0" w:num="1">
            <w:col w:w="10159"/>
          </w:cols>
          <w:pgMar w:left="300" w:top="368" w:right="1440"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Maintained Greater Than 90% Adhesion Over the 12-Hour 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114935</wp:posOffset>
            </wp:positionV>
            <wp:extent cx="3006090" cy="16002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06090" cy="160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This study was considered the pivotal adhesion study for marketing approval and is summarized in the product label.</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Head-to-Head Adhesion Study versus Lidoderm </w:t>
      </w:r>
      <w:r>
        <w:rPr>
          <w:rFonts w:ascii="Times New Roman" w:cs="Times New Roman" w:eastAsia="Times New Roman" w:hAnsi="Times New Roman"/>
          <w:sz w:val="12"/>
          <w:szCs w:val="12"/>
          <w:color w:val="auto"/>
        </w:rPr>
        <w:t>- SCI-LIDO-ADH-002</w:t>
      </w:r>
    </w:p>
    <w:p>
      <w:pPr>
        <w:spacing w:after="0" w:line="80"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We conducted an open label, single-treatment, three-period, single-application adhesion performance study in 44 healthy, human subjects to evaluate the adhesion performance of ZTlido compared to the adhesion performance of Lidoderm over a 12-hour administration period.</w:t>
      </w:r>
    </w:p>
    <w:p>
      <w:pPr>
        <w:spacing w:after="0" w:line="111"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In this study, ZTlido demonstrated significantly superior mean adhesion scores compared to Lidoderm at 3, 5, 9 and 12 hours after application. ZTlido maintained a mean percent adhesion performance greater than 90% over the 12-hour administration period, while Lidoderm fell below 90% mean adhesion within three hours.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Demonstrated Superior Adhesion Compared to Lidoderm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114935</wp:posOffset>
            </wp:positionV>
            <wp:extent cx="2606040" cy="17487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60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156</w:t>
      </w:r>
    </w:p>
    <w:p>
      <w:pPr>
        <w:sectPr>
          <w:pgSz w:w="11900" w:h="16838" w:orient="portrait"/>
          <w:cols w:equalWidth="0" w:num="1">
            <w:col w:w="10159"/>
          </w:cols>
          <w:pgMar w:left="300" w:top="368" w:right="1440"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Head-to-Head Adhesion Study versus Mylan’s Generic </w:t>
      </w:r>
      <w:r>
        <w:rPr>
          <w:rFonts w:ascii="Times New Roman" w:cs="Times New Roman" w:eastAsia="Times New Roman" w:hAnsi="Times New Roman"/>
          <w:sz w:val="12"/>
          <w:szCs w:val="12"/>
          <w:color w:val="auto"/>
        </w:rPr>
        <w:t>- SCI-LIDO-ADH-003</w:t>
      </w:r>
    </w:p>
    <w:p>
      <w:pPr>
        <w:spacing w:after="0" w:line="80" w:lineRule="exact"/>
        <w:rPr>
          <w:sz w:val="20"/>
          <w:szCs w:val="20"/>
          <w:color w:val="auto"/>
        </w:rPr>
      </w:pPr>
    </w:p>
    <w:p>
      <w:pPr>
        <w:ind w:left="1980" w:right="1079" w:firstLine="294"/>
        <w:spacing w:after="0" w:line="257" w:lineRule="auto"/>
        <w:rPr>
          <w:sz w:val="20"/>
          <w:szCs w:val="20"/>
          <w:color w:val="auto"/>
        </w:rPr>
      </w:pPr>
      <w:r>
        <w:rPr>
          <w:rFonts w:ascii="Times New Roman" w:cs="Times New Roman" w:eastAsia="Times New Roman" w:hAnsi="Times New Roman"/>
          <w:sz w:val="12"/>
          <w:szCs w:val="12"/>
          <w:color w:val="auto"/>
        </w:rPr>
        <w:t>We conducted an open-label, single-treatment, two-period, single-application adhesion performance study in 24 healthy, human subjects to evaluate the adhesion performance of ZTlido compared to the adhesion performance of a generic lidocaine patch 5% manufactured by Mylan over a 12-hour administration period. The purpose of this study was to compare the adhesion performance of ZTlido against a topical lidocaine product involving a non-aqueous formulation. We selected Mylan’s generic lidocaine patch as a comparator because it has similar product characteristics, including a non-aqueous polymer drug-in-adhesive system allowing for a thinner patch and a lower drug load as compared to Lidoderm.</w:t>
      </w:r>
    </w:p>
    <w:p>
      <w:pPr>
        <w:spacing w:after="0" w:line="125"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 this study, ZTlido demonstrated significantly superior adhesion performance compared to Mylan’s generic lidocaine patch. ZTlido maintained a mean adhesion greater than 90% over the 12-hour administration period, while the generic product had a mean adhesion score of only 80% immediately after application, which declined to a mean adhesion score of 27% at 12 hours after application.</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Demonstrated Superior Adhesion Compared to Mylan’s Generic Lidocaine Patch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114935</wp:posOffset>
            </wp:positionV>
            <wp:extent cx="2834640" cy="2348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3464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PK and Adhesion Study under Exercise and Heat Conditions </w:t>
      </w:r>
      <w:r>
        <w:rPr>
          <w:rFonts w:ascii="Times New Roman" w:cs="Times New Roman" w:eastAsia="Times New Roman" w:hAnsi="Times New Roman"/>
          <w:sz w:val="12"/>
          <w:szCs w:val="12"/>
          <w:color w:val="auto"/>
        </w:rPr>
        <w:t>- SCI-LIDO-HEX-001</w:t>
      </w:r>
    </w:p>
    <w:p>
      <w:pPr>
        <w:spacing w:after="0" w:line="15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We conducted an open-label, randomized, three-treatment, three-sequence, three-period, cross-over, PK and adhesion performance study of three ZTlido topical systems applied to separate areas in 12 healthy, human subjects during physical exercise, exposure to heat and under normal conditions, respectively. The three treatment periods were as follows:</w:t>
      </w:r>
    </w:p>
    <w:p>
      <w:pPr>
        <w:spacing w:after="0" w:line="56" w:lineRule="exact"/>
        <w:rPr>
          <w:sz w:val="20"/>
          <w:szCs w:val="20"/>
          <w:color w:val="auto"/>
        </w:rPr>
      </w:pPr>
    </w:p>
    <w:p>
      <w:pPr>
        <w:ind w:left="2620" w:right="1099" w:hanging="288"/>
        <w:spacing w:after="0" w:line="279" w:lineRule="auto"/>
        <w:tabs>
          <w:tab w:leader="none" w:pos="2620"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Treatment A sought to assess the PK and adhesion performance of ZTlido under physical exercise conditions. In this treatment period, subjects were instructed to perform exercise for 30 minutes on a</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157</w:t>
      </w:r>
    </w:p>
    <w:p>
      <w:pPr>
        <w:sectPr>
          <w:pgSz w:w="11900" w:h="16838" w:orient="portrait"/>
          <w:cols w:equalWidth="0" w:num="1">
            <w:col w:w="10159"/>
          </w:cols>
          <w:pgMar w:left="300" w:top="368" w:right="1440"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939"/>
        <w:spacing w:after="0" w:line="265" w:lineRule="auto"/>
        <w:rPr>
          <w:sz w:val="20"/>
          <w:szCs w:val="20"/>
          <w:color w:val="auto"/>
        </w:rPr>
      </w:pPr>
      <w:r>
        <w:rPr>
          <w:rFonts w:ascii="Times New Roman" w:cs="Times New Roman" w:eastAsia="Times New Roman" w:hAnsi="Times New Roman"/>
          <w:sz w:val="12"/>
          <w:szCs w:val="12"/>
          <w:color w:val="auto"/>
        </w:rPr>
        <w:t>stationary bike achieving a heart rate of 108 beats per minute, with continuous heart monitoring during exercise. Subjects were instructed to perform exercise immediately after the application of the topical system and at 2.5, 5.5 and 8.5 hours following the application of the topical system.</w:t>
      </w:r>
    </w:p>
    <w:p>
      <w:pPr>
        <w:spacing w:after="0" w:line="56" w:lineRule="exact"/>
        <w:rPr>
          <w:sz w:val="20"/>
          <w:szCs w:val="20"/>
          <w:color w:val="auto"/>
        </w:rPr>
      </w:pPr>
    </w:p>
    <w:p>
      <w:pPr>
        <w:ind w:left="2620" w:right="979" w:hanging="288"/>
        <w:spacing w:after="0" w:line="265" w:lineRule="auto"/>
        <w:tabs>
          <w:tab w:leader="none" w:pos="26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Treatment B sought to assess the PK and adhesion performance of ZTlido under heat conditions. In this treatment period, a heating pad adjusted to the medium setting was applied for 20 minutes immediately after application of the topical system and at 8.5 hours following the application of the topical system.</w:t>
      </w:r>
    </w:p>
    <w:p>
      <w:pPr>
        <w:spacing w:after="0" w:line="55" w:lineRule="exact"/>
        <w:rPr>
          <w:rFonts w:ascii="Times New Roman" w:cs="Times New Roman" w:eastAsia="Times New Roman" w:hAnsi="Times New Roman"/>
          <w:sz w:val="12"/>
          <w:szCs w:val="12"/>
          <w:color w:val="auto"/>
        </w:rPr>
      </w:pPr>
    </w:p>
    <w:p>
      <w:pPr>
        <w:ind w:left="2620" w:right="1219" w:hanging="288"/>
        <w:spacing w:after="0" w:line="279" w:lineRule="auto"/>
        <w:tabs>
          <w:tab w:leader="none" w:pos="2620"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Treatment C sought to assess the PK and adhesion performance of ZTlido under normal conditions. In this treatment period, topical systems were applied to the mid-lower back and worn for 12 hours.</w:t>
      </w:r>
    </w:p>
    <w:p>
      <w:pPr>
        <w:spacing w:after="0" w:line="111"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In treatment A, adhesion and PK performance were not compromised by exercise, as reflected in the product label. In treatment B, heat had an effect on PK but had no effect on adhesion. In Treatment C, normal PKs were observed and greater than 90% of subjects showed greater than 90% adhesion. No meaningful irritation was observed across all treatments across all time points in any of the subjects.</w:t>
      </w:r>
    </w:p>
    <w:p>
      <w:pPr>
        <w:spacing w:after="0" w:line="119"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The impact of heat and exercise on PK is presented in the figure below. It was observed that heat had an effect on Cmax, but the drug returned to normal levels after removal of heat and there was no clinically meaningful observed effect on AUC. Heat did not appear to have a deleterious or catastrophic effect on topical system performance, either as a dose-dump (i.e., immediate and complete release of all drug from the product), or as reduced drug delivery (i.e., much lower systemic exposure). There was no significant effect on PK observed with exercise when compared to subjects under normal conditions.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Demonstrated Consistent* PK Performance under Exercise and Heat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114935</wp:posOffset>
            </wp:positionV>
            <wp:extent cx="2548890" cy="1920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88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  Defined as no clinically meaningful changes by meeting bioequivalence criteria</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Dermal Sensitization and Irritation Study </w:t>
      </w:r>
      <w:r>
        <w:rPr>
          <w:rFonts w:ascii="Times New Roman" w:cs="Times New Roman" w:eastAsia="Times New Roman" w:hAnsi="Times New Roman"/>
          <w:sz w:val="12"/>
          <w:szCs w:val="12"/>
          <w:color w:val="auto"/>
        </w:rPr>
        <w:t>- SCI-LIDO-DERM-001</w:t>
      </w:r>
    </w:p>
    <w:p>
      <w:pPr>
        <w:spacing w:after="0" w:line="80"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We conducted a provocative dermal sensitization and irritation human clinical trial, also referred to as a repeat insult topical system test, intended to elicit the worst-case dermal safety of ZTlido by extended wearing of</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158</w:t>
      </w:r>
    </w:p>
    <w:p>
      <w:pPr>
        <w:sectPr>
          <w:pgSz w:w="11900" w:h="16838" w:orient="portrait"/>
          <w:cols w:equalWidth="0" w:num="1">
            <w:col w:w="10159"/>
          </w:cols>
          <w:pgMar w:left="300" w:top="368"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19"/>
        <w:spacing w:after="0" w:line="265" w:lineRule="auto"/>
        <w:rPr>
          <w:sz w:val="20"/>
          <w:szCs w:val="20"/>
          <w:color w:val="auto"/>
        </w:rPr>
      </w:pPr>
      <w:r>
        <w:rPr>
          <w:rFonts w:ascii="Times New Roman" w:cs="Times New Roman" w:eastAsia="Times New Roman" w:hAnsi="Times New Roman"/>
          <w:sz w:val="12"/>
          <w:szCs w:val="12"/>
          <w:color w:val="auto"/>
        </w:rPr>
        <w:t>the product over multiple days. In this trial, we compared the sensitization potential, and the overall irritation profiles of ZTlido and Lidoderm in 218 normal and healthy subjects. We used a 7-point scale where a score of 0 indicated no irritation and a score of 7 was considered a strong reaction spreading beyond the application site.</w:t>
      </w:r>
    </w:p>
    <w:p>
      <w:pPr>
        <w:spacing w:after="0" w:line="119"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In this study, results showed that the adhesion quality of ZTlido did not compromise dermal safety. The study reported that ZTlido did not show potential for dermal sensitization and showed an overall benign irritation profile. Both ZTlido and Lidoderm had a mean irritation score well below 1, which is defined as barely perceptible erythema. This study allowed for the ZTlido label to adopt the same local tolerance language as labeled for Lidoderm.</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Photoallergy and Phototoxicity Studies </w:t>
      </w:r>
      <w:r>
        <w:rPr>
          <w:rFonts w:ascii="Times New Roman" w:cs="Times New Roman" w:eastAsia="Times New Roman" w:hAnsi="Times New Roman"/>
          <w:sz w:val="12"/>
          <w:szCs w:val="12"/>
          <w:color w:val="auto"/>
        </w:rPr>
        <w:t>- SCI-LIDO-PHOT0-001 and SCI-LIDO-PHOTO-002</w:t>
      </w:r>
    </w:p>
    <w:p>
      <w:pPr>
        <w:spacing w:after="0" w:line="80"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We conducted a 6-week randomized study, SCI-LIDO-PHOTO-001, to evaluate the potential of ZTlido and its comparator, Lidoderm, to induce a photoallergic skin reaction in 54 healthy volunteers. In this study, we observed that ZTlido was not photoallergic.</w:t>
      </w:r>
    </w:p>
    <w:p>
      <w:pPr>
        <w:spacing w:after="0" w:line="111"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We conducted a 4-day, randomized study, SCI-LIDO-PHOTO-002, to evaluate the irritation potential of ZTlido and its comparator, Lidoderm, when application to skin is followed by light exposure in 32 healthy volunteers, using a phototoxicity patch test. In this study, we observed that ZTlido was not phototoxic.</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Post-Approval Studies for ZTlido</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Water Stress Study (Shower and Swimming) </w:t>
      </w:r>
      <w:r>
        <w:rPr>
          <w:rFonts w:ascii="Times New Roman" w:cs="Times New Roman" w:eastAsia="Times New Roman" w:hAnsi="Times New Roman"/>
          <w:sz w:val="12"/>
          <w:szCs w:val="12"/>
          <w:color w:val="auto"/>
        </w:rPr>
        <w:t>- SCI-LIDO-ADH-004</w:t>
      </w:r>
    </w:p>
    <w:p>
      <w:pPr>
        <w:spacing w:after="0" w:line="8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We conducted a single-dose study in 24 subjects to examine the adhesion and lidocaine delivery (PK) of ZTlido when it is exposed to two separate water stress conditions of (1) showering (10 minutes) and (2) swimming (15 minutes). The study showed that while some degree of product lifting was observed, the product could be pressed back down or reattached with no further diminished adhesion performance or drug delivery. This study led to a change in the product label indicating that patients may use the product while showering or bathing. This provides significant patient convenience as Lidoderm and the associated generics are labeled to avoid contact with water such as bathing, swimming or showering, as these products may not stick if they get wet. With ZTlido, patients can engage in these activities within the 12-hour administration period.</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Investigator-Sponsored Studies</w:t>
      </w:r>
    </w:p>
    <w:p>
      <w:pPr>
        <w:spacing w:after="0" w:line="80"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We plan to support several investigator-initiated research studies to evaluate the clinical benefits of using ZTlido in patients with carpal tunnel syndrome, neck pain, intercostal neuralgia and other possible indications.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SP-102 (SEMDEXA)</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have completed a Phase 3 pivotal study of SP-102. The CLEAR study is a randomized, double-blind, placebo-controlled Phase 3 trial that enrolled 401 patients with sciatica to compare the epidural administration of SP-102 to placebo. We announced final results from this study in March 2022. We also presented the pivotal Phase 3 trial results at the American Society of Interventional Pain Physicians annual meeting in Las Vegas, Nevada in May 2022.</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Clinical Trial Highlights</w:t>
      </w:r>
    </w:p>
    <w:p>
      <w:pPr>
        <w:spacing w:after="0" w:line="80" w:lineRule="exact"/>
        <w:rPr>
          <w:sz w:val="20"/>
          <w:szCs w:val="20"/>
          <w:color w:val="auto"/>
        </w:rPr>
      </w:pPr>
    </w:p>
    <w:p>
      <w:pPr>
        <w:ind w:left="1980" w:right="1039"/>
        <w:spacing w:after="0" w:line="279" w:lineRule="auto"/>
        <w:rPr>
          <w:sz w:val="20"/>
          <w:szCs w:val="20"/>
          <w:color w:val="auto"/>
        </w:rPr>
      </w:pPr>
      <w:r>
        <w:rPr>
          <w:rFonts w:ascii="Times New Roman" w:cs="Times New Roman" w:eastAsia="Times New Roman" w:hAnsi="Times New Roman"/>
          <w:sz w:val="12"/>
          <w:szCs w:val="12"/>
          <w:color w:val="auto"/>
        </w:rPr>
        <w:t>SP-102 has been evaluated in a number of preclinical studies and clinical trials as a potential treatment for sciatica. Key findings from the preclinical studies and clinical trials include:</w:t>
      </w:r>
    </w:p>
    <w:p>
      <w:pPr>
        <w:spacing w:after="0" w:line="48" w:lineRule="exact"/>
        <w:rPr>
          <w:sz w:val="20"/>
          <w:szCs w:val="20"/>
          <w:color w:val="auto"/>
        </w:rPr>
      </w:pPr>
    </w:p>
    <w:p>
      <w:pPr>
        <w:ind w:left="2620" w:right="1059" w:hanging="288"/>
        <w:spacing w:after="0" w:line="279" w:lineRule="auto"/>
        <w:tabs>
          <w:tab w:leader="none" w:pos="2620"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Repeat injections of SP-102 showed continued pain reduction with no unexpected adverse events based on preliminary results from the SP-102-03 study;</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159</w:t>
      </w:r>
    </w:p>
    <w:p>
      <w:pPr>
        <w:sectPr>
          <w:pgSz w:w="11900" w:h="16838" w:orient="portrait"/>
          <w:cols w:equalWidth="0" w:num="1">
            <w:col w:w="10159"/>
          </w:cols>
          <w:pgMar w:left="300" w:top="368"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SP-102 showed an extended local activity with epidural administration in the ES-1504 study;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SP-102 showed an extended residence time and tolerability in the 1014-1512 and the 1014-2847, preclinical studies; and</w:t>
      </w:r>
    </w:p>
    <w:p>
      <w:pPr>
        <w:spacing w:after="0" w:line="87" w:lineRule="exact"/>
        <w:rPr>
          <w:rFonts w:ascii="Times New Roman" w:cs="Times New Roman" w:eastAsia="Times New Roman" w:hAnsi="Times New Roman"/>
          <w:sz w:val="12"/>
          <w:szCs w:val="12"/>
          <w:color w:val="auto"/>
        </w:rPr>
      </w:pPr>
    </w:p>
    <w:p>
      <w:pPr>
        <w:ind w:left="2620" w:right="1119" w:hanging="288"/>
        <w:spacing w:after="0" w:line="279" w:lineRule="auto"/>
        <w:tabs>
          <w:tab w:leader="none" w:pos="2620"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SP-102 into blood vessels did not result in neurological complications in the UPD003-IS21 preclinical toxicology study.</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SP-102 (SEMDEXA) Study Details Phase 3 Pivotal Clinical Trial—CLEAR</w:t>
      </w:r>
    </w:p>
    <w:p>
      <w:pPr>
        <w:spacing w:after="0" w:line="80"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We have completed a pivotal, randomized, double-blind, placebo-controlled Phase 3 trial, CLEAR, that enrolled 401 patients with sciatica at over 40 sites across the United States. The study included an open-label extension where subjects were followed for up to 24 weeks after treatment to evaluate the safety of administering SP-102 in a larger patient population. After week 4, subjects who met certain pain criteria received open-label SP-102 to investigate the safety of repeat injections and the duration of pain relief following injection. This well-controlled, randomized trial was designed to demonstrate evidence of the analgesic effect and safety of SP-102. The schematic of this Phase 3 trial is demonstrated in the flowchart below.</w:t>
      </w:r>
    </w:p>
    <w:p>
      <w:pPr>
        <w:spacing w:after="0" w:line="269" w:lineRule="exact"/>
        <w:rPr>
          <w:sz w:val="20"/>
          <w:szCs w:val="20"/>
          <w:color w:val="auto"/>
        </w:rPr>
      </w:pPr>
    </w:p>
    <w:p>
      <w:pPr>
        <w:ind w:left="1980" w:right="859" w:firstLine="294"/>
        <w:spacing w:after="0" w:line="286" w:lineRule="auto"/>
        <w:rPr>
          <w:sz w:val="20"/>
          <w:szCs w:val="20"/>
          <w:color w:val="auto"/>
        </w:rPr>
      </w:pPr>
      <w:r>
        <w:rPr>
          <w:rFonts w:ascii="Times New Roman" w:cs="Times New Roman" w:eastAsia="Times New Roman" w:hAnsi="Times New Roman"/>
          <w:sz w:val="11"/>
          <w:szCs w:val="11"/>
          <w:color w:val="auto"/>
        </w:rPr>
        <w:t>The primary objective of this study was to evaluate the analgesic effect of SP-102 on average leg pain, measured using the NPRS following a single transforaminal injection. These results were compared to an intra-muscular injection of placebo over a four-week period. The secondary objectives of this study include (i) evaluation of the degree of disability over time as measured by the Oswestry Disability Index; (ii) characterization of the change of the subject’s radiculopathy symptoms and overall condition, using a combination of PainDETECT, modified Brief Pain Inventory, Clinical Global Impression of Change, and Patient Global Impression of Change and (iii) evaluation of the safety of a single and repeat SP-102 injection.</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Schematic of CLEAR - SP-102 (SEMDEXA) Phase 3 Pivotal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114935</wp:posOffset>
            </wp:positionV>
            <wp:extent cx="3429000" cy="14859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00" cy="148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A full 6-month data analysis was completed in February 2022 and we announced final results from the study in March 2022, which results reflect achievement of primary and secondary endpoints. We also presented the pivotal Phase 3 trial results at the American Society of Interventional Pain Physicians annual meeting in Las Vegas, Nevada in May 2022.</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160</w:t>
      </w:r>
    </w:p>
    <w:p>
      <w:pPr>
        <w:sectPr>
          <w:pgSz w:w="11900" w:h="16838" w:orient="portrait"/>
          <w:cols w:equalWidth="0" w:num="1">
            <w:col w:w="10159"/>
          </w:cols>
          <w:pgMar w:left="300" w:top="368" w:right="1440"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Phase 3 CLEAR trial summary results, which results reflect achievement of primary and majority of secondary endpoints, are as follows:</w:t>
      </w:r>
    </w:p>
    <w:p>
      <w:pPr>
        <w:spacing w:after="0" w:line="87" w:lineRule="exact"/>
        <w:rPr>
          <w:sz w:val="20"/>
          <w:szCs w:val="20"/>
          <w:color w:val="auto"/>
        </w:rPr>
      </w:pPr>
    </w:p>
    <w:p>
      <w:pPr>
        <w:ind w:left="2620" w:right="939" w:hanging="288"/>
        <w:spacing w:after="0" w:line="283" w:lineRule="auto"/>
        <w:tabs>
          <w:tab w:leader="none" w:pos="262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intent-to-treat (“ITT”) population, the primary endpoint of change in average daily NPRS pain in the affected leg over four weeks following the initial injection of SP-102 demonstrated least square (“LS”) mean treatment difference (standard error (“SE”)) of -0.52</w:t>
      </w:r>
    </w:p>
    <w:p>
      <w:pPr>
        <w:ind w:left="2620" w:right="899"/>
        <w:spacing w:after="0" w:line="25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(0.163) units [95% confidence interval (“CI”): -0.84,—0.20] compared to placebo (P=0.002). The change from baseline to Week Four in the mean daily average NPRS pain score (standard deviation (“SD”)) in the affected leg was -1.81 (1.896) for SP-102 versus -1.29 (1.814) in the placebo group. The calculated standardized effect size (Cohen’s D calculated as the group mean difference divided by the pooled standard deviation) associated with the ITT population is 0.28. A statistically significant difference in the mean daily average NPRS pain change between SP-102 and placebo was observed at Week One with a mean change from baseline of -1.49 (1.519) for SP-102 and -1.02 (1.472) for placebo (P=0.002), which was maintained through Week Four. These highly significant differences between SP-102 and placebo were also observed following sensitivity analyses for fixed effects.</w:t>
      </w:r>
    </w:p>
    <w:p>
      <w:pPr>
        <w:spacing w:after="0" w:line="63" w:lineRule="exact"/>
        <w:rPr>
          <w:rFonts w:ascii="Times New Roman" w:cs="Times New Roman" w:eastAsia="Times New Roman" w:hAnsi="Times New Roman"/>
          <w:sz w:val="11"/>
          <w:szCs w:val="11"/>
          <w:color w:val="auto"/>
        </w:rPr>
      </w:pPr>
    </w:p>
    <w:p>
      <w:pPr>
        <w:ind w:left="2620" w:right="859" w:hanging="288"/>
        <w:spacing w:after="0" w:line="260" w:lineRule="auto"/>
        <w:tabs>
          <w:tab w:leader="none" w:pos="26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Likewise for the ITT population, most of the secondary endpoints at four weeks also demonstrated statistically significant results. For the key secondary endpoint of mean change in Oswestry Disability Index (“ODI”) from baseline, the LS mean treatment difference (SE) for SP-102 was -3.38 (1.388) units [95% CI: -6.11, -0.65] compared to placebo (P=0.015). SP-102 treatment resulted in a -8.88 point reduction from baseline, which exceeds the minimal clinically important difference of -8 established in a reported pain study.</w:t>
      </w:r>
    </w:p>
    <w:p>
      <w:pPr>
        <w:spacing w:after="0" w:line="59" w:lineRule="exact"/>
        <w:rPr>
          <w:rFonts w:ascii="Times New Roman" w:cs="Times New Roman" w:eastAsia="Times New Roman" w:hAnsi="Times New Roman"/>
          <w:sz w:val="12"/>
          <w:szCs w:val="12"/>
          <w:color w:val="auto"/>
        </w:rPr>
      </w:pPr>
    </w:p>
    <w:p>
      <w:pPr>
        <w:ind w:left="2620" w:right="899" w:hanging="288"/>
        <w:spacing w:after="0" w:line="257" w:lineRule="auto"/>
        <w:tabs>
          <w:tab w:leader="none" w:pos="26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secondary endpoints with statistically significant results for the ITT population include worst pain in affected leg at Week Four (P=0.004) and over four weeks (P=0.001), current pain in the affected leg (P=0.009), average pain in lower back (P=0.035), Brief Pain Inventory-Short Form (“BPI-SF”) for pain severity (P=0.003) and pain interference (P=0.049), Patient Global Impression of Change (“PGIC”) (P&lt;0.001) and Clinical Global Impression of Change (“CGIC”) (P&lt;0.001), with the proportion of patients achieving a response at 30% (P=0.002).</w:t>
      </w:r>
    </w:p>
    <w:p>
      <w:pPr>
        <w:spacing w:after="0" w:line="62" w:lineRule="exact"/>
        <w:rPr>
          <w:rFonts w:ascii="Times New Roman" w:cs="Times New Roman" w:eastAsia="Times New Roman" w:hAnsi="Times New Roman"/>
          <w:sz w:val="12"/>
          <w:szCs w:val="12"/>
          <w:color w:val="auto"/>
        </w:rPr>
      </w:pPr>
    </w:p>
    <w:p>
      <w:pPr>
        <w:ind w:left="2620" w:right="939" w:hanging="288"/>
        <w:spacing w:after="0" w:line="279" w:lineRule="auto"/>
        <w:tabs>
          <w:tab w:leader="none" w:pos="26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to repeat injection (50th quantile [95% CI]) for the ITT population was 84 (71, 100) days for SP-102 versus 58 (50, 69) days for placebo (P=0.001).</w:t>
      </w:r>
    </w:p>
    <w:p>
      <w:pPr>
        <w:spacing w:after="0" w:line="48" w:lineRule="exact"/>
        <w:rPr>
          <w:rFonts w:ascii="Times New Roman" w:cs="Times New Roman" w:eastAsia="Times New Roman" w:hAnsi="Times New Roman"/>
          <w:sz w:val="12"/>
          <w:szCs w:val="12"/>
          <w:color w:val="auto"/>
        </w:rPr>
      </w:pPr>
    </w:p>
    <w:p>
      <w:pPr>
        <w:ind w:left="2620" w:right="919" w:hanging="288"/>
        <w:spacing w:after="0" w:line="255" w:lineRule="auto"/>
        <w:tabs>
          <w:tab w:leader="none" w:pos="26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 analyses were performed with the modified ITT population (“mITT”), the population with fluoroscopically confirmed needle placement. The primary endpoint group mean difference, associated standardized effect size (Cohen’s D), and statistical significance were improved for the mITT population (i.e., -1.08 (0.171), Cohen’s D = 0.68, P&lt;0.001), which were initially observed at week one and improved through Week Four. Similarly, the mITT population was observed to have improved with mostly highly statistically significant outcomes for SP-102 over placebo for the secondary efficacy endpoints. In contrast to the ITT population, the mITT population was observed to have statistically significant PainDETECT (a tool to detect neuropathic pain components) for SP-102 over placebo (P=0.037) as well as number of subjects experiencing a 50% reduction in pain in the affected leg (P&lt;0.001).</w:t>
      </w:r>
    </w:p>
    <w:p>
      <w:pPr>
        <w:spacing w:after="0" w:line="62" w:lineRule="exact"/>
        <w:rPr>
          <w:rFonts w:ascii="Times New Roman" w:cs="Times New Roman" w:eastAsia="Times New Roman" w:hAnsi="Times New Roman"/>
          <w:sz w:val="12"/>
          <w:szCs w:val="12"/>
          <w:color w:val="auto"/>
        </w:rPr>
      </w:pPr>
    </w:p>
    <w:p>
      <w:pPr>
        <w:ind w:left="2620" w:right="999" w:hanging="288"/>
        <w:spacing w:after="0" w:line="279" w:lineRule="auto"/>
        <w:tabs>
          <w:tab w:leader="none" w:pos="2620"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mITT population, the time to repeat injection (50th quantile [95% CI]) was 99 (78, 129) days for SP-102 versus 57 (49, 67) days for placebo.</w:t>
      </w:r>
    </w:p>
    <w:p>
      <w:pPr>
        <w:spacing w:after="0" w:line="48" w:lineRule="exact"/>
        <w:rPr>
          <w:rFonts w:ascii="Times New Roman" w:cs="Times New Roman" w:eastAsia="Times New Roman" w:hAnsi="Times New Roman"/>
          <w:sz w:val="12"/>
          <w:szCs w:val="12"/>
          <w:color w:val="auto"/>
        </w:rPr>
      </w:pPr>
    </w:p>
    <w:p>
      <w:pPr>
        <w:jc w:val="both"/>
        <w:ind w:left="2620" w:right="979" w:hanging="288"/>
        <w:spacing w:after="0" w:line="280" w:lineRule="auto"/>
        <w:tabs>
          <w:tab w:leader="none" w:pos="262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There were no serious adverse events (“SAEs”) related to SP-102 or its administration procedure. There were no adverse events (“AEs”) leading to death, and no AEs of special interest (“AESIs”) (i.e., paraplegia, hematoma, or infection at the injection site). There were four (1.4%) subjects experiencing SAEs and one (0.3%) subject experiencing an AE leading to early withdrawal after receiving SP-102. Two</w:t>
      </w:r>
    </w:p>
    <w:p>
      <w:pPr>
        <w:ind w:left="2620" w:right="1039"/>
        <w:spacing w:after="0" w:line="253"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(1.0%) subjects experienced an SAE, with one (0.5%) subject experiencing an AE leading to early withdrawal and one patient death following placebo. The fatal SAE was considered unrelated to the placebo or study procedure, as were the SAEs leading to early withdrawal. In general, a slightly higher proportion of subjects in the SP-102 group had treatment emergent AEs (“TEAEs”) than in the placebo</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161</w:t>
      </w:r>
    </w:p>
    <w:p>
      <w:pPr>
        <w:sectPr>
          <w:pgSz w:w="11900" w:h="16838" w:orient="portrait"/>
          <w:cols w:equalWidth="0" w:num="1">
            <w:col w:w="10159"/>
          </w:cols>
          <w:pgMar w:left="300" w:top="368" w:right="1440"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899"/>
        <w:spacing w:after="0" w:line="260" w:lineRule="auto"/>
        <w:rPr>
          <w:sz w:val="20"/>
          <w:szCs w:val="20"/>
          <w:color w:val="auto"/>
        </w:rPr>
      </w:pPr>
      <w:r>
        <w:rPr>
          <w:rFonts w:ascii="Times New Roman" w:cs="Times New Roman" w:eastAsia="Times New Roman" w:hAnsi="Times New Roman"/>
          <w:sz w:val="12"/>
          <w:szCs w:val="12"/>
          <w:color w:val="auto"/>
        </w:rPr>
        <w:t>group, (60 [29.7%] subjects vs 42 [21.1%] subjects with any TEAE). The most common TEAEs by system organ class (SOC) were nervous system disorders: 20 (9.9%) in the SP-102 group, 16 (8.0%) in the placebo group, and 20 (7.0%) in the SP-102 repeat injection group. The most common TEAEs by preferred term (“PT”) were headache, reported in 13 (6.4%) subjects in the SP-102 group, 11 (5.5%) subjects in the placebo group, and 10 (3.5%) subjects the SP-102 repeat injection group.</w:t>
      </w:r>
    </w:p>
    <w:p>
      <w:pPr>
        <w:spacing w:after="0" w:line="59" w:lineRule="exact"/>
        <w:rPr>
          <w:sz w:val="20"/>
          <w:szCs w:val="20"/>
          <w:color w:val="auto"/>
        </w:rPr>
      </w:pPr>
    </w:p>
    <w:p>
      <w:pPr>
        <w:ind w:left="2620" w:right="859" w:hanging="288"/>
        <w:spacing w:after="0" w:line="257" w:lineRule="auto"/>
        <w:tabs>
          <w:tab w:leader="none" w:pos="26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Overall, headaches were more commonly reported in subjects exposed to SP-102 than in subjects not exposed to SP-102 through 12 weeks (6.5% vs 2.1%). Headaches were generally mild, transient, and associated with the epidural injection. Pain at the site of injection was only reported for subjects receiving SP-102 following the initial injection (2.0%) and repeat injection (0.7%). Otherwise, TEAEs occurring ≥2% of subjects were low and balanced between SP-102 and placebo. TEAEs occurring with an incidence ≥2% remained low following the repeat injection.</w:t>
      </w:r>
    </w:p>
    <w:p>
      <w:pPr>
        <w:spacing w:after="0" w:line="62"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were no meaningful differences observed in physical examinations, vital signs, or laboratory parameters between treatment groups.</w:t>
      </w:r>
    </w:p>
    <w:p>
      <w:pPr>
        <w:spacing w:after="0" w:line="150" w:lineRule="exact"/>
        <w:rPr>
          <w:sz w:val="20"/>
          <w:szCs w:val="20"/>
          <w:color w:val="auto"/>
        </w:rPr>
      </w:pPr>
    </w:p>
    <w:p>
      <w:pPr>
        <w:ind w:left="1980" w:right="1259" w:firstLine="294"/>
        <w:spacing w:after="0" w:line="279" w:lineRule="auto"/>
        <w:rPr>
          <w:sz w:val="20"/>
          <w:szCs w:val="20"/>
          <w:color w:val="auto"/>
        </w:rPr>
      </w:pPr>
      <w:r>
        <w:rPr>
          <w:rFonts w:ascii="Times New Roman" w:cs="Times New Roman" w:eastAsia="Times New Roman" w:hAnsi="Times New Roman"/>
          <w:sz w:val="12"/>
          <w:szCs w:val="12"/>
          <w:color w:val="auto"/>
        </w:rPr>
        <w:t>The data from the primary endpoint analyses is graphically presented below. Summary tables are also provided for primary and secondary endpoints.</w:t>
      </w:r>
    </w:p>
    <w:p>
      <w:pPr>
        <w:spacing w:after="0" w:line="1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Mean Change From Baseline in NPRS Average Pain Score (Standard Error) in the Affected Leg (ITT Population)</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SP-102 vs Placebo Weeks 1,2,3,4: p = 0.002, 0.005, 0.003, 0.003. Overall treatment Effect (Mean SP-102 vs Placebo difference): Diff = -0.52, SE=</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0.163, p = 0.002. Error Bars: 95% Confidence Limits.</w:t>
      </w:r>
    </w:p>
    <w:p>
      <w:pPr>
        <w:spacing w:after="0" w:line="63" w:lineRule="exact"/>
        <w:rPr>
          <w:sz w:val="20"/>
          <w:szCs w:val="20"/>
          <w:color w:val="auto"/>
        </w:rPr>
      </w:pPr>
    </w:p>
    <w:p>
      <w:pPr>
        <w:ind w:left="1980" w:right="999"/>
        <w:spacing w:after="0" w:line="286" w:lineRule="auto"/>
        <w:rPr>
          <w:sz w:val="20"/>
          <w:szCs w:val="20"/>
          <w:color w:val="auto"/>
        </w:rPr>
      </w:pPr>
      <w:r>
        <w:rPr>
          <w:rFonts w:ascii="Times New Roman" w:cs="Times New Roman" w:eastAsia="Times New Roman" w:hAnsi="Times New Roman"/>
          <w:sz w:val="12"/>
          <w:szCs w:val="12"/>
          <w:b w:val="1"/>
          <w:bCs w:val="1"/>
          <w:color w:val="auto"/>
        </w:rPr>
        <w:t>Primary and Secondary Outcomes: NPRS Average Leg Pain In Affected Leg, ODI Total Score, Mean Daily NPRS (worst, current, and lower back), PainDetect, BPI-SF (Change from Baseline to Four Weeks; ITT Population)</w:t>
      </w:r>
    </w:p>
    <w:p>
      <w:pPr>
        <w:spacing w:after="0" w:line="10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SP-102</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Placebo</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gridSpan w:val="3"/>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2"/>
              </w:rPr>
              <w:t>N=202</w:t>
            </w:r>
          </w:p>
        </w:tc>
        <w:tc>
          <w:tcPr>
            <w:tcW w:w="1160" w:type="dxa"/>
            <w:vAlign w:val="bottom"/>
            <w:gridSpan w:val="3"/>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2"/>
              </w:rPr>
              <w:t>N=199</w:t>
            </w: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tcPr>
          <w:p>
            <w:pPr>
              <w:spacing w:after="0"/>
              <w:rPr>
                <w:sz w:val="8"/>
                <w:szCs w:val="8"/>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89"/>
              </w:rPr>
              <w:t>Endpoint</w:t>
            </w:r>
          </w:p>
        </w:tc>
        <w:tc>
          <w:tcPr>
            <w:tcW w:w="1300" w:type="dxa"/>
            <w:vAlign w:val="bottom"/>
            <w:vMerge w:val="restart"/>
          </w:tcPr>
          <w:p>
            <w:pPr>
              <w:spacing w:after="0"/>
              <w:rPr>
                <w:sz w:val="8"/>
                <w:szCs w:val="8"/>
                <w:color w:val="auto"/>
              </w:rPr>
            </w:pPr>
          </w:p>
        </w:tc>
        <w:tc>
          <w:tcPr>
            <w:tcW w:w="1140" w:type="dxa"/>
            <w:vAlign w:val="bottom"/>
            <w:gridSpan w:val="3"/>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Mean Change from</w:t>
            </w:r>
          </w:p>
        </w:tc>
        <w:tc>
          <w:tcPr>
            <w:tcW w:w="1160" w:type="dxa"/>
            <w:vAlign w:val="bottom"/>
            <w:gridSpan w:val="3"/>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Mean Change from</w:t>
            </w:r>
          </w:p>
        </w:tc>
        <w:tc>
          <w:tcPr>
            <w:tcW w:w="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LSM (SE)</w:t>
            </w: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95% CI</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P-value</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95"/>
              </w:rPr>
              <w:t>Baseline</w:t>
            </w:r>
            <w:r>
              <w:rPr>
                <w:rFonts w:ascii="Times New Roman" w:cs="Times New Roman" w:eastAsia="Times New Roman" w:hAnsi="Times New Roman"/>
                <w:sz w:val="7"/>
                <w:szCs w:val="7"/>
                <w:b w:val="1"/>
                <w:bCs w:val="1"/>
                <w:color w:val="auto"/>
                <w:w w:val="95"/>
              </w:rPr>
              <w:t>(1)</w:t>
            </w:r>
          </w:p>
        </w:tc>
        <w:tc>
          <w:tcPr>
            <w:tcW w:w="1160" w:type="dxa"/>
            <w:vAlign w:val="bottom"/>
            <w:gridSpan w:val="3"/>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w w:val="95"/>
              </w:rPr>
              <w:t>Baseline</w:t>
            </w:r>
          </w:p>
        </w:tc>
        <w:tc>
          <w:tcPr>
            <w:tcW w:w="94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40" w:type="dxa"/>
            <w:vAlign w:val="bottom"/>
            <w:tcBorders>
              <w:top w:val="single" w:sz="8" w:color="CCEEFF"/>
            </w:tcBorders>
            <w:gridSpan w:val="3"/>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NPRS Average Pain Score in the Affected Leg (primary</w:t>
            </w:r>
          </w:p>
        </w:tc>
        <w:tc>
          <w:tcPr>
            <w:tcW w:w="4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840" w:type="dxa"/>
            <w:vAlign w:val="bottom"/>
            <w:gridSpan w:val="3"/>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endpoint)</w:t>
            </w:r>
            <w:r>
              <w:rPr>
                <w:rFonts w:ascii="Times New Roman" w:cs="Times New Roman" w:eastAsia="Times New Roman" w:hAnsi="Times New Roman"/>
                <w:sz w:val="17"/>
                <w:szCs w:val="17"/>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(1.896)</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(1.814)</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(0.187)</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-0.92, -0.18</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0.003</w:t>
            </w:r>
          </w:p>
        </w:tc>
        <w:tc>
          <w:tcPr>
            <w:tcW w:w="0" w:type="dxa"/>
            <w:vAlign w:val="bottom"/>
          </w:tcPr>
          <w:p>
            <w:pPr>
              <w:spacing w:after="0"/>
              <w:rPr>
                <w:sz w:val="1"/>
                <w:szCs w:val="1"/>
                <w:color w:val="auto"/>
              </w:rPr>
            </w:pPr>
          </w:p>
        </w:tc>
      </w:tr>
      <w:tr>
        <w:trPr>
          <w:trHeight w:val="144"/>
        </w:trPr>
        <w:tc>
          <w:tcPr>
            <w:tcW w:w="284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ODI total score (key secondary endpoint)</w:t>
            </w:r>
            <w:r>
              <w:rPr>
                <w:rFonts w:ascii="Times New Roman" w:cs="Times New Roman" w:eastAsia="Times New Roman" w:hAnsi="Times New Roman"/>
                <w:sz w:val="16"/>
                <w:szCs w:val="16"/>
                <w:color w:val="auto"/>
                <w:vertAlign w:val="superscript"/>
              </w:rPr>
              <w:t>(3)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-8.88 (14.684)</w:t>
            </w:r>
          </w:p>
        </w:tc>
        <w:tc>
          <w:tcPr>
            <w:tcW w:w="14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-5.48 (13.083)</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w:t>
            </w: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(1.388)</w:t>
            </w: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-6.11, -0.65</w:t>
            </w:r>
          </w:p>
        </w:tc>
        <w:tc>
          <w:tcPr>
            <w:tcW w:w="1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0.015</w:t>
            </w:r>
          </w:p>
        </w:tc>
        <w:tc>
          <w:tcPr>
            <w:tcW w:w="0" w:type="dxa"/>
            <w:vAlign w:val="bottom"/>
          </w:tcPr>
          <w:p>
            <w:pPr>
              <w:spacing w:after="0"/>
              <w:rPr>
                <w:sz w:val="1"/>
                <w:szCs w:val="1"/>
                <w:color w:val="auto"/>
              </w:rPr>
            </w:pPr>
          </w:p>
        </w:tc>
      </w:tr>
      <w:tr>
        <w:trPr>
          <w:trHeight w:val="144"/>
        </w:trPr>
        <w:tc>
          <w:tcPr>
            <w:tcW w:w="284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Worst pain in affected leg at Week Four</w:t>
            </w:r>
            <w:r>
              <w:rPr>
                <w:rFonts w:ascii="Times New Roman" w:cs="Times New Roman" w:eastAsia="Times New Roman" w:hAnsi="Times New Roman"/>
                <w:sz w:val="16"/>
                <w:szCs w:val="16"/>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(2.014)</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(1.946)</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-0.57</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(0.198)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-0.96, -0.18</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0.004</w:t>
            </w:r>
          </w:p>
        </w:tc>
        <w:tc>
          <w:tcPr>
            <w:tcW w:w="0" w:type="dxa"/>
            <w:vAlign w:val="bottom"/>
          </w:tcPr>
          <w:p>
            <w:pPr>
              <w:spacing w:after="0"/>
              <w:rPr>
                <w:sz w:val="1"/>
                <w:szCs w:val="1"/>
                <w:color w:val="auto"/>
              </w:rPr>
            </w:pPr>
          </w:p>
        </w:tc>
      </w:tr>
      <w:tr>
        <w:trPr>
          <w:trHeight w:val="144"/>
        </w:trPr>
        <w:tc>
          <w:tcPr>
            <w:tcW w:w="284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Worst pain in affected leg over Four Weeks</w:t>
            </w:r>
            <w:r>
              <w:rPr>
                <w:rFonts w:ascii="Times New Roman" w:cs="Times New Roman" w:eastAsia="Times New Roman" w:hAnsi="Times New Roman"/>
                <w:sz w:val="16"/>
                <w:szCs w:val="16"/>
                <w:color w:val="auto"/>
                <w:vertAlign w:val="superscript"/>
              </w:rPr>
              <w:t>(2)</w:t>
            </w: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-0.56</w:t>
            </w: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(0.173)</w:t>
            </w: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-0.90, -0.22</w:t>
            </w:r>
          </w:p>
        </w:tc>
        <w:tc>
          <w:tcPr>
            <w:tcW w:w="1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0.001</w:t>
            </w:r>
          </w:p>
        </w:tc>
        <w:tc>
          <w:tcPr>
            <w:tcW w:w="0" w:type="dxa"/>
            <w:vAlign w:val="bottom"/>
          </w:tcPr>
          <w:p>
            <w:pPr>
              <w:spacing w:after="0"/>
              <w:rPr>
                <w:sz w:val="1"/>
                <w:szCs w:val="1"/>
                <w:color w:val="auto"/>
              </w:rPr>
            </w:pPr>
          </w:p>
        </w:tc>
      </w:tr>
      <w:tr>
        <w:trPr>
          <w:trHeight w:val="144"/>
        </w:trPr>
        <w:tc>
          <w:tcPr>
            <w:tcW w:w="284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Current pain in affected leg</w:t>
            </w:r>
            <w:r>
              <w:rPr>
                <w:rFonts w:ascii="Times New Roman" w:cs="Times New Roman" w:eastAsia="Times New Roman" w:hAnsi="Times New Roman"/>
                <w:sz w:val="16"/>
                <w:szCs w:val="16"/>
                <w:color w:val="auto"/>
                <w:vertAlign w:val="superscript"/>
              </w:rPr>
              <w:t>(2)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(2.28)</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(2.41)</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(0.23)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 -0.2</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0.009</w:t>
            </w:r>
          </w:p>
        </w:tc>
        <w:tc>
          <w:tcPr>
            <w:tcW w:w="0" w:type="dxa"/>
            <w:vAlign w:val="bottom"/>
          </w:tcPr>
          <w:p>
            <w:pPr>
              <w:spacing w:after="0"/>
              <w:rPr>
                <w:sz w:val="1"/>
                <w:szCs w:val="1"/>
                <w:color w:val="auto"/>
              </w:rPr>
            </w:pPr>
          </w:p>
        </w:tc>
      </w:tr>
      <w:tr>
        <w:trPr>
          <w:trHeight w:val="144"/>
        </w:trPr>
        <w:tc>
          <w:tcPr>
            <w:tcW w:w="284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Average pain in lower back</w:t>
            </w:r>
            <w:r>
              <w:rPr>
                <w:rFonts w:ascii="Times New Roman" w:cs="Times New Roman" w:eastAsia="Times New Roman" w:hAnsi="Times New Roman"/>
                <w:sz w:val="16"/>
                <w:szCs w:val="16"/>
                <w:color w:val="auto"/>
                <w:vertAlign w:val="superscript"/>
              </w:rPr>
              <w:t>(2)</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(2.54)</w:t>
            </w:r>
          </w:p>
        </w:tc>
        <w:tc>
          <w:tcPr>
            <w:tcW w:w="1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(2.48)</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(0.23)</w:t>
            </w:r>
          </w:p>
        </w:tc>
        <w:tc>
          <w:tcPr>
            <w:tcW w:w="1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-0.9, 0.0</w:t>
            </w:r>
          </w:p>
        </w:tc>
        <w:tc>
          <w:tcPr>
            <w:tcW w:w="1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0.035</w:t>
            </w:r>
          </w:p>
        </w:tc>
        <w:tc>
          <w:tcPr>
            <w:tcW w:w="0" w:type="dxa"/>
            <w:vAlign w:val="bottom"/>
          </w:tcPr>
          <w:p>
            <w:pPr>
              <w:spacing w:after="0"/>
              <w:rPr>
                <w:sz w:val="1"/>
                <w:szCs w:val="1"/>
                <w:color w:val="auto"/>
              </w:rPr>
            </w:pPr>
          </w:p>
        </w:tc>
      </w:tr>
      <w:tr>
        <w:trPr>
          <w:trHeight w:val="144"/>
        </w:trPr>
        <w:tc>
          <w:tcPr>
            <w:tcW w:w="284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PainDETECT</w:t>
            </w:r>
            <w:r>
              <w:rPr>
                <w:rFonts w:ascii="Times New Roman" w:cs="Times New Roman" w:eastAsia="Times New Roman" w:hAnsi="Times New Roman"/>
                <w:sz w:val="16"/>
                <w:szCs w:val="16"/>
                <w:color w:val="auto"/>
                <w:vertAlign w:val="superscript"/>
              </w:rPr>
              <w:t>(3)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(6.47)</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(6.07)</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(0.62)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-1.5, 0.9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0.642</w:t>
            </w:r>
          </w:p>
        </w:tc>
        <w:tc>
          <w:tcPr>
            <w:tcW w:w="0" w:type="dxa"/>
            <w:vAlign w:val="bottom"/>
          </w:tcPr>
          <w:p>
            <w:pPr>
              <w:spacing w:after="0"/>
              <w:rPr>
                <w:sz w:val="1"/>
                <w:szCs w:val="1"/>
                <w:color w:val="auto"/>
              </w:rPr>
            </w:pPr>
          </w:p>
        </w:tc>
      </w:tr>
      <w:tr>
        <w:trPr>
          <w:trHeight w:val="133"/>
        </w:trPr>
        <w:tc>
          <w:tcPr>
            <w:tcW w:w="284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Brief Pain Inventory – Short Form score (pain</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2"/>
                <w:szCs w:val="12"/>
                <w:color w:val="auto"/>
              </w:rPr>
              <w:t>severity)</w:t>
            </w:r>
            <w:r>
              <w:rPr>
                <w:rFonts w:ascii="Times New Roman" w:cs="Times New Roman" w:eastAsia="Times New Roman" w:hAnsi="Times New Roman"/>
                <w:sz w:val="17"/>
                <w:szCs w:val="17"/>
                <w:color w:val="auto"/>
                <w:vertAlign w:val="superscript"/>
              </w:rPr>
              <w:t>(2)</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540" w:type="dxa"/>
            <w:vAlign w:val="bottom"/>
          </w:tcPr>
          <w:p>
            <w:pPr>
              <w:spacing w:after="0"/>
              <w:rPr>
                <w:sz w:val="20"/>
                <w:szCs w:val="20"/>
                <w:color w:val="auto"/>
              </w:rPr>
            </w:pPr>
            <w:r>
              <w:rPr>
                <w:rFonts w:ascii="Times New Roman" w:cs="Times New Roman" w:eastAsia="Times New Roman" w:hAnsi="Times New Roman"/>
                <w:sz w:val="12"/>
                <w:szCs w:val="12"/>
                <w:color w:val="auto"/>
              </w:rPr>
              <w:t>(1.952)</w:t>
            </w: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(1.928)</w:t>
            </w: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(0.200)</w:t>
            </w: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-0.98, -0.20</w:t>
            </w:r>
          </w:p>
        </w:tc>
        <w:tc>
          <w:tcPr>
            <w:tcW w:w="160" w:type="dxa"/>
            <w:vAlign w:val="bottom"/>
          </w:tcPr>
          <w:p>
            <w:pPr>
              <w:spacing w:after="0"/>
              <w:rPr>
                <w:sz w:val="13"/>
                <w:szCs w:val="13"/>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0.003</w:t>
            </w:r>
          </w:p>
        </w:tc>
        <w:tc>
          <w:tcPr>
            <w:tcW w:w="0" w:type="dxa"/>
            <w:vAlign w:val="bottom"/>
          </w:tcPr>
          <w:p>
            <w:pPr>
              <w:spacing w:after="0"/>
              <w:rPr>
                <w:sz w:val="1"/>
                <w:szCs w:val="1"/>
                <w:color w:val="auto"/>
              </w:rPr>
            </w:pPr>
          </w:p>
        </w:tc>
      </w:tr>
      <w:tr>
        <w:trPr>
          <w:trHeight w:val="133"/>
        </w:trPr>
        <w:tc>
          <w:tcPr>
            <w:tcW w:w="284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Brief Pain Inventory – Short Form score (pain</w:t>
            </w: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40" w:type="dxa"/>
            <w:vAlign w:val="bottom"/>
            <w:gridSpan w:val="3"/>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interference)</w:t>
            </w:r>
            <w:r>
              <w:rPr>
                <w:rFonts w:ascii="Times New Roman" w:cs="Times New Roman" w:eastAsia="Times New Roman" w:hAnsi="Times New Roman"/>
                <w:sz w:val="17"/>
                <w:szCs w:val="17"/>
                <w:color w:val="auto"/>
                <w:vertAlign w:val="superscript"/>
              </w:rPr>
              <w:t>(3)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(2.413)</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(2.095)</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(0.221)</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-0.87, 0.00</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0.049</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260" w:right="919" w:hanging="288"/>
        <w:spacing w:after="0" w:line="265" w:lineRule="auto"/>
        <w:tabs>
          <w:tab w:leader="none" w:pos="226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Baseline NPRS score is the mean of at least five days and no more than seven days of scores from the screening visit until treatment randomization. For the current pain, baseline is the last score prior to treatment. Baseline ODI is defined as the last ODI assessment score prior to the first dose on Day 1.</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162</w:t>
      </w:r>
    </w:p>
    <w:p>
      <w:pPr>
        <w:sectPr>
          <w:pgSz w:w="11900" w:h="16838" w:orient="portrait"/>
          <w:cols w:equalWidth="0" w:num="1">
            <w:col w:w="10159"/>
          </w:cols>
          <w:pgMar w:left="300" w:top="368" w:right="144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899" w:hanging="288"/>
        <w:spacing w:after="0" w:line="259" w:lineRule="auto"/>
        <w:tabs>
          <w:tab w:leader="none" w:pos="226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analysis uses a REML-based MMRM with fixed effects for treatment (SP-102 or placebo), week, site, Pain Catastrophizing Scale group (&lt;30 or ≥30), baseline score, and treatment-by-week interaction.</w:t>
      </w:r>
    </w:p>
    <w:p>
      <w:pPr>
        <w:spacing w:after="0" w:line="1" w:lineRule="exact"/>
        <w:rPr>
          <w:rFonts w:ascii="Times New Roman" w:cs="Times New Roman" w:eastAsia="Times New Roman" w:hAnsi="Times New Roman"/>
          <w:sz w:val="12"/>
          <w:szCs w:val="12"/>
          <w:color w:val="auto"/>
        </w:rPr>
      </w:pPr>
    </w:p>
    <w:p>
      <w:pPr>
        <w:ind w:left="2260" w:right="979" w:hanging="288"/>
        <w:spacing w:after="0" w:line="260" w:lineRule="auto"/>
        <w:tabs>
          <w:tab w:leader="none" w:pos="2260"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analysis uses an ANCOVA model with fixed effects for treatment (SP-102 or placebo), site, Pain Catastrophizing Scale group (&lt;30 or ≥30), and baseline score.</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ANCOVA: analysis of covariance; ANOVA: analysis of variance; BPI-SF: Brief Pain Inventory – Short Form;</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CI: confidence interval; ITT: intent-to-treat (randomized population); LSM: least-squares mean; MMRM: mixed model for repeated measures; NPRS: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numeric pain rating scale; REML: restricted maximum likelihood; SE: standard error</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Patient Global Impression of Change (PGIC) and Clinical Global Impression of Change (CGIC) – ITT Population</w:t>
      </w:r>
    </w:p>
    <w:p>
      <w:pPr>
        <w:spacing w:after="0" w:line="15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SP-102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0"/>
                <w:szCs w:val="10"/>
                <w:b w:val="1"/>
                <w:bCs w:val="1"/>
                <w:color w:val="auto"/>
              </w:rPr>
              <w:t>Placebo</w:t>
            </w:r>
          </w:p>
        </w:tc>
      </w:tr>
      <w:tr>
        <w:trPr>
          <w:trHeight w:val="115"/>
        </w:trPr>
        <w:tc>
          <w:tcPr>
            <w:tcW w:w="39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0"/>
                <w:szCs w:val="10"/>
                <w:b w:val="1"/>
                <w:bCs w:val="1"/>
                <w:color w:val="auto"/>
                <w:w w:val="92"/>
              </w:rPr>
              <w:t>N=202</w:t>
            </w: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N=199</w:t>
            </w:r>
          </w:p>
        </w:tc>
      </w:tr>
      <w:tr>
        <w:trPr>
          <w:trHeight w:val="113"/>
        </w:trPr>
        <w:tc>
          <w:tcPr>
            <w:tcW w:w="39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PGIC Responders (number of patients who responded with “very much</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r>
      <w:tr>
        <w:trPr>
          <w:trHeight w:val="155"/>
        </w:trPr>
        <w:tc>
          <w:tcPr>
            <w:tcW w:w="39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improved” or “much improved”</w:t>
            </w:r>
            <w:r>
              <w:rPr>
                <w:rFonts w:ascii="Times New Roman" w:cs="Times New Roman" w:eastAsia="Times New Roman" w:hAnsi="Times New Roman"/>
                <w:sz w:val="17"/>
                <w:szCs w:val="17"/>
                <w:color w:val="auto"/>
                <w:vertAlign w:val="superscript"/>
              </w:rPr>
              <w:t>(1)</w:t>
            </w:r>
          </w:p>
        </w:tc>
        <w:tc>
          <w:tcPr>
            <w:tcW w:w="62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2"/>
                <w:szCs w:val="12"/>
                <w:color w:val="auto"/>
                <w:w w:val="99"/>
              </w:rPr>
              <w:t>71 (35.1%)</w:t>
            </w:r>
          </w:p>
        </w:tc>
        <w:tc>
          <w:tcPr>
            <w:tcW w:w="1060" w:type="dxa"/>
            <w:vAlign w:val="bottom"/>
            <w:gridSpan w:val="3"/>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w w:val="99"/>
              </w:rPr>
              <w:t>39 (19.6%)</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Chi-Square</w:t>
            </w:r>
          </w:p>
        </w:tc>
        <w:tc>
          <w:tcPr>
            <w:tcW w:w="620" w:type="dxa"/>
            <w:vAlign w:val="bottom"/>
          </w:tcPr>
          <w:p>
            <w:pPr>
              <w:spacing w:after="0"/>
              <w:rPr>
                <w:sz w:val="12"/>
                <w:szCs w:val="12"/>
                <w:color w:val="auto"/>
              </w:rPr>
            </w:pPr>
          </w:p>
        </w:tc>
        <w:tc>
          <w:tcPr>
            <w:tcW w:w="1060" w:type="dxa"/>
            <w:vAlign w:val="bottom"/>
            <w:gridSpan w:val="3"/>
          </w:tcPr>
          <w:p>
            <w:pPr>
              <w:jc w:val="center"/>
              <w:ind w:right="572"/>
              <w:spacing w:after="0"/>
              <w:rPr>
                <w:sz w:val="20"/>
                <w:szCs w:val="20"/>
                <w:color w:val="auto"/>
              </w:rPr>
            </w:pPr>
            <w:r>
              <w:rPr>
                <w:rFonts w:ascii="Times New Roman" w:cs="Times New Roman" w:eastAsia="Times New Roman" w:hAnsi="Times New Roman"/>
                <w:sz w:val="12"/>
                <w:szCs w:val="12"/>
                <w:color w:val="auto"/>
                <w:w w:val="98"/>
              </w:rPr>
              <w:t>P&lt;0.001</w:t>
            </w:r>
          </w:p>
        </w:tc>
      </w:tr>
      <w:tr>
        <w:trPr>
          <w:trHeight w:val="144"/>
        </w:trPr>
        <w:tc>
          <w:tcPr>
            <w:tcW w:w="3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Logistic regression (odds ratio [95% CI])</w:t>
            </w:r>
            <w:r>
              <w:rPr>
                <w:rFonts w:ascii="Times New Roman" w:cs="Times New Roman" w:eastAsia="Times New Roman" w:hAnsi="Times New Roman"/>
                <w:sz w:val="16"/>
                <w:szCs w:val="16"/>
                <w:color w:val="auto"/>
                <w:vertAlign w:val="superscript"/>
              </w:rPr>
              <w:t>(2)</w:t>
            </w:r>
          </w:p>
        </w:tc>
        <w:tc>
          <w:tcPr>
            <w:tcW w:w="16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2.25 (1.42, 3.54)</w:t>
            </w:r>
          </w:p>
        </w:tc>
      </w:tr>
      <w:tr>
        <w:trPr>
          <w:trHeight w:val="144"/>
        </w:trPr>
        <w:tc>
          <w:tcPr>
            <w:tcW w:w="3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jc w:val="center"/>
              <w:ind w:right="572"/>
              <w:spacing w:after="0"/>
              <w:rPr>
                <w:sz w:val="20"/>
                <w:szCs w:val="20"/>
                <w:color w:val="auto"/>
              </w:rPr>
            </w:pPr>
            <w:r>
              <w:rPr>
                <w:rFonts w:ascii="Times New Roman" w:cs="Times New Roman" w:eastAsia="Times New Roman" w:hAnsi="Times New Roman"/>
                <w:sz w:val="12"/>
                <w:szCs w:val="12"/>
                <w:color w:val="auto"/>
                <w:w w:val="98"/>
              </w:rPr>
              <w:t>P&lt;0.001</w:t>
            </w:r>
          </w:p>
        </w:tc>
      </w:tr>
      <w:tr>
        <w:trPr>
          <w:trHeight w:val="133"/>
        </w:trPr>
        <w:tc>
          <w:tcPr>
            <w:tcW w:w="3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CGIC Responders (number of patients assessed as “very much improved” or</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5"/>
        </w:trPr>
        <w:tc>
          <w:tcPr>
            <w:tcW w:w="3900" w:type="dxa"/>
            <w:vAlign w:val="bottom"/>
            <w:shd w:val="clear" w:color="auto" w:fill="CCEEFF"/>
          </w:tcPr>
          <w:p>
            <w:pPr>
              <w:ind w:left="120"/>
              <w:spacing w:after="0" w:line="155" w:lineRule="exact"/>
              <w:rPr>
                <w:sz w:val="20"/>
                <w:szCs w:val="20"/>
                <w:color w:val="auto"/>
              </w:rPr>
            </w:pPr>
            <w:r>
              <w:rPr>
                <w:rFonts w:ascii="Times New Roman" w:cs="Times New Roman" w:eastAsia="Times New Roman" w:hAnsi="Times New Roman"/>
                <w:sz w:val="12"/>
                <w:szCs w:val="12"/>
                <w:color w:val="auto"/>
              </w:rPr>
              <w:t>“much improved”</w:t>
            </w:r>
            <w:r>
              <w:rPr>
                <w:rFonts w:ascii="Times New Roman" w:cs="Times New Roman" w:eastAsia="Times New Roman" w:hAnsi="Times New Roman"/>
                <w:sz w:val="17"/>
                <w:szCs w:val="17"/>
                <w:color w:val="auto"/>
                <w:vertAlign w:val="superscript"/>
              </w:rPr>
              <w:t>(1)</w:t>
            </w:r>
          </w:p>
        </w:tc>
        <w:tc>
          <w:tcPr>
            <w:tcW w:w="620" w:type="dxa"/>
            <w:vAlign w:val="bottom"/>
            <w:shd w:val="clear" w:color="auto" w:fill="CCEEFF"/>
          </w:tcPr>
          <w:p>
            <w:pPr>
              <w:jc w:val="center"/>
              <w:ind w:left="24"/>
              <w:spacing w:after="0"/>
              <w:rPr>
                <w:sz w:val="20"/>
                <w:szCs w:val="20"/>
                <w:color w:val="auto"/>
              </w:rPr>
            </w:pPr>
            <w:r>
              <w:rPr>
                <w:rFonts w:ascii="Times New Roman" w:cs="Times New Roman" w:eastAsia="Times New Roman" w:hAnsi="Times New Roman"/>
                <w:sz w:val="12"/>
                <w:szCs w:val="12"/>
                <w:color w:val="auto"/>
                <w:w w:val="99"/>
              </w:rPr>
              <w:t>76 (37.6%)</w:t>
            </w:r>
          </w:p>
        </w:tc>
        <w:tc>
          <w:tcPr>
            <w:tcW w:w="1060" w:type="dxa"/>
            <w:vAlign w:val="bottom"/>
            <w:gridSpan w:val="3"/>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w w:val="99"/>
              </w:rPr>
              <w:t>39 (19.6%)</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Chi-Square</w:t>
            </w:r>
          </w:p>
        </w:tc>
        <w:tc>
          <w:tcPr>
            <w:tcW w:w="620" w:type="dxa"/>
            <w:vAlign w:val="bottom"/>
          </w:tcPr>
          <w:p>
            <w:pPr>
              <w:spacing w:after="0"/>
              <w:rPr>
                <w:sz w:val="12"/>
                <w:szCs w:val="12"/>
                <w:color w:val="auto"/>
              </w:rPr>
            </w:pPr>
          </w:p>
        </w:tc>
        <w:tc>
          <w:tcPr>
            <w:tcW w:w="1060" w:type="dxa"/>
            <w:vAlign w:val="bottom"/>
            <w:gridSpan w:val="3"/>
          </w:tcPr>
          <w:p>
            <w:pPr>
              <w:jc w:val="center"/>
              <w:ind w:right="572"/>
              <w:spacing w:after="0"/>
              <w:rPr>
                <w:sz w:val="20"/>
                <w:szCs w:val="20"/>
                <w:color w:val="auto"/>
              </w:rPr>
            </w:pPr>
            <w:r>
              <w:rPr>
                <w:rFonts w:ascii="Times New Roman" w:cs="Times New Roman" w:eastAsia="Times New Roman" w:hAnsi="Times New Roman"/>
                <w:sz w:val="12"/>
                <w:szCs w:val="12"/>
                <w:color w:val="auto"/>
                <w:w w:val="98"/>
              </w:rPr>
              <w:t>P&lt;0.001</w:t>
            </w:r>
          </w:p>
        </w:tc>
      </w:tr>
      <w:tr>
        <w:trPr>
          <w:trHeight w:val="144"/>
        </w:trPr>
        <w:tc>
          <w:tcPr>
            <w:tcW w:w="3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Logistic regression (odds ratio [95% CI])</w:t>
            </w:r>
            <w:r>
              <w:rPr>
                <w:rFonts w:ascii="Times New Roman" w:cs="Times New Roman" w:eastAsia="Times New Roman" w:hAnsi="Times New Roman"/>
                <w:sz w:val="16"/>
                <w:szCs w:val="16"/>
                <w:color w:val="auto"/>
                <w:vertAlign w:val="superscript"/>
              </w:rPr>
              <w:t>(2)</w:t>
            </w:r>
          </w:p>
        </w:tc>
        <w:tc>
          <w:tcPr>
            <w:tcW w:w="168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2.49 (1.58, 3.91)</w:t>
            </w:r>
          </w:p>
        </w:tc>
      </w:tr>
      <w:tr>
        <w:trPr>
          <w:trHeight w:val="155"/>
        </w:trPr>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gridSpan w:val="3"/>
          </w:tcPr>
          <w:p>
            <w:pPr>
              <w:jc w:val="center"/>
              <w:ind w:right="572"/>
              <w:spacing w:after="0"/>
              <w:rPr>
                <w:sz w:val="20"/>
                <w:szCs w:val="20"/>
                <w:color w:val="auto"/>
              </w:rPr>
            </w:pPr>
            <w:r>
              <w:rPr>
                <w:rFonts w:ascii="Times New Roman" w:cs="Times New Roman" w:eastAsia="Times New Roman" w:hAnsi="Times New Roman"/>
                <w:sz w:val="12"/>
                <w:szCs w:val="12"/>
                <w:color w:val="auto"/>
                <w:w w:val="98"/>
              </w:rPr>
              <w:t>P&lt;0.001</w:t>
            </w:r>
          </w:p>
        </w:tc>
      </w:tr>
    </w:tbl>
    <w:p>
      <w:pPr>
        <w:spacing w:after="0" w:line="140" w:lineRule="exact"/>
        <w:rPr>
          <w:sz w:val="20"/>
          <w:szCs w:val="20"/>
          <w:color w:val="auto"/>
        </w:rPr>
      </w:pPr>
    </w:p>
    <w:p>
      <w:pPr>
        <w:ind w:left="2260" w:right="859" w:hanging="288"/>
        <w:spacing w:after="0" w:line="259" w:lineRule="auto"/>
        <w:tabs>
          <w:tab w:leader="none" w:pos="226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7-point scale rating patient’s overall improvement. Patient change is rated from “very much improved”, “much improved”, “minimally improved”, “no change”, “minimally worse”, “much worse” or “very much worse”.</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Logistic regression models with treatment (SP-102 or placebo), site, and Pain Catastrophizing Scale group (&lt;30 or ≥30) as factors.</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CI: confidence interval; ITT: intent-to-treat (randomized population)</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163</w:t>
      </w:r>
    </w:p>
    <w:p>
      <w:pPr>
        <w:sectPr>
          <w:pgSz w:w="11900" w:h="16838" w:orient="portrait"/>
          <w:cols w:equalWidth="0" w:num="1">
            <w:col w:w="10159"/>
          </w:cols>
          <w:pgMar w:left="300" w:top="368" w:right="1440"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Time to Repeat Injection – ITT Population</w:t>
      </w:r>
    </w:p>
    <w:p>
      <w:pPr>
        <w:spacing w:after="0" w:line="15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SP-102</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Placebo</w:t>
            </w:r>
          </w:p>
        </w:tc>
      </w:tr>
      <w:tr>
        <w:trPr>
          <w:trHeight w:val="115"/>
        </w:trPr>
        <w:tc>
          <w:tcPr>
            <w:tcW w:w="3500" w:type="dxa"/>
            <w:vAlign w:val="bottom"/>
          </w:tcPr>
          <w:p>
            <w:pPr>
              <w:spacing w:after="0"/>
              <w:rPr>
                <w:sz w:val="10"/>
                <w:szCs w:val="10"/>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2"/>
              </w:rPr>
              <w:t>N=202</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N=199</w:t>
            </w:r>
          </w:p>
        </w:tc>
      </w:tr>
      <w:tr>
        <w:trPr>
          <w:trHeight w:val="113"/>
        </w:trPr>
        <w:tc>
          <w:tcPr>
            <w:tcW w:w="350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Number of patients with Repeat Injection of SP-102 (patients who</w:t>
            </w: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r>
      <w:tr>
        <w:trPr>
          <w:trHeight w:val="144"/>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received open-label SP-102 between 4 and 20 weeks after initial</w:t>
            </w: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5"/>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injection)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134 (66.3%)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9"/>
              </w:rPr>
              <w:t>152 (76.4%)</w:t>
            </w:r>
          </w:p>
        </w:tc>
        <w:tc>
          <w:tcPr>
            <w:tcW w:w="60" w:type="dxa"/>
            <w:vAlign w:val="bottom"/>
            <w:shd w:val="clear" w:color="auto" w:fill="CCEEFF"/>
          </w:tcPr>
          <w:p>
            <w:pPr>
              <w:spacing w:after="0"/>
              <w:rPr>
                <w:sz w:val="13"/>
                <w:szCs w:val="13"/>
                <w:color w:val="auto"/>
              </w:rPr>
            </w:pPr>
          </w:p>
        </w:tc>
      </w:tr>
      <w:tr>
        <w:trPr>
          <w:trHeight w:val="144"/>
        </w:trPr>
        <w:tc>
          <w:tcPr>
            <w:tcW w:w="35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Number of censored patients</w:t>
            </w:r>
            <w:r>
              <w:rPr>
                <w:rFonts w:ascii="Times New Roman" w:cs="Times New Roman" w:eastAsia="Times New Roman" w:hAnsi="Times New Roman"/>
                <w:sz w:val="16"/>
                <w:szCs w:val="16"/>
                <w:color w:val="auto"/>
                <w:vertAlign w:val="superscript"/>
              </w:rPr>
              <w:t>(1)</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 (33.7%)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22"/>
              <w:spacing w:after="0"/>
              <w:rPr>
                <w:sz w:val="20"/>
                <w:szCs w:val="20"/>
                <w:color w:val="auto"/>
              </w:rPr>
            </w:pPr>
            <w:r>
              <w:rPr>
                <w:rFonts w:ascii="Times New Roman" w:cs="Times New Roman" w:eastAsia="Times New Roman" w:hAnsi="Times New Roman"/>
                <w:sz w:val="12"/>
                <w:szCs w:val="12"/>
                <w:color w:val="auto"/>
                <w:w w:val="99"/>
              </w:rPr>
              <w:t>47 (23.6%)</w:t>
            </w:r>
          </w:p>
        </w:tc>
        <w:tc>
          <w:tcPr>
            <w:tcW w:w="6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Chi-Square</w:t>
            </w:r>
          </w:p>
        </w:tc>
        <w:tc>
          <w:tcPr>
            <w:tcW w:w="1240" w:type="dxa"/>
            <w:vAlign w:val="bottom"/>
            <w:gridSpan w:val="3"/>
            <w:shd w:val="clear" w:color="auto" w:fill="CCEEFF"/>
          </w:tcPr>
          <w:p>
            <w:pPr>
              <w:jc w:val="center"/>
              <w:ind w:left="742"/>
              <w:spacing w:after="0"/>
              <w:rPr>
                <w:sz w:val="20"/>
                <w:szCs w:val="20"/>
                <w:color w:val="auto"/>
              </w:rPr>
            </w:pPr>
            <w:r>
              <w:rPr>
                <w:rFonts w:ascii="Times New Roman" w:cs="Times New Roman" w:eastAsia="Times New Roman" w:hAnsi="Times New Roman"/>
                <w:sz w:val="12"/>
                <w:szCs w:val="12"/>
                <w:color w:val="auto"/>
                <w:w w:val="98"/>
              </w:rPr>
              <w:t>P=0.026</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Time (days) to Repeat Injection</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134 (66.3%)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9"/>
              </w:rPr>
              <w:t>152 (76.4%)</w:t>
            </w:r>
          </w:p>
        </w:tc>
        <w:tc>
          <w:tcPr>
            <w:tcW w:w="6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Mean (SD)</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67.0 (33.31)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rPr>
              <w:t>57.8 (31.69)</w:t>
            </w:r>
          </w:p>
        </w:tc>
        <w:tc>
          <w:tcPr>
            <w:tcW w:w="6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Median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5"/>
              </w:rPr>
              <w:t>43.0</w:t>
            </w:r>
          </w:p>
        </w:tc>
        <w:tc>
          <w:tcPr>
            <w:tcW w:w="6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Min, Max</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27, 143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99"/>
              </w:rPr>
              <w:t>26, 148</w:t>
            </w:r>
          </w:p>
        </w:tc>
        <w:tc>
          <w:tcPr>
            <w:tcW w:w="6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25th quantile (95% CI)</w:t>
            </w:r>
            <w:r>
              <w:rPr>
                <w:rFonts w:ascii="Times New Roman" w:cs="Times New Roman" w:eastAsia="Times New Roman" w:hAnsi="Times New Roman"/>
                <w:sz w:val="16"/>
                <w:szCs w:val="16"/>
                <w:color w:val="auto"/>
                <w:vertAlign w:val="superscript"/>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45 (43, 57)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8"/>
              </w:rPr>
              <w:t>36 (34, 40)</w:t>
            </w:r>
          </w:p>
        </w:tc>
        <w:tc>
          <w:tcPr>
            <w:tcW w:w="6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50th quantile (95% CI)</w:t>
            </w:r>
            <w:r>
              <w:rPr>
                <w:rFonts w:ascii="Times New Roman" w:cs="Times New Roman" w:eastAsia="Times New Roman" w:hAnsi="Times New Roman"/>
                <w:sz w:val="16"/>
                <w:szCs w:val="16"/>
                <w:color w:val="auto"/>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84 (71, 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2"/>
                <w:szCs w:val="12"/>
                <w:color w:val="auto"/>
                <w:w w:val="98"/>
              </w:rPr>
              <w:t>58 (50, 69)</w:t>
            </w:r>
          </w:p>
        </w:tc>
        <w:tc>
          <w:tcPr>
            <w:tcW w:w="6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75th quantile (95% CI)</w:t>
            </w:r>
            <w:r>
              <w:rPr>
                <w:rFonts w:ascii="Times New Roman" w:cs="Times New Roman" w:eastAsia="Times New Roman" w:hAnsi="Times New Roman"/>
                <w:sz w:val="16"/>
                <w:szCs w:val="16"/>
                <w:color w:val="auto"/>
                <w:vertAlign w:val="superscript"/>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143 (141, 143)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2"/>
                <w:szCs w:val="12"/>
                <w:color w:val="auto"/>
                <w:w w:val="98"/>
              </w:rPr>
              <w:t>126 (87, 146)</w:t>
            </w:r>
          </w:p>
        </w:tc>
        <w:tc>
          <w:tcPr>
            <w:tcW w:w="6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Comparison to Placebo</w:t>
            </w:r>
            <w:r>
              <w:rPr>
                <w:rFonts w:ascii="Times New Roman" w:cs="Times New Roman" w:eastAsia="Times New Roman" w:hAnsi="Times New Roman"/>
                <w:sz w:val="16"/>
                <w:szCs w:val="16"/>
                <w:color w:val="auto"/>
                <w:vertAlign w:val="superscript"/>
              </w:rPr>
              <w:t>(3)</w:t>
            </w: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9"/>
              </w:rPr>
              <w:t>0.68 (0.54, 0.86)</w:t>
            </w:r>
          </w:p>
        </w:tc>
        <w:tc>
          <w:tcPr>
            <w:tcW w:w="60" w:type="dxa"/>
            <w:vAlign w:val="bottom"/>
          </w:tcPr>
          <w:p>
            <w:pPr>
              <w:spacing w:after="0"/>
              <w:rPr>
                <w:sz w:val="12"/>
                <w:szCs w:val="12"/>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(Hazard ratio [95% CI]):</w:t>
            </w:r>
          </w:p>
        </w:tc>
        <w:tc>
          <w:tcPr>
            <w:tcW w:w="1240" w:type="dxa"/>
            <w:vAlign w:val="bottom"/>
            <w:gridSpan w:val="3"/>
            <w:shd w:val="clear" w:color="auto" w:fill="CCEEFF"/>
          </w:tcPr>
          <w:p>
            <w:pPr>
              <w:jc w:val="center"/>
              <w:ind w:left="742"/>
              <w:spacing w:after="0"/>
              <w:rPr>
                <w:sz w:val="20"/>
                <w:szCs w:val="20"/>
                <w:color w:val="auto"/>
              </w:rPr>
            </w:pPr>
            <w:r>
              <w:rPr>
                <w:rFonts w:ascii="Times New Roman" w:cs="Times New Roman" w:eastAsia="Times New Roman" w:hAnsi="Times New Roman"/>
                <w:sz w:val="12"/>
                <w:szCs w:val="12"/>
                <w:color w:val="auto"/>
                <w:w w:val="98"/>
              </w:rPr>
              <w:t>P=0.001</w:t>
            </w: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bl>
    <w:p>
      <w:pPr>
        <w:spacing w:after="0" w:line="151" w:lineRule="exact"/>
        <w:rPr>
          <w:sz w:val="20"/>
          <w:szCs w:val="20"/>
          <w:color w:val="auto"/>
        </w:rPr>
      </w:pPr>
    </w:p>
    <w:p>
      <w:pPr>
        <w:ind w:left="2260" w:right="879" w:hanging="288"/>
        <w:spacing w:after="0" w:line="259" w:lineRule="auto"/>
        <w:tabs>
          <w:tab w:leader="none" w:pos="226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Censored patients are the following: (1) patients who do not receive a repeat injection of SP-102 and (2) patients who discontinued the study prior to Week 20 without receiving a repeat injection.</w:t>
      </w:r>
    </w:p>
    <w:p>
      <w:pPr>
        <w:spacing w:after="0" w:line="1"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Quartiles are estimated using Kaplan-Meier estimation.</w:t>
      </w:r>
    </w:p>
    <w:p>
      <w:pPr>
        <w:spacing w:after="0" w:line="6" w:lineRule="exact"/>
        <w:rPr>
          <w:rFonts w:ascii="Times New Roman" w:cs="Times New Roman" w:eastAsia="Times New Roman" w:hAnsi="Times New Roman"/>
          <w:sz w:val="12"/>
          <w:szCs w:val="12"/>
          <w:color w:val="auto"/>
        </w:rPr>
      </w:pPr>
    </w:p>
    <w:p>
      <w:pPr>
        <w:ind w:left="2260" w:right="1079" w:hanging="288"/>
        <w:spacing w:after="0" w:line="260" w:lineRule="auto"/>
        <w:tabs>
          <w:tab w:leader="none" w:pos="226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Cox proportional hazards model was utilized to test the treatment difference while adjusting for site and Pain Catastrophizing Scale (&lt;30 or ≥30).</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CI: confidence interval; ITT: intent-to-treat (randomized population); SD: standard deviation</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Responder Analysis (Change from Baseline in Mean NPRS, Average Daily Pain in Affected Leg)</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2"/>
          <w:szCs w:val="12"/>
          <w:color w:val="auto"/>
        </w:rPr>
        <w:t xml:space="preserve"> – ITT Population</w:t>
      </w:r>
    </w:p>
    <w:p>
      <w:pPr>
        <w:spacing w:after="0" w:line="8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SP-102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Placebo</w:t>
            </w:r>
          </w:p>
        </w:tc>
      </w:tr>
      <w:tr>
        <w:trPr>
          <w:trHeight w:val="115"/>
        </w:trPr>
        <w:tc>
          <w:tcPr>
            <w:tcW w:w="3900" w:type="dxa"/>
            <w:vAlign w:val="bottom"/>
          </w:tcPr>
          <w:p>
            <w:pPr>
              <w:spacing w:after="0"/>
              <w:rPr>
                <w:sz w:val="10"/>
                <w:szCs w:val="10"/>
                <w:color w:val="auto"/>
              </w:rPr>
            </w:pPr>
          </w:p>
        </w:tc>
        <w:tc>
          <w:tcPr>
            <w:tcW w:w="600" w:type="dxa"/>
            <w:vAlign w:val="bottom"/>
          </w:tcPr>
          <w:p>
            <w:pPr>
              <w:jc w:val="center"/>
              <w:ind w:left="4"/>
              <w:spacing w:after="0"/>
              <w:rPr>
                <w:sz w:val="20"/>
                <w:szCs w:val="20"/>
                <w:color w:val="auto"/>
              </w:rPr>
            </w:pPr>
            <w:r>
              <w:rPr>
                <w:rFonts w:ascii="Times New Roman" w:cs="Times New Roman" w:eastAsia="Times New Roman" w:hAnsi="Times New Roman"/>
                <w:sz w:val="10"/>
                <w:szCs w:val="10"/>
                <w:b w:val="1"/>
                <w:bCs w:val="1"/>
                <w:color w:val="auto"/>
                <w:w w:val="92"/>
              </w:rPr>
              <w:t>N=202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2"/>
              </w:rPr>
              <w:t>N=199</w:t>
            </w:r>
          </w:p>
        </w:tc>
      </w:tr>
      <w:tr>
        <w:trPr>
          <w:trHeight w:val="133"/>
        </w:trPr>
        <w:tc>
          <w:tcPr>
            <w:tcW w:w="39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30% reduction</w:t>
            </w:r>
          </w:p>
        </w:tc>
        <w:tc>
          <w:tcPr>
            <w:tcW w:w="600" w:type="dxa"/>
            <w:vAlign w:val="bottom"/>
            <w:tcBorders>
              <w:top w:val="single" w:sz="8" w:color="auto"/>
            </w:tcBorders>
            <w:shd w:val="clear" w:color="auto" w:fill="CCEEFF"/>
          </w:tcPr>
          <w:p>
            <w:pPr>
              <w:jc w:val="center"/>
              <w:ind w:left="4"/>
              <w:spacing w:after="0" w:line="133" w:lineRule="exact"/>
              <w:rPr>
                <w:sz w:val="20"/>
                <w:szCs w:val="20"/>
                <w:color w:val="auto"/>
              </w:rPr>
            </w:pPr>
            <w:r>
              <w:rPr>
                <w:rFonts w:ascii="Times New Roman" w:cs="Times New Roman" w:eastAsia="Times New Roman" w:hAnsi="Times New Roman"/>
                <w:sz w:val="12"/>
                <w:szCs w:val="12"/>
                <w:color w:val="auto"/>
                <w:w w:val="99"/>
              </w:rPr>
              <w:t>88 (43.6%)</w:t>
            </w: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28"/>
              <w:spacing w:after="0" w:line="133" w:lineRule="exact"/>
              <w:rPr>
                <w:sz w:val="20"/>
                <w:szCs w:val="20"/>
                <w:color w:val="auto"/>
              </w:rPr>
            </w:pPr>
            <w:r>
              <w:rPr>
                <w:rFonts w:ascii="Times New Roman" w:cs="Times New Roman" w:eastAsia="Times New Roman" w:hAnsi="Times New Roman"/>
                <w:sz w:val="12"/>
                <w:szCs w:val="12"/>
                <w:color w:val="auto"/>
              </w:rPr>
              <w:t>57 (28.6%)</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Chi-Square</w:t>
            </w:r>
          </w:p>
        </w:tc>
        <w:tc>
          <w:tcPr>
            <w:tcW w:w="600" w:type="dxa"/>
            <w:vAlign w:val="bottom"/>
          </w:tcPr>
          <w:p>
            <w:pPr>
              <w:spacing w:after="0"/>
              <w:rPr>
                <w:sz w:val="12"/>
                <w:szCs w:val="12"/>
                <w:color w:val="auto"/>
              </w:rPr>
            </w:pPr>
          </w:p>
        </w:tc>
        <w:tc>
          <w:tcPr>
            <w:tcW w:w="1080" w:type="dxa"/>
            <w:vAlign w:val="bottom"/>
            <w:gridSpan w:val="4"/>
          </w:tcPr>
          <w:p>
            <w:pPr>
              <w:jc w:val="center"/>
              <w:ind w:right="680"/>
              <w:spacing w:after="0"/>
              <w:rPr>
                <w:sz w:val="20"/>
                <w:szCs w:val="20"/>
                <w:color w:val="auto"/>
              </w:rPr>
            </w:pPr>
            <w:r>
              <w:rPr>
                <w:rFonts w:ascii="Times New Roman" w:cs="Times New Roman" w:eastAsia="Times New Roman" w:hAnsi="Times New Roman"/>
                <w:sz w:val="12"/>
                <w:szCs w:val="12"/>
                <w:color w:val="auto"/>
                <w:w w:val="98"/>
              </w:rPr>
              <w:t>P=0.002</w:t>
            </w:r>
          </w:p>
        </w:tc>
      </w:tr>
      <w:tr>
        <w:trPr>
          <w:trHeight w:val="144"/>
        </w:trPr>
        <w:tc>
          <w:tcPr>
            <w:tcW w:w="3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Logistic regression</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1"/>
                <w:szCs w:val="11"/>
                <w:color w:val="auto"/>
              </w:rPr>
              <w:t xml:space="preserve"> (odds ratio [95% CI])</w:t>
            </w:r>
          </w:p>
        </w:tc>
        <w:tc>
          <w:tcPr>
            <w:tcW w:w="16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1.96 (1.28, 2.98)</w:t>
            </w:r>
          </w:p>
        </w:tc>
        <w:tc>
          <w:tcPr>
            <w:tcW w:w="60" w:type="dxa"/>
            <w:vAlign w:val="bottom"/>
            <w:shd w:val="clear" w:color="auto" w:fill="CCEEFF"/>
          </w:tcPr>
          <w:p>
            <w:pPr>
              <w:spacing w:after="0"/>
              <w:rPr>
                <w:sz w:val="12"/>
                <w:szCs w:val="12"/>
                <w:color w:val="auto"/>
              </w:rPr>
            </w:pPr>
          </w:p>
        </w:tc>
      </w:tr>
      <w:tr>
        <w:trPr>
          <w:trHeight w:val="144"/>
        </w:trPr>
        <w:tc>
          <w:tcPr>
            <w:tcW w:w="3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4"/>
          </w:tcPr>
          <w:p>
            <w:pPr>
              <w:jc w:val="center"/>
              <w:ind w:right="680"/>
              <w:spacing w:after="0"/>
              <w:rPr>
                <w:sz w:val="20"/>
                <w:szCs w:val="20"/>
                <w:color w:val="auto"/>
              </w:rPr>
            </w:pPr>
            <w:r>
              <w:rPr>
                <w:rFonts w:ascii="Times New Roman" w:cs="Times New Roman" w:eastAsia="Times New Roman" w:hAnsi="Times New Roman"/>
                <w:sz w:val="12"/>
                <w:szCs w:val="12"/>
                <w:color w:val="auto"/>
                <w:w w:val="98"/>
              </w:rPr>
              <w:t>P=0.002</w:t>
            </w: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50% reduction</w:t>
            </w:r>
          </w:p>
        </w:tc>
        <w:tc>
          <w:tcPr>
            <w:tcW w:w="60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2"/>
                <w:szCs w:val="12"/>
                <w:color w:val="auto"/>
                <w:w w:val="99"/>
              </w:rPr>
              <w:t>58 (28.7%)</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 (20.6%)</w:t>
            </w: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Chi-Square</w:t>
            </w:r>
          </w:p>
        </w:tc>
        <w:tc>
          <w:tcPr>
            <w:tcW w:w="600" w:type="dxa"/>
            <w:vAlign w:val="bottom"/>
          </w:tcPr>
          <w:p>
            <w:pPr>
              <w:spacing w:after="0"/>
              <w:rPr>
                <w:sz w:val="12"/>
                <w:szCs w:val="12"/>
                <w:color w:val="auto"/>
              </w:rPr>
            </w:pPr>
          </w:p>
        </w:tc>
        <w:tc>
          <w:tcPr>
            <w:tcW w:w="1080" w:type="dxa"/>
            <w:vAlign w:val="bottom"/>
            <w:gridSpan w:val="4"/>
          </w:tcPr>
          <w:p>
            <w:pPr>
              <w:jc w:val="center"/>
              <w:ind w:right="680"/>
              <w:spacing w:after="0"/>
              <w:rPr>
                <w:sz w:val="20"/>
                <w:szCs w:val="20"/>
                <w:color w:val="auto"/>
              </w:rPr>
            </w:pPr>
            <w:r>
              <w:rPr>
                <w:rFonts w:ascii="Times New Roman" w:cs="Times New Roman" w:eastAsia="Times New Roman" w:hAnsi="Times New Roman"/>
                <w:sz w:val="12"/>
                <w:szCs w:val="12"/>
                <w:color w:val="auto"/>
                <w:w w:val="98"/>
              </w:rPr>
              <w:t>P=0.060</w:t>
            </w:r>
          </w:p>
        </w:tc>
      </w:tr>
      <w:tr>
        <w:trPr>
          <w:trHeight w:val="144"/>
        </w:trPr>
        <w:tc>
          <w:tcPr>
            <w:tcW w:w="3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Logistic regression</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1"/>
                <w:szCs w:val="11"/>
                <w:color w:val="auto"/>
              </w:rPr>
              <w:t xml:space="preserve"> (odds ratio [95% CI])</w:t>
            </w:r>
          </w:p>
        </w:tc>
        <w:tc>
          <w:tcPr>
            <w:tcW w:w="162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1.58 (0.99, 2.52)</w:t>
            </w:r>
          </w:p>
        </w:tc>
        <w:tc>
          <w:tcPr>
            <w:tcW w:w="60" w:type="dxa"/>
            <w:vAlign w:val="bottom"/>
            <w:shd w:val="clear" w:color="auto" w:fill="CCEEFF"/>
          </w:tcPr>
          <w:p>
            <w:pPr>
              <w:spacing w:after="0"/>
              <w:rPr>
                <w:sz w:val="12"/>
                <w:szCs w:val="12"/>
                <w:color w:val="auto"/>
              </w:rPr>
            </w:pPr>
          </w:p>
        </w:tc>
      </w:tr>
      <w:tr>
        <w:trPr>
          <w:trHeight w:val="155"/>
        </w:trPr>
        <w:tc>
          <w:tcPr>
            <w:tcW w:w="3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4"/>
          </w:tcPr>
          <w:p>
            <w:pPr>
              <w:jc w:val="center"/>
              <w:ind w:right="680"/>
              <w:spacing w:after="0"/>
              <w:rPr>
                <w:sz w:val="20"/>
                <w:szCs w:val="20"/>
                <w:color w:val="auto"/>
              </w:rPr>
            </w:pPr>
            <w:r>
              <w:rPr>
                <w:rFonts w:ascii="Times New Roman" w:cs="Times New Roman" w:eastAsia="Times New Roman" w:hAnsi="Times New Roman"/>
                <w:sz w:val="12"/>
                <w:szCs w:val="12"/>
                <w:color w:val="auto"/>
                <w:w w:val="98"/>
              </w:rPr>
              <w:t>P=0.055</w:t>
            </w:r>
          </w:p>
        </w:tc>
      </w:tr>
    </w:tbl>
    <w:p>
      <w:pPr>
        <w:spacing w:after="0" w:line="140" w:lineRule="exact"/>
        <w:rPr>
          <w:sz w:val="20"/>
          <w:szCs w:val="20"/>
          <w:color w:val="auto"/>
        </w:rPr>
      </w:pPr>
    </w:p>
    <w:p>
      <w:pPr>
        <w:ind w:left="2260" w:hanging="288"/>
        <w:spacing w:after="0"/>
        <w:tabs>
          <w:tab w:leader="none" w:pos="226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Patients that discontinued or have missing scores at Week Four were considered non-responders.</w:t>
      </w:r>
    </w:p>
    <w:p>
      <w:pPr>
        <w:spacing w:after="0" w:line="16" w:lineRule="exact"/>
        <w:rPr>
          <w:rFonts w:ascii="Times New Roman" w:cs="Times New Roman" w:eastAsia="Times New Roman" w:hAnsi="Times New Roman"/>
          <w:sz w:val="12"/>
          <w:szCs w:val="12"/>
          <w:color w:val="auto"/>
        </w:rPr>
      </w:pPr>
    </w:p>
    <w:p>
      <w:pPr>
        <w:ind w:left="2260" w:right="1039" w:hanging="288"/>
        <w:spacing w:after="0" w:line="260" w:lineRule="auto"/>
        <w:tabs>
          <w:tab w:leader="none" w:pos="2260"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Logistic regression models with treatment (SP-102 or placebo), site, and Pain Catastrophizing Scale group (&lt;30 or ≥30), and baseline averaged daily pain score as factors were used to compare the treatment groups at each week.</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CI: confidence interval; ITT: intent-to-treat (randomized population)</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164</w:t>
      </w:r>
    </w:p>
    <w:p>
      <w:pPr>
        <w:sectPr>
          <w:pgSz w:w="11900" w:h="16838" w:orient="portrait"/>
          <w:cols w:equalWidth="0" w:num="1">
            <w:col w:w="10159"/>
          </w:cols>
          <w:pgMar w:left="300" w:top="368" w:right="144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Phase 2 Repeat Dose Study </w:t>
      </w:r>
      <w:r>
        <w:rPr>
          <w:rFonts w:ascii="Times New Roman" w:cs="Times New Roman" w:eastAsia="Times New Roman" w:hAnsi="Times New Roman"/>
          <w:sz w:val="12"/>
          <w:szCs w:val="12"/>
          <w:color w:val="auto"/>
        </w:rPr>
        <w:t>- SP-102-03</w:t>
      </w:r>
    </w:p>
    <w:p>
      <w:pPr>
        <w:spacing w:after="0" w:line="80"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conducted an open-label, single-arm, pharmacodynamics (“PD”) and tolerability study of repeat epidural injections of SP-102 in patients with sciatica. We conducted this study to characterize repeat dose PD with respect to hypothalamic-pituitary-adrenal suppression using plasma cortisol levels, white blood cell count and blood glucose levels.</w:t>
      </w:r>
    </w:p>
    <w:p>
      <w:pPr>
        <w:spacing w:after="0" w:line="119" w:lineRule="exact"/>
        <w:rPr>
          <w:sz w:val="20"/>
          <w:szCs w:val="20"/>
          <w:color w:val="auto"/>
        </w:rPr>
      </w:pPr>
    </w:p>
    <w:p>
      <w:pPr>
        <w:jc w:val="both"/>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The study enrolled 19 subjects, of which 15 received repeat SP-102 epidural injections four to eight weeks after the initial injection. Four of the subjects did not experience recurrent pain and thus did not require a repeat injection. The daily average, current and worst pain in the affected leg and back showed continuous reduction throughout the 28-day observation period for both treatments. Based on a preliminary review of the results, SP-102 injections were generally well tolerated and there were no new unexpected adverse events observed.</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Mean Percentage Change in Sciatica-Related Leg Pain as Measured by NPRS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114935</wp:posOffset>
            </wp:positionV>
            <wp:extent cx="3017520" cy="1405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175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Phase 1 Trial of SP-102 (SEMDEXA) Compared to Reference Listed Drug </w:t>
      </w:r>
      <w:r>
        <w:rPr>
          <w:rFonts w:ascii="Times New Roman" w:cs="Times New Roman" w:eastAsia="Times New Roman" w:hAnsi="Times New Roman"/>
          <w:sz w:val="12"/>
          <w:szCs w:val="12"/>
          <w:color w:val="auto"/>
        </w:rPr>
        <w:t>- ES-1504</w:t>
      </w:r>
    </w:p>
    <w:p>
      <w:pPr>
        <w:spacing w:after="0" w:line="80"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We conducted an open-label, single-arm, two-period, fixed sequential-dose study to evaluate the PK, PD and tolerability of SP-102 when administered by epidural injection. SP-102 was compared to intravenous dexamethasone sodium phosphate injection in subjects with lumbosacral radiculopathy. There were 12 subjects enrolled in this study, all of whom received SP-102 followed by the intravenous dexamethasone sodium phosphate injection (Reference Listed Drug (“RLD”)) administered one month later. A RLD is an approved drug product to which new versions are compared to show that they are bioequivalent. The purpose of this study was to establish the pharmaceutical bridge between SP-102 and the RLD. The Tmax observed with the administration of SP-102 was four hours, compared to 15 minutes observed with intravenous dexamethasone. The PD parameters and tolerability profiles of both products were similar, and SP-102 did not prolong cortisol suppression time. SP-102 also maintained analgesic effects throughout a one-month observation period.</w:t>
      </w:r>
    </w:p>
    <w:p>
      <w:pPr>
        <w:spacing w:after="0" w:line="128"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overall systemic exposure of dexamethasone was similar, whether administered as SP-102 or injected intravenously, with a mean AUCinf of 0.916 µg*h/mL (observed with SP-102) compared to 0.943 µg*h/mL (observed with intravenously-administered dexamethasone). Notably, there was a 16- fold increase in the time to maximum serum concentration (“Tmax”) following epidural injection of SP-102. The median Tmax was 4.00 hours for SP-102 compared to 0.25 hours for the comparison group. All 12 subjects with sciatica showed continuous reduction in back and leg pain during the one-month observation period following a single epidural injection of SP-102.</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165</w:t>
      </w:r>
    </w:p>
    <w:p>
      <w:pPr>
        <w:sectPr>
          <w:pgSz w:w="11900" w:h="16838" w:orient="portrait"/>
          <w:cols w:equalWidth="0" w:num="1">
            <w:col w:w="10159"/>
          </w:cols>
          <w:pgMar w:left="300" w:top="368" w:right="144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This study demonstrated that at an equivalent initial dose of dexamethasone, the systemic exposure to dexamethasone following epidural injection of SP-102 did not exceed the exposure following intravenous injection of the RLD. The PD effects, measured as white blood cell count, cortisol levels and glucose levels, as well as the tolerability profile, were similar between the two treatments. SP-102 injections were generally well tolerated and did not result in new unexpected side effects.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Toxicology Studies </w:t>
      </w:r>
      <w:r>
        <w:rPr>
          <w:rFonts w:ascii="Times New Roman" w:cs="Times New Roman" w:eastAsia="Times New Roman" w:hAnsi="Times New Roman"/>
          <w:sz w:val="12"/>
          <w:szCs w:val="12"/>
          <w:color w:val="auto"/>
        </w:rPr>
        <w:t>- Study Nos. 1014-1512 and 1014-2847</w:t>
      </w:r>
    </w:p>
    <w:p>
      <w:pPr>
        <w:spacing w:after="0" w:line="80" w:lineRule="exact"/>
        <w:rPr>
          <w:sz w:val="20"/>
          <w:szCs w:val="20"/>
          <w:color w:val="auto"/>
        </w:rPr>
      </w:pPr>
    </w:p>
    <w:p>
      <w:pPr>
        <w:ind w:left="1980" w:right="919" w:firstLine="294"/>
        <w:spacing w:after="0" w:line="286" w:lineRule="auto"/>
        <w:rPr>
          <w:sz w:val="20"/>
          <w:szCs w:val="20"/>
          <w:color w:val="auto"/>
        </w:rPr>
      </w:pPr>
      <w:r>
        <w:rPr>
          <w:rFonts w:ascii="Times New Roman" w:cs="Times New Roman" w:eastAsia="Times New Roman" w:hAnsi="Times New Roman"/>
          <w:sz w:val="11"/>
          <w:szCs w:val="11"/>
          <w:color w:val="auto"/>
        </w:rPr>
        <w:t>We conducted PK and toxicology studies in two non-rodent animal species to assess SP-102 administered via epidural and intrathecal routes with single and multiple dose regimens. Pharmacokinetically, a prolonged increase in the active dexamethasone metabolite was consistent with the extended residence time of the viscous gel formulation of SP-102 at the site of injection. There were no new unexpected toxicology findings apart from well-characterized toxicity findings commonly observed with administration of dexamethasone sodium phosphate. Based on these studies, we selected the 10mg Dexamethasone in 2mL volume dose for our further clinical studies. This selection was endorsed by the FDA during our pre-IND meeting.</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Preclinical Toxicology Study </w:t>
      </w:r>
      <w:r>
        <w:rPr>
          <w:rFonts w:ascii="Times New Roman" w:cs="Times New Roman" w:eastAsia="Times New Roman" w:hAnsi="Times New Roman"/>
          <w:sz w:val="12"/>
          <w:szCs w:val="12"/>
          <w:color w:val="auto"/>
        </w:rPr>
        <w:t>- UPD003-IS21</w:t>
      </w:r>
    </w:p>
    <w:p>
      <w:pPr>
        <w:spacing w:after="0" w:line="80"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conducted a preclinical toxicology study designed to simulate the accidental introduction of epidural steroids into arterial blood vessels providing blood supply to the spinal cord, which is a major cause of neurological complications associated with current administration of suspension steroids containing particulates. A 2 mL (10 mg of dexamethasone) injection of SP-102 was injected over one to two minutes into the vertebral artery of large animal species.</w:t>
      </w:r>
    </w:p>
    <w:p>
      <w:pPr>
        <w:spacing w:after="0" w:line="12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Pre- and post-dose angiography showed no remarkable changes and all animals survived for approximately 24 hours until euthanasia. The veterinary animal health report and the pathology report concluded there were no vascular, spinal cord or brain injuries associated with injection into the vertebral artery of the animals.</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Hydrodynamic Study </w:t>
      </w:r>
      <w:r>
        <w:rPr>
          <w:rFonts w:ascii="Times New Roman" w:cs="Times New Roman" w:eastAsia="Times New Roman" w:hAnsi="Times New Roman"/>
          <w:sz w:val="12"/>
          <w:szCs w:val="12"/>
          <w:color w:val="auto"/>
        </w:rPr>
        <w:t>- SP-PC002</w:t>
      </w:r>
    </w:p>
    <w:p>
      <w:pPr>
        <w:spacing w:after="0" w:line="80"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We conducted a hydrodynamic study of SP-102 in non-rodent animal species, which showed that epidural administration of SP-102 demonstrated an increased local residence half-life and a decreased flow from the injection site.</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 xml:space="preserve">Intravascular Injection Study </w:t>
      </w:r>
      <w:r>
        <w:rPr>
          <w:rFonts w:ascii="Times New Roman" w:cs="Times New Roman" w:eastAsia="Times New Roman" w:hAnsi="Times New Roman"/>
          <w:sz w:val="12"/>
          <w:szCs w:val="12"/>
          <w:color w:val="auto"/>
        </w:rPr>
        <w:t>- SEM-005</w:t>
      </w:r>
    </w:p>
    <w:p>
      <w:pPr>
        <w:spacing w:after="0" w:line="80"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We conducted a study to evaluate the accidental intravascular injection of SP-102 into the vertebral artery of non-rodent animals. There were no adverse clinical signs associated with the accidental intra-arterial injection of SP-102 following a 24-hour survival period.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SP-103 (lidocaine topical system) 5.4%</w:t>
      </w:r>
    </w:p>
    <w:p>
      <w:pPr>
        <w:spacing w:after="0" w:line="82"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SP-103 is an investigational, non-aqueous lidocaine topical system undergoing clinical development in acute LBP. As a higher strength topical lidocaine system, SP-103 will build on the learnings from ZTlido because both products share the same adhesive drug delivery formulation and manufacturing technology. The clinical program involves evaluating the safety and efficacy of SP-103 for the treatment of acute LBP. A Phase 1 study was completed that demonstrated bioequivalent PK between the administration of a single SP-103 and the administration of three commercial ZTlido. The study also showed linear kinetics among multiple applications of SP-103 (i.e., one, two or three patches) over a 12-hour administration period. Adhesion performance was assessed and found to be comparable between SP-103 and ZTlido.</w:t>
      </w:r>
    </w:p>
    <w:p>
      <w:pPr>
        <w:spacing w:after="0" w:line="125"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We received our SP-103 Phase 2 top-line results in August 2023 and the trial achieved its objectives characterizing safety, tolerability and preliminary efficacy of SP-103 in acute LBP associated with muscle spasms. SP-103 was safe and well tolerated. Increase of lidocaine load in topical system by three times, compared with</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166</w:t>
      </w:r>
    </w:p>
    <w:p>
      <w:pPr>
        <w:sectPr>
          <w:pgSz w:w="11900" w:h="16838" w:orient="portrait"/>
          <w:cols w:equalWidth="0" w:num="1">
            <w:col w:w="10159"/>
          </w:cols>
          <w:pgMar w:left="300" w:top="368" w:right="1440"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54" w:lineRule="auto"/>
        <w:rPr>
          <w:sz w:val="20"/>
          <w:szCs w:val="20"/>
          <w:color w:val="auto"/>
        </w:rPr>
      </w:pPr>
      <w:r>
        <w:rPr>
          <w:rFonts w:ascii="Times New Roman" w:cs="Times New Roman" w:eastAsia="Times New Roman" w:hAnsi="Times New Roman"/>
          <w:sz w:val="12"/>
          <w:szCs w:val="12"/>
          <w:color w:val="auto"/>
        </w:rPr>
        <w:t>approved ZTlido, 5.4% vs. 1.8%, did not result in signs of systemic toxicity or increased application site reactions with daily applications over one month treatment. SP-103 received FDA Fast Track status in LBP. We will continue to analyze the SP-103 Phase 2 trial data along with an investigator study at Johns Hopkins University completed in the second half of 2023, investigating ZTlido in patients with chronic non-radicular neck pain, which also has shown promising top-line efficacy and safety results. While the phase 2 trial in acute LBP had demonstrated an effect in a subpopulation of patients who had acute LBP associated with more severe muscle spasms, the investigator-initiated randomized, crossover, placebo-controlled trial showed substantial reduction of average daily pain in general population of patients with chronic non-radicular neck pain following the application of ZTlido. We therefore plan to prioritize further potential development of SP-103 for the treatment of acute pain. SP-103, if approved, could become the first FDA-approved lidocaine topical product for the treatment of acute pain.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SP-104 (4.5mg, low-dose naltrexone hydrochloride delayed-release capsules)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Two Phase 1 trials have been completed for SP-104 at investigative sites in New Zealand:</w:t>
      </w:r>
    </w:p>
    <w:p>
      <w:pPr>
        <w:spacing w:after="0" w:line="87" w:lineRule="exact"/>
        <w:rPr>
          <w:sz w:val="20"/>
          <w:szCs w:val="20"/>
          <w:color w:val="auto"/>
        </w:rPr>
      </w:pPr>
    </w:p>
    <w:p>
      <w:pPr>
        <w:ind w:left="2620" w:right="859" w:hanging="288"/>
        <w:spacing w:after="0" w:line="253" w:lineRule="auto"/>
        <w:tabs>
          <w:tab w:leader="none" w:pos="26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SP-104-01 is a food effect and bridging PK study comparing SP-104 to Naltrexone HCL Tablets conducted on approximately 18 healthy adult subjects. The study is designed to be an open-label, three-period, three-treatment, randomized study to characterize the PK and safety and tolerability of SP-104 under fasting and fed conditions. Subjects are randomly administered a single dose of one of three treatments and followed for PK and safety for a period of time followed by a washout period before receiving one of the other treatments. All subjects receive all three treatments. The study characterize the single-dose clinical studies and ultimately the commercial label. The study also serves as a “pharmaceutical bridge” between SP-104 and the commercial RLD (Naltrexone HCI tablets, USP 50 mg) to support the eventual Section 505(b)(2) NDA. Assuming that the rate and extent of drug exposure for SP-104 will be lower than that observed for the RLD, this study allows us to rely upon the FDA’s findings of safety for the RLD instead of having to perform extensive nonclinical animal safety toxicology studies and establish an extensive clinical safety database. Our development program can focus on establishing efficacy of SP-104 in the treatment of fibromyalgia.</w:t>
      </w:r>
    </w:p>
    <w:p>
      <w:pPr>
        <w:spacing w:after="0" w:line="66" w:lineRule="exact"/>
        <w:rPr>
          <w:rFonts w:ascii="Times New Roman" w:cs="Times New Roman" w:eastAsia="Times New Roman" w:hAnsi="Times New Roman"/>
          <w:sz w:val="12"/>
          <w:szCs w:val="12"/>
          <w:color w:val="auto"/>
        </w:rPr>
      </w:pPr>
    </w:p>
    <w:p>
      <w:pPr>
        <w:ind w:left="2620" w:right="859" w:hanging="288"/>
        <w:spacing w:after="0" w:line="252" w:lineRule="auto"/>
        <w:tabs>
          <w:tab w:leader="none" w:pos="26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SP-104-02 is a Phase 1 study of SP-104 conducted on approximately 52 healthy human subjects. The study is designed to be a double-blind, randomized, two-period, two-treatment crossover study to evaluate the safety of SP-104, compared to immediate release naltrexone capsules. The primary purpose of the study is to test the hypothesis that, when taken at night, the delayed release of 4.5 mg Naltrexone mitigates against adverse events known for the drug and could affect patient compliance in maintaining treatment for their fibromyalgia. In a small (n=52) cross-over trial in healthy volunteers comparing SP-104 (naltrexone hydrochloride delayed-release 4.5 mg) to naltrexone hydrochloride immediate release 4.5 mg (the “compared drug”), there were no serious adverse effects, no AEs leading to discontinuation, no meaningful differences in physical examinations, vital signs, or laboratory parameters between treatments, no severe AEs for either treatment. Of the 52 patients receiving at least a single injection of SP-104, there were 21 (40%) patients experiencing at least one TEAE, 14 (27%) patients experiencing at least one treatment-related TEAE, 12 (23%) patients experiencing at least one treatment-related TEAE within 72 hours after first administration of SP-104. Notable AEs of special interest were nausea and headache within 72 hours after first administration of SP-104. SP-104 administered at night before bed resulted in a lower number of subjects with at least one AE (p = 0.0414), and an even lower number of subjects with at least one AE within 72 hours after the first administration of SP-140 when compared to the compared drug. There was a lower number of subjects with AEs of special interest within 72 hours after administration of SP-104 (n=9; 12 events) versus the compared drug (n=15; 20 events). Notable AEs of special interest observed within 72 hours after administration of the applicable drug are nausea (SP-104: n=0; the compared drug: n=3) and headache (SP-104: n=6; the compared drug: n=12). The study randomized subjects to one of two treatments followed by a washout period and then receipt of the other treatment, which allows all subjects to act as their own control. The study will support intellectual property, inform on clinical study design and contribute to safety characterization to support market applications.</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167</w:t>
      </w:r>
    </w:p>
    <w:p>
      <w:pPr>
        <w:sectPr>
          <w:pgSz w:w="11900" w:h="16838" w:orient="portrait"/>
          <w:cols w:equalWidth="0" w:num="1">
            <w:col w:w="10159"/>
          </w:cols>
          <w:pgMar w:left="300" w:top="368" w:right="1440"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We completed both studies in the second quarter of 2022. We plan to use data collected from these studies to support an Investigational New Drug application with the FDA, which is expected to enable further clinical development and initiation of a planned multi-center placebo-controlled registration trial in the field of fibromyalgia. The registration trial is designed to be a Phase 3, randomized double-blind, placebo-controlled, parallel group, multicenter study that meets the regulatory requirements of an “adequate and well-controlled” study to establish the efficacy of SP-104 in the treatment of fibromyalgia. Depending on the outcomes, this registration trial alone may be efficient in supporting market approval of SP-104 or an additional Phase 3 study may be required.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Medical Affairs</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Our Medical Affairs team includes in-house medical expertise, health economics and third-party payor support. The Medical Affairs team works with our clinical team to identify sites for clinical trials, support the investigator teams and develop publication plans for clinical and real-world ZTlido data and our product candidates. Our Medical Affairs team also works with Key Opinion Leaders, professional societies and patient advocacy groups to educate on and support the appropriate use of pain therapeutics, including topical pain products. Further, our Medical Affairs team provides our sales organization with therapeutic knowledge and product training. The Medical Affairs team and Promotional Review Committee review all promotional materials for scientific accuracy. The Medical Affairs team also develops lifecycle planning and works with our clinical team to determine registration or supportive studies, oversee post-approval studies and support investigator-sponsored trials.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Manufacturing and Supply Chain</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We currently contract with third parties for the manufacture, assembly, testing, packaging, storage and distribution of our product. Our technical team has extensive pharmaceutical development, manufacturing, analytical, quality and distribution experience and is qualified and capable of managing manufacturing and supply chain operations. Our Quality System, Standard Operating Procedures and contract manufacturing organizations (“CMOs”) comply with cGMP and regulatory requirements. We selected our CMOs for specific competencies having met our development, manufacturing, quality and the FDA regulatory requirements. These CMOs manufacture our clinical supplies and commercial batches. We currently have no plans to build our own manufacturing or distribution infrastructure.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ZTlido is a single-layer, drug-in-adhesive topical delivery system comprised of an adhesive material containing 36 mg lidocaine, which is applied to a pliable nonwoven cloth backing and covered with a polyethylene terephthalate film release liner. ZTlido is commercially manufactured for us by Oishi in Japan. We have exclusive worldwide rights to Oishi’s proprietary formulation and manufacturing technologies except with respect to Japan. ZTlido is manufactured using premixing and hot-melt mixing of various excipients and lidocaine, followed by cGMP compliant coating, lining, cutting and filling processes. ZTlido is packaged as a carton of 30 topical systems, into individual child-resistant envelopes. See the section of this prospectus titled “</w:t>
      </w:r>
      <w:r>
        <w:rPr>
          <w:rFonts w:ascii="Times New Roman" w:cs="Times New Roman" w:eastAsia="Times New Roman" w:hAnsi="Times New Roman"/>
          <w:sz w:val="12"/>
          <w:szCs w:val="12"/>
          <w:i w:val="1"/>
          <w:iCs w:val="1"/>
          <w:color w:val="auto"/>
        </w:rPr>
        <w:t>Business—Material Agreements—Itochu and Oishi Product Development Agreement</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Business—Material Agreements—Itochu and Oishi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Commercial Supply Agreement</w:t>
      </w:r>
      <w:r>
        <w:rPr>
          <w:rFonts w:ascii="Times New Roman" w:cs="Times New Roman" w:eastAsia="Times New Roman" w:hAnsi="Times New Roman"/>
          <w:sz w:val="12"/>
          <w:szCs w:val="12"/>
          <w:color w:val="auto"/>
        </w:rPr>
        <w:t>” for additional information regarding the manufacturing and supply chain of ZTlido.</w:t>
      </w:r>
    </w:p>
    <w:p>
      <w:pPr>
        <w:spacing w:after="0" w:line="126"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Once production is complete, commercial product shipments are sent to the United States, where our exclusive third-party logistics distribution provider, Cardinal Health 105, ships them to temperature-controlled customer distribution centers, which are generally able to deliver finished product to retail pharmacies on the same day, or within 24 hours. We currently contract with multiple pharmaceutical distributors throughout the United States, including McKesson Corporation (“McKesson”), Cardinal Health 110, LLC (“Cardinal Health 110”) and AmerisourceBergen Corporation (“AmerisourceBergen”). Distributors have agreements in place that</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168</w:t>
      </w:r>
    </w:p>
    <w:p>
      <w:pPr>
        <w:sectPr>
          <w:pgSz w:w="11900" w:h="16838" w:orient="portrait"/>
          <w:cols w:equalWidth="0" w:num="1">
            <w:col w:w="10159"/>
          </w:cols>
          <w:pgMar w:left="300" w:top="368"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provide us with access to large retail chains, including CVS, Walgreens, Rite Aid and Walmart, as well as independent pharmacies. In addition to all order fulfillment, Cardinal Health 105 performs the following services on our behalf: customer service, credit checks, invoicing, chargebacks, distributor fee for service, government reporting, customer returns, accounts receivable, inventory control, product security (DSCSA serialization) inquiries and recall assistance. In the years ended December 31, 2020 and 2021 and in the first quarter of 2022, Cardinal Health 105 was our only customer and sales to Cardinal Health 105 represented all of our net revenue for such periods.</w:t>
      </w:r>
    </w:p>
    <w:p>
      <w:pPr>
        <w:spacing w:after="0" w:line="125"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As we continue to expand the commercialization of ZTlido, we expanded our direct distribution network to national and regional distributors and pharmacies in the second quarter of 2022. We currently hold wholesaler licenses and commenced selling directly to our main distributor customers as well as pharmacies from the second quarter of 2022. In April 2022, we discontinued our use of “title model” services provided by Cardinal Health 105, but expect that Cardinal Health 105 will continue to perform other third-party logistics services for us.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SP-102 (SEMDEXA)</w:t>
      </w:r>
    </w:p>
    <w:p>
      <w:pPr>
        <w:spacing w:after="0" w:line="8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SP-102 is a Phase 3 sterile dexamethasone sodium phosphate injectable viscous gel drug product containing dexamethasone sodium phosphate equivalent to 10 mg dexamethasone in a pre-filled glass syringe with a 2 mL deliverable volume. SP-102 also contains sodium hyaluronate, which is a novel, biocompatible, viscosity- enhancing excipient and is listed in the European Pharmacopeia.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We are currently in discussions with Sanofi, an affiliate of Genzyme, and are in the process of identifying and certifying new suppliers, in each case to fulfill our future supply requirements for sodium hyaluronate. SP-102 is manufactured by a single-source manufacturer, which supports the clinical development, including the completed Phase 3 clinical trial of SP-102. In March 2022, we announced final results of the Phase 3 clinical trial, satisfying the primary and key secondary endpoints. The manufacturing process is proprietary and includes trade secrets. We plan to engage our existing contract manufacturer, Lifecore, for the commercial production of SP-102, if approved. See the section of this prospectus titled “</w:t>
      </w:r>
      <w:r>
        <w:rPr>
          <w:rFonts w:ascii="Times New Roman" w:cs="Times New Roman" w:eastAsia="Times New Roman" w:hAnsi="Times New Roman"/>
          <w:sz w:val="12"/>
          <w:szCs w:val="12"/>
          <w:i w:val="1"/>
          <w:iCs w:val="1"/>
          <w:color w:val="auto"/>
        </w:rPr>
        <w:t>Business — Material Agreements — Lifecore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Master Services Agreement</w:t>
      </w:r>
      <w:r>
        <w:rPr>
          <w:rFonts w:ascii="Times New Roman" w:cs="Times New Roman" w:eastAsia="Times New Roman" w:hAnsi="Times New Roman"/>
          <w:sz w:val="12"/>
          <w:szCs w:val="12"/>
          <w:color w:val="auto"/>
        </w:rPr>
        <w:t>” for additional information regarding the manufacturing of our SP-102 product candidate.</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SP-103</w:t>
      </w:r>
    </w:p>
    <w:p>
      <w:pPr>
        <w:spacing w:after="0" w:line="8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SP-103 contains 5.4% lidocaine (108 mg lidocaine) and is manufactured for clinical supply by Oishi, using the same manufacturing processes as used for ZTlido. If our Phase 2 and Phase 3 trials are successful, we plan to submit the SP-103 manufacturing protocols in a supplemental new drug application.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SP-104</w:t>
      </w:r>
    </w:p>
    <w:p>
      <w:pPr>
        <w:spacing w:after="0" w:line="8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We are developing SP-104, a novel low-dose, naltrexone hydrochloride delayed release formulation for treating fibromyalgia. SP-104 is 4.5 mg, low-dose naltrexone hydrochloride delayed release capsule product in clinical development, for which Phase 1 studies were completed in the second quarter of 2022. It is manufactured by a contract manufacturer, Tulex Pharmaceuticals Inc. (“Tulex”), located in Cranbury, NJ.</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82"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Our industry is highly competitive and subject to rapid and significant technological change. The large size and expanding scope of the pain management market makes it an attractive therapeutic area for biopharmaceutical businesses. Our potential competitors include pharmaceutical, biotechnology and specialty pharmaceutical companies. Many of these companies have drug pipelines, readily available capital, and established research and development organizations.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169</w:t>
      </w:r>
    </w:p>
    <w:p>
      <w:pPr>
        <w:sectPr>
          <w:pgSz w:w="11900" w:h="16838" w:orient="portrait"/>
          <w:cols w:equalWidth="0" w:num="1">
            <w:col w:w="10159"/>
          </w:cols>
          <w:pgMar w:left="300" w:top="368"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39" w:firstLine="294"/>
        <w:spacing w:after="0" w:line="260" w:lineRule="auto"/>
        <w:rPr>
          <w:sz w:val="20"/>
          <w:szCs w:val="20"/>
          <w:color w:val="auto"/>
        </w:rPr>
      </w:pPr>
      <w:r>
        <w:rPr>
          <w:rFonts w:ascii="Times New Roman" w:cs="Times New Roman" w:eastAsia="Times New Roman" w:hAnsi="Times New Roman"/>
          <w:sz w:val="12"/>
          <w:szCs w:val="12"/>
          <w:color w:val="auto"/>
        </w:rPr>
        <w:t>ZTlido and our product candidate, SP-103, if approved, face and will likely face competition from prescription, generic, and OTC topical lidocaine patches, including Lidoderm, generic lidocaine patches manufactured by Teva, Mylan and Par Pharmaceutical, Inc., and over-the-counter lidocaine patches. Additionally, SP-103, if approved, will likely compete with various opioid pain medications, NSAIDs, muscle relaxants, antidepressants and anticonvulsants, particularly as we seek approval for the treatment of chronic neck pain.</w:t>
      </w:r>
    </w:p>
    <w:p>
      <w:pPr>
        <w:spacing w:after="0" w:line="122"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We launched ELYXYB for treatment of acute migraine pain. ELYXYB faces competition from other NSAID products, triptans and newly launched CGRP inhibitors. NSAIDs and triptans are well established for the treatment of migraine.</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We launched GLOPERBA, our liquid colchicine formulation, in June 2024. GLOPERBA will face competition from generic colchicine formulations, uric acid lowering products like alopurinol, and other products that are used for the prophylaxis treatment of gout. GLOPERBA is the only liquid colchicine product approved by the FDA.</w:t>
      </w:r>
    </w:p>
    <w:p>
      <w:pPr>
        <w:spacing w:after="0" w:line="119"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SP-102, if approved, has the potential to become the first FDA-approved epidural steroid product for the treatment of sciatica. While there are currently no FDA-approved ESIs indicated for the treatment of sciatica, we are aware of certain non-steroid product candidates in development. SP-102, if approved, will compete with various opioid pain medications,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spacing w:after="0" w:line="125"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With respect to our product candidate SP-104, while there are currently no formulations containing naltrexone in clinical development for the treatment of fibromyalgia, we are aware of certain non-opioid therapeutics currently in a late-stage Phase 3 pipeline containing two 505(b)(2) development programs. Therefore, we believe that SP-104 will likely face direct competition from these candidates.</w:t>
      </w:r>
    </w:p>
    <w:p>
      <w:pPr>
        <w:spacing w:after="0" w:line="119" w:lineRule="exact"/>
        <w:rPr>
          <w:sz w:val="20"/>
          <w:szCs w:val="20"/>
          <w:color w:val="auto"/>
        </w:rPr>
      </w:pPr>
    </w:p>
    <w:p>
      <w:pPr>
        <w:ind w:left="1980" w:right="1079" w:firstLine="294"/>
        <w:spacing w:after="0" w:line="257" w:lineRule="auto"/>
        <w:rPr>
          <w:sz w:val="20"/>
          <w:szCs w:val="20"/>
          <w:color w:val="auto"/>
        </w:rPr>
      </w:pPr>
      <w:r>
        <w:rPr>
          <w:rFonts w:ascii="Times New Roman" w:cs="Times New Roman" w:eastAsia="Times New Roman" w:hAnsi="Times New Roman"/>
          <w:sz w:val="12"/>
          <w:szCs w:val="12"/>
          <w:color w:val="auto"/>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the FDA and other regulatory approvals of product candidates, formulating and manufacturing product candidates and launching, marketing and selling product candidates.</w:t>
      </w:r>
    </w:p>
    <w:p>
      <w:pPr>
        <w:spacing w:after="0" w:line="125"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w:t>
      </w:r>
    </w:p>
    <w:p>
      <w:pPr>
        <w:spacing w:after="0" w:line="129"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Established pharmaceutical companies may invest heavily to accelerate discovery and development of novel compounds or to in-license novel compounds that could make our product candidates less competitive.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170</w:t>
      </w:r>
    </w:p>
    <w:p>
      <w:pPr>
        <w:sectPr>
          <w:pgSz w:w="11900" w:h="16838" w:orient="portrait"/>
          <w:cols w:equalWidth="0" w:num="1">
            <w:col w:w="10159"/>
          </w:cols>
          <w:pgMar w:left="300" w:top="368"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19"/>
        <w:spacing w:after="0" w:line="279" w:lineRule="auto"/>
        <w:rPr>
          <w:sz w:val="20"/>
          <w:szCs w:val="20"/>
          <w:color w:val="auto"/>
        </w:rPr>
      </w:pPr>
      <w:r>
        <w:rPr>
          <w:rFonts w:ascii="Times New Roman" w:cs="Times New Roman" w:eastAsia="Times New Roman" w:hAnsi="Times New Roman"/>
          <w:sz w:val="12"/>
          <w:szCs w:val="12"/>
          <w:color w:val="auto"/>
        </w:rPr>
        <w:t>Accordingly, our competitors may succeed in obtaining patent protection, receiving FDA approval or discovering, developing and commercializing medicines before we do.</w:t>
      </w:r>
    </w:p>
    <w:p>
      <w:pPr>
        <w:spacing w:after="0" w:line="111"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The key competitive factors affecting the success of ZTlido, GLOPERBA, ELYXYB, SP-102, SP-103 and SP-104 are likely to be their clinical benefit, durability, tolerability, price, intellectual property protection, and the availability of reimbursement from government and other third-party payors.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Material Agreements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Itochu and Oishi Product Development Agreement</w:t>
      </w:r>
    </w:p>
    <w:p>
      <w:pPr>
        <w:spacing w:after="0" w:line="82" w:lineRule="exact"/>
        <w:rPr>
          <w:sz w:val="20"/>
          <w:szCs w:val="20"/>
          <w:color w:val="auto"/>
        </w:rPr>
      </w:pPr>
    </w:p>
    <w:p>
      <w:pPr>
        <w:jc w:val="both"/>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We are party to the Product Development Agreement with the Developers. Pursuant to the Product Development Agreement, the Developers agreed to develop, exclusively for us, lidocaine tape products, including ZTlido and SP-103 (the “Products”). Pursuant to the Product Development Agreement, we obtained the rights to market, sell and distribute the Products in global markets outside of Japan.</w:t>
      </w:r>
    </w:p>
    <w:p>
      <w:pPr>
        <w:spacing w:after="0" w:line="119"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In carrying out the development responsibilities, the Developers agreed to, among other things, (1) source and provide the active pharmaceutical ingredient for the Products for manufacturing, (2) develop a stable final dosage form of the Products suitable for regulatory approvals, (3) conduct product development activities necessary to support the filing of applications for regulatory approvals for the Products and (4) conduct manufacturing scale-up activities and preclinical studies for the Products. We are responsible for, among other things, (a) conducting all pivotal human clinical trials for the Products, (b) completing all regulatory filings, correspondence and meetings with the FDA or other applicable governmental authorities with respect to the Products and (c) commercially launching the Products. We maintain the ultimate responsibility and decision-making control with regard to the marketing and pricing of the Products.</w:t>
      </w:r>
    </w:p>
    <w:p>
      <w:pPr>
        <w:spacing w:after="0" w:line="126"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The parties agreed to cooperate in good faith to determine whether to seek or maintain patent protection with respect to the Products, the active pharmaceutical ingredient, any associated method of use, method of manufacturing, or any other invention that could reasonably be expected to affect the commercialization or value of the Products. The Developers have the first right to pursue patent protection for any invention by them. All parties will jointly agree on the appointment of the patent representatives in each country outside of Japan.</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Until the expiration or termination of the Product Development Agreement, the Developers granted us an exclusive, royalty-free, sublicensable, worldwide license (except with respect to Japan) under its current and future intellectual property rights relating to the Products and the lidocaine in such Products. As consideration for the Developers’ development obligations under the Product Development Agreement, we agreed to pay a contingent quarterly royalty between 25% and 35% to the Developers based on the net quarterly profits of the Products. In the event that the net profits of any of the first four calendar quarters after the commercial launch equals a negative amount (a “Net Loss”), we are allowed to carry over such Net Loss to apply against all future calendar quarters until such Net Loss is covered, all calculated in accordance with U.S. GAAP. Under the Product Development Agreement, if our total net profits for ZTlido and SP-103 are equal to or less than five percent of our net sales of ZTlido and SP-103 for a period of four or more consecutive quarters, the Developers have the right to terminate the Product Development Agreement and the Commercial Supply Agreement. As of the date of this prospectus, our net profits for ZTlido and SP-103 have not exceeded five percent of net sales. Accordingly, Oishi and Itochu have the right to terminate the Product Development Agreement and Commercial Supply Agreement. As of the date of this prospectus, neither Oishi nor Itochu has exercised its right of termination. Additionally, if we receive any licensing fees from any third-party sublicensees, we are obligated to pay the same proportions of such licensing fee to the Developers.</w:t>
      </w:r>
    </w:p>
    <w:p>
      <w:pPr>
        <w:spacing w:after="0" w:line="126"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The current term of the Product Development Agreement will continue until October 2, 2028, which is the 10th anniversary of the first commercial sale of ZTlido. Afterwards, the agreement will renew automatically for subsequent successive one-year renewal periods unless we or the Developers terminate it upon six months’</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171</w:t>
      </w:r>
    </w:p>
    <w:p>
      <w:pPr>
        <w:sectPr>
          <w:pgSz w:w="11900" w:h="16838" w:orient="portrait"/>
          <w:cols w:equalWidth="0" w:num="1">
            <w:col w:w="10159"/>
          </w:cols>
          <w:pgMar w:left="300" w:top="368" w:right="144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78" w:lineRule="auto"/>
        <w:rPr>
          <w:sz w:val="20"/>
          <w:szCs w:val="20"/>
          <w:color w:val="auto"/>
        </w:rPr>
      </w:pPr>
      <w:r>
        <w:rPr>
          <w:rFonts w:ascii="Times New Roman" w:cs="Times New Roman" w:eastAsia="Times New Roman" w:hAnsi="Times New Roman"/>
          <w:sz w:val="11"/>
          <w:szCs w:val="11"/>
          <w:color w:val="auto"/>
        </w:rPr>
        <w:t>written notice. In addition, we or the Developers may terminate the Product Development Agreement if (1) the other party is in material breach of the agreement and the breach is not curable, or if the breach is curable and the breaching party has not cured such material breach within 180 days after notice requesting to cure; (2) the FDA determines that the formulation of the Products would not be eligible for FDA approval in the absence of efficacy studies, and the Developers are unable to address the efficacy study requirements despite good faith efforts; (3) the market conditions are such that</w:t>
      </w:r>
    </w:p>
    <w:p>
      <w:pPr>
        <w:spacing w:after="0" w:line="1" w:lineRule="exact"/>
        <w:rPr>
          <w:sz w:val="20"/>
          <w:szCs w:val="20"/>
          <w:color w:val="auto"/>
        </w:rPr>
      </w:pPr>
    </w:p>
    <w:p>
      <w:pPr>
        <w:ind w:left="1980" w:right="899" w:hanging="8"/>
        <w:spacing w:after="0" w:line="251" w:lineRule="auto"/>
        <w:tabs>
          <w:tab w:leader="none" w:pos="2143"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total net profits of the Products are equal to or less than five percent of our net sales of the Products for a period of four or more consecutive quarters, or (b) the Products’ economic viability is affected significantly as evidenced by documentation and substantial information by any external circumstances deemed detrimental to all parties as agreed to by us and the Developers, and the parties are unable to resolve the concerns under the foregoing clauses (a) and (b) after 30 days of good-faith discussion; (4) the parties fail to reach mutual agreement as to who will conduct the clinical studies and how the costs will be allocated; or (5) we or either one of the Developers are bankrupt or make assignment for the benefit of creditors. Additionally, we may terminate the Product Development Agreement if (i) any of the pivotal human clinical trials for any of the Products fail, or (ii) the FDA issues a “Refusal to File” for any of the Products’ regulatory approval application and, after reasonable consultation with the Developers, we believe that it is commercially unreasonable to re-file. The Developers may terminate the Product Development Agreement if we fail to file for regulatory approval for any of the Products within three months of the date on which all required components of the regulatory approval application are received by us.</w:t>
      </w:r>
    </w:p>
    <w:p>
      <w:pPr>
        <w:spacing w:after="0" w:line="130"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Under the Product Development Agreement, we and the Developers have agreed, subject to certain exceptions, to indemnify each other against any third-party liabilities arising out of (1) any breach of our respective representations, warranties or obligations under the Product Development Agreement, (2) any failure by either of us to comply with all applicable laws, or (3) our respective negligence or willful misconduct.</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foregoing is a summary of the material terms of the Product Development Agreement and its amendments in the forms filed as exhibits to this prospectus. You should read the form of the agreement and its amendments for a complete understanding of all of their respective terms.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Itochu and Oishi Commercial Supply Agreement</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Effective February 16, 2017, Scilex Pharma entered into the Commercial Supply Agreement with Itochu and Oishi. Pursuant to the Commercial Supply Agreement, Oishi agreed to manufacture, store, handle and perform quality control testing of the Products (as defined in the Product Development Agreement) at its facility in Japan. Itochu agreed to purchase Products from Oishi and handle the shipping of the Products. Both Oishi and Itochu agreed to provide us with certain technical support regarding the Products as reasonably requested by us, including but not limited to analytical test methods, method development, physical and chemical properties, and use of the Products.</w:t>
      </w:r>
    </w:p>
    <w:p>
      <w:pPr>
        <w:spacing w:after="0" w:line="125" w:lineRule="exact"/>
        <w:rPr>
          <w:sz w:val="20"/>
          <w:szCs w:val="20"/>
          <w:color w:val="auto"/>
        </w:rPr>
      </w:pPr>
    </w:p>
    <w:p>
      <w:pPr>
        <w:ind w:left="1980" w:right="959" w:firstLine="294"/>
        <w:spacing w:after="0" w:line="286" w:lineRule="auto"/>
        <w:rPr>
          <w:sz w:val="20"/>
          <w:szCs w:val="20"/>
          <w:color w:val="auto"/>
        </w:rPr>
      </w:pPr>
      <w:r>
        <w:rPr>
          <w:rFonts w:ascii="Times New Roman" w:cs="Times New Roman" w:eastAsia="Times New Roman" w:hAnsi="Times New Roman"/>
          <w:sz w:val="11"/>
          <w:szCs w:val="11"/>
          <w:color w:val="auto"/>
        </w:rPr>
        <w:t>Under the Itochu and Oishi Commercial Supply Agreement, we pay per item transfer prices for ZTlido, ZTlido professional samples and ZTlido placebo samples, in each case subject to certain minimum order quantities. We are required to provide a 12-month rolling purchase forecast of the estimated quantities of the Products in writing on a monthly basis. Oishi is required to promptly notify us and Itochu if it lacks the capacity to meet the forecast. All Products ordered by us will be in the form of a firm written purchase order. During the years ended December 31, 2024 and 2023, we purchased inventory in the amount of $5.0 million and $8.2 million, respectively, under the Itochu and Oishi Commercial Supply Agreement.</w:t>
      </w:r>
    </w:p>
    <w:p>
      <w:pPr>
        <w:spacing w:after="0" w:line="110"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Itochu and Oishi Commercial Supply Agreement will remain in effect until the termination of the Product Development Agreement. Additionally, either we or the Developers may terminate the Itochu and Oishi Commercial Supply Agreement (1) if the other party is in material breach of the agreement and the breach is not substantially cured within 60 days after receiving written notice specifying the nature of the breach, or (2) in the event of any of the parties’ insolvency, bankruptcy or assignment for the benefit of creditors. Any third-party claim arising out of a breach by a party of any representation, warranty or obligation under the Itochu and Oishi</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172</w:t>
      </w:r>
    </w:p>
    <w:p>
      <w:pPr>
        <w:sectPr>
          <w:pgSz w:w="11900" w:h="16838" w:orient="portrait"/>
          <w:cols w:equalWidth="0" w:num="1">
            <w:col w:w="10159"/>
          </w:cols>
          <w:pgMar w:left="300" w:top="368"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79" w:lineRule="auto"/>
        <w:rPr>
          <w:sz w:val="20"/>
          <w:szCs w:val="20"/>
          <w:color w:val="auto"/>
        </w:rPr>
      </w:pPr>
      <w:r>
        <w:rPr>
          <w:rFonts w:ascii="Times New Roman" w:cs="Times New Roman" w:eastAsia="Times New Roman" w:hAnsi="Times New Roman"/>
          <w:sz w:val="12"/>
          <w:szCs w:val="12"/>
          <w:color w:val="auto"/>
        </w:rPr>
        <w:t>Commercial Supply Agreement, or a failure by a party to comply with applicable laws, or the negligence or willful misconduct of a party, will be subject to and governed by the Product Development Agreement.</w:t>
      </w:r>
    </w:p>
    <w:p>
      <w:pPr>
        <w:spacing w:after="0" w:line="111" w:lineRule="exact"/>
        <w:rPr>
          <w:sz w:val="20"/>
          <w:szCs w:val="20"/>
          <w:color w:val="auto"/>
        </w:rPr>
      </w:pPr>
    </w:p>
    <w:p>
      <w:pPr>
        <w:ind w:left="1980" w:right="859" w:firstLine="294"/>
        <w:spacing w:after="0" w:line="327" w:lineRule="auto"/>
        <w:rPr>
          <w:sz w:val="20"/>
          <w:szCs w:val="20"/>
          <w:color w:val="auto"/>
        </w:rPr>
      </w:pPr>
      <w:r>
        <w:rPr>
          <w:rFonts w:ascii="Times New Roman" w:cs="Times New Roman" w:eastAsia="Times New Roman" w:hAnsi="Times New Roman"/>
          <w:sz w:val="11"/>
          <w:szCs w:val="11"/>
          <w:color w:val="auto"/>
        </w:rPr>
        <w:t>The foregoing is a summary of the material terms of the Itochu and Oishi Commercial Supply Agreement and its amendments in the forms filed as exhibits to this prospectus. You should read the form of the agreement and its amendments for a complete understanding of all of their respective terms.</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b w:val="1"/>
          <w:bCs w:val="1"/>
          <w:i w:val="1"/>
          <w:iCs w:val="1"/>
          <w:color w:val="auto"/>
        </w:rPr>
        <w:t xml:space="preserve"> License and Commercialization Agreement</w:t>
      </w:r>
    </w:p>
    <w:p>
      <w:pPr>
        <w:spacing w:after="0" w:line="37" w:lineRule="exact"/>
        <w:rPr>
          <w:sz w:val="20"/>
          <w:szCs w:val="20"/>
          <w:color w:val="auto"/>
        </w:rPr>
      </w:pPr>
    </w:p>
    <w:p>
      <w:pPr>
        <w:jc w:val="both"/>
        <w:ind w:left="1980" w:right="1039"/>
        <w:spacing w:after="0" w:line="270" w:lineRule="auto"/>
        <w:rPr>
          <w:sz w:val="20"/>
          <w:szCs w:val="20"/>
          <w:color w:val="auto"/>
        </w:rPr>
      </w:pPr>
      <w:r>
        <w:rPr>
          <w:rFonts w:ascii="Times New Roman" w:cs="Times New Roman" w:eastAsia="Times New Roman" w:hAnsi="Times New Roman"/>
          <w:sz w:val="12"/>
          <w:szCs w:val="12"/>
          <w:color w:val="auto"/>
        </w:rPr>
        <w:t>On February 12, 2023, we acquired from BioDelivery Sciences International, Inc. (“BDSI”) and Collegium Pharmaceutical, Inc. (“Collegium”, and together with BDSI, the “ELYXYB Sellers”) the rights to certain patents, trademarks, regulatory approvals, data, contracts and other rights related to ELYXYB</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(celecoxib oral solution) and its commercialization in the United States and Canada (the “ELYXYB Territory”).</w:t>
      </w:r>
    </w:p>
    <w:p>
      <w:pPr>
        <w:spacing w:after="0" w:line="34"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As consideration for the acquisition, we assumed various rights and obligations under that certain asset purchase agreement, dated August 3, 2021 (the “DRL APA”), between BDSI and Dr. Reddy’s Laboratories Limited (“DRL”), a company incorporated under the laws of India, including a license from DRL including an irrevocable, royalty-free, exclusive license to know-how and patents of DRL related to ELYXYB and necessary or used to exploit ELYXYB in the ELYXYB Territory. Additionally, under the DRL APA, the ELYXYB Sellers granted us an irrevocable, royalty-free, exclusive license to know-how related to ELYXYB and necessary or used to exploit ELYXYB in the ELYXYB Territory. No cash consideration was or will be payable to the ELYXYB Sellers for such acquisition; however, the obligations under the DRL APA that were assumed by us include obligations to pay royalties for sales of ELYXYB in the ELYXYB Territory for all indications and additional amounts if certain net sales and regulatory milestones are achieved.</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Romeg License and Commercialization Agreement</w:t>
      </w:r>
    </w:p>
    <w:p>
      <w:pPr>
        <w:spacing w:after="0" w:line="82" w:lineRule="exact"/>
        <w:rPr>
          <w:sz w:val="20"/>
          <w:szCs w:val="20"/>
          <w:color w:val="auto"/>
        </w:rPr>
      </w:pPr>
    </w:p>
    <w:p>
      <w:pPr>
        <w:ind w:left="1980" w:right="1199"/>
        <w:spacing w:after="0" w:line="279" w:lineRule="auto"/>
        <w:rPr>
          <w:sz w:val="20"/>
          <w:szCs w:val="20"/>
          <w:color w:val="auto"/>
        </w:rPr>
      </w:pPr>
      <w:r>
        <w:rPr>
          <w:rFonts w:ascii="Times New Roman" w:cs="Times New Roman" w:eastAsia="Times New Roman" w:hAnsi="Times New Roman"/>
          <w:sz w:val="12"/>
          <w:szCs w:val="12"/>
          <w:color w:val="auto"/>
        </w:rPr>
        <w:t>On June 14, 2022 (the “Original Signing Date”), we entered into the Romeg License Agreement with Romeg, which agreement was subsequently amended on January 16, 2025.</w:t>
      </w:r>
    </w:p>
    <w:p>
      <w:pPr>
        <w:spacing w:after="0" w:line="111" w:lineRule="exact"/>
        <w:rPr>
          <w:sz w:val="20"/>
          <w:szCs w:val="20"/>
          <w:color w:val="auto"/>
        </w:rPr>
      </w:pPr>
    </w:p>
    <w:p>
      <w:pPr>
        <w:ind w:left="1980" w:right="839"/>
        <w:spacing w:after="0" w:line="252" w:lineRule="auto"/>
        <w:rPr>
          <w:sz w:val="20"/>
          <w:szCs w:val="20"/>
          <w:color w:val="auto"/>
        </w:rPr>
      </w:pPr>
      <w:r>
        <w:rPr>
          <w:rFonts w:ascii="Times New Roman" w:cs="Times New Roman" w:eastAsia="Times New Roman" w:hAnsi="Times New Roman"/>
          <w:sz w:val="12"/>
          <w:szCs w:val="12"/>
          <w:color w:val="auto"/>
        </w:rPr>
        <w:t>Under the Romeg License Agreement, among other things, Romeg granted us (1) a license, with the right to sublicense, under the patents and know-how specified therein to (a) commercialize a pharmaceutical product comprising liquid formulations of colchicine for the prophylactic treatment of gout in adult humans (the “Initial Licensed Product”) in the United States (including its territories) (the “Romeg U.S. Territory”), (b) develop other products comprising the Initial Licensed Product as an active pharmaceutical ingredient (together with the Initial Licensed Product, the “Licensed Products”) and commercialize any such products in the Romeg U.S. Territory and (c) manufacture Licensed Products anywhere in the world, solely for commercialization in the Romeg U.S. Territory; (2) an exclusive license, with right to sublicense, to use the trademark “GLOPERBA” and logos, designs, translations, and modifications thereof (collectively, the “Licensed Trademark”) in connection with the commercialization of the Initial Licensed Product solely in the Romeg U.S. Territory; and (3) pursuant to the amendment thereto, a license, with the right to (a) sublicense under the know-how and, if any, patents existing worldwide other than the Romeg U.S. Territory (the “Romeg Ex-U.S. Territory”), as specified therein, to develop, manufacture and commercialize Licensed Products in the Romeg Ex-U.S. Territory and (b) to use the Licensed Trademark in connection with the commercialization of the Licensed Products in the Romeg Ex-U.S. Territory. With respect to the foregoing clause (1), the license to know-how is exclusive for purposes of developing and commercializing Licensed Products in the Romeg U.S. Territory during the Romeg U.S. Territory Royalty Term, but is otherwise non-exclusive, and the license to patents is exclusive for purposes of developing and commercializing Licensed Products in the Romeg U.S. Territory until July 1, 2027 and, thereafter, is co-exclusive with Granules Pharmaceuticals, Inc. for the Romeg U.S. Territory Royalty Term for such purposes. The Romeg U.S. Territory Royalty Term begins on the Original Signing Date and ends on the later of (i) expiration of the last to expire of the patents that covers the manufacture or commercialization of the Licensed Products in the Romeg U.S. Territory or (ii) the tenth anniversary of the Original Signing Date. With</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173</w:t>
      </w:r>
    </w:p>
    <w:p>
      <w:pPr>
        <w:sectPr>
          <w:pgSz w:w="11900" w:h="16838" w:orient="portrait"/>
          <w:cols w:equalWidth="0" w:num="1">
            <w:col w:w="10159"/>
          </w:cols>
          <w:pgMar w:left="300" w:top="368"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79"/>
        <w:spacing w:after="0" w:line="265" w:lineRule="auto"/>
        <w:rPr>
          <w:sz w:val="20"/>
          <w:szCs w:val="20"/>
          <w:color w:val="auto"/>
        </w:rPr>
      </w:pPr>
      <w:r>
        <w:rPr>
          <w:rFonts w:ascii="Times New Roman" w:cs="Times New Roman" w:eastAsia="Times New Roman" w:hAnsi="Times New Roman"/>
          <w:sz w:val="12"/>
          <w:szCs w:val="12"/>
          <w:color w:val="auto"/>
        </w:rPr>
        <w:t>respect to the foregoing clause (3), the license to know-how patents (if any) is exclusive during the Romeg Ex-U.S. Territory Royalty Term, but is otherwise non-exclusive. The “Romeg Ex-U.S. Territory Royalty Term” begins on the date of the amendment agreement and ends on the tenth anniversary of such date.</w:t>
      </w:r>
    </w:p>
    <w:p>
      <w:pPr>
        <w:spacing w:after="0" w:line="119"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As consideration for the license under the Romeg License Agreement, we agreed to pay Romeg (1) an up-front payment of $2.0 million, (2) upon our achievement of certain net sales milestones, certain milestone payments in the aggregate amount of up to $13.0 million, (3) certain royalties in the mid-single digit percentage, based on annual net sales of the Licensed Products attributable to sales of the Licensed Products occurring in the Romeg U.S. Territory during the Romeg U.S. Territory Royalty Term, with a quarterly minimum royalty of $150,000, and (4) pursuant to the amendment thereto, (a) certain royalties in the low-single digit percentage, based on annual net sales of the Licensed Products attributable to sales of License Products in the Romeg Ex-U.S. Territory during the Romeg Ex-U.S. Territory Royalty Term and (b) a one-time, non-refundable, non-creditable payment of $700,000. Pursuant to the amendment agreement, we also transferred to Romeg 779,371 shares of our Common Stock.</w:t>
      </w:r>
    </w:p>
    <w:p>
      <w:pPr>
        <w:spacing w:after="0" w:line="126"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The Romeg License Agreement will remain in effect until it is terminated in accordance with the terms thereof. We may terminate the Romeg License Agreement (1) upon written notice to Romeg, if we elect (or are required) to withdraw the Initial Licensed Product from the market as a result of serious adverse reactions from use of such product, which termination will be effective 30 days following the date of such notice or (2) at any time, without cause, upon written notice to Romeg, which termination will be effective 120 days following the date of such notice, provided that a termination fee of up to $2.0 million shall be paid to Romeg depending on when during the 10-year period following the date of the agreement any such termination notice set forth in the immediately preceding clause (2) has been provided. Romeg may terminate the Romeg License Agreement (a) upon notice to us, if we fail to timely pay any milestone payment, percentage royalties or minimum quarterly royalties or fail to timely deliver the requisite quarterly report, which termination will be effective 30 days after the date of such notice, unless we have made such payment in full or delivered such quarterly report within such 30 day period; (b) immediately, if we challenge the licensed patents under any court action or proceeding or before any patent office or assist any third party to conduct any of these activities; or (c) by written notice to us if sales of the Licensed Products do not commence or continue within specified periods agreed to by the parties. In addition, either party may terminate the Romeg License Agreement (1) in the event the other party materially breaches the agreement, unless the breaching party has cured any such breach within 60 days after any notice thereof was provided or (2) in the event the other party (a) files in any court or agency a petition in bankruptcy or insolvency, (b) is served with an involuntary petition against it in any insolvency proceeding and such involuntary petition has not been stayed or dismissed within 90 days after its filing, or (c) makes an assignment of substantially all of its assets for the benefit of its creditors.</w:t>
      </w:r>
    </w:p>
    <w:p>
      <w:pPr>
        <w:spacing w:after="0" w:line="13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Romeg License Agreement contains customary reciprocal indemnification obligations for Romeg and us. Additionally, we agreed, subject to certain exceptions, to indemnify Romeg against any loss arising out of the manufacture or commercialization of any Licensed Product by or on behalf of us or our affiliates, marketing partners, sublicensees or subcontractors on or after the date of the license.</w:t>
      </w:r>
    </w:p>
    <w:p>
      <w:pPr>
        <w:spacing w:after="0" w:line="119"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The foregoing is a summary of the material terms of the Romeg License Agreement (including the amendment thereto) in the forms filed as exhibits to this prospectus. You should read the form of the agreements for a complete understanding of all of their terms.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Lifecore Master Services Agreement</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On January 27, 2017, through our wholly owned subsidiary, Semnur, we entered into that certain Master Services Agreement (as amended, the “Lifecore Master Services Agreement”), with Lifecore Biomedical, LLC (“Lifecore”). Pursuant to the Lifecore Master Services Agreement, Lifecore is responsible for clinical trial material manufacturing and development services for SEMDEXA as set forth in each separate statement of work (each a “Lifecore Statement of Work”).</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174</w:t>
      </w:r>
    </w:p>
    <w:p>
      <w:pPr>
        <w:sectPr>
          <w:pgSz w:w="11900" w:h="16838" w:orient="portrait"/>
          <w:cols w:equalWidth="0" w:num="1">
            <w:col w:w="10159"/>
          </w:cols>
          <w:pgMar w:left="300" w:top="368"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parties entered into a Lifecore Statement of Work on January 27, 2017, pursuant to which Lifecore agreed to provide, among other things,</w:t>
      </w:r>
    </w:p>
    <w:p>
      <w:pPr>
        <w:spacing w:after="0" w:line="17" w:lineRule="exact"/>
        <w:rPr>
          <w:sz w:val="20"/>
          <w:szCs w:val="20"/>
          <w:color w:val="auto"/>
        </w:rPr>
      </w:pPr>
    </w:p>
    <w:p>
      <w:pPr>
        <w:ind w:left="1980" w:right="1039" w:hanging="8"/>
        <w:spacing w:after="0" w:line="260" w:lineRule="auto"/>
        <w:tabs>
          <w:tab w:leader="none" w:pos="215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 management support, (2) development services, (3) clinical trial materials, and (4) stability studies. We paid Lifecore for the development and clinical trial material manufacturing services, which was invoiced at the completion of each service.</w:t>
      </w:r>
    </w:p>
    <w:p>
      <w:pPr>
        <w:spacing w:after="0" w:line="12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For the purposes of Lifecore’s development and clinical trial material manufacturing obligations, we granted Lifecore a nonexclusive, worldwide and royalty-free license under our owned or controlled intellectual property rights necessary to manufacture SP-102, without additional right, title or interest in our intellectual property.</w:t>
      </w:r>
    </w:p>
    <w:p>
      <w:pPr>
        <w:spacing w:after="0" w:line="119"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(d) engages in any act which materially impairs goodwill associated with SEMDEXA or materially impairs the terminating party’s trademark or trade name. In addition, Lifecore may terminate the agreement if (i) we fail to pay past due invoices upon 30 days’ written notice, or (ii) we reject or fail to respond to a major change or minor change proposed by Lifecore that does not change SEMDEXA’s written and approved acceptance criteria.</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Lifecore Master Services Agreement contains customary reciprocal indemnification obligations for Lifecore and Semnur.</w:t>
      </w:r>
    </w:p>
    <w:p>
      <w:pPr>
        <w:spacing w:after="0" w:line="150"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The foregoing is a summary of the material terms of the Lifecore Master Services Agreement and the amendments thereto in the forms filed as exhibits to the registration statement of which this prospectus is a part. You should read the form of the agreement and its amendments for a complete understanding of all of their respective terms.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Semnur Acquisition</w:t>
      </w:r>
    </w:p>
    <w:p>
      <w:pPr>
        <w:spacing w:after="0" w:line="8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On March 18, 2019, Legacy Scilex acquired Semnur pursuant to the Semnur Acquisition Agreement, Sigma Merger Sub, the Semnur Equityholders’ Representative, and for limited purposes, Sorrento. Pursuant to the Semnur Acquisition Agreement, Sigma Merger Sub merged with and into Semnur (the “Semnur Acquisition”), with Semnur surviving as Legacy Scilex’s wholly owned subsidiary.</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Pursuant to the Semnur Acquisition Agreement, and upon the terms and subject to the conditions contained therein, Legacy Scilex also agreed to</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pay former holders of Semnur’s capital stock (the “Semnur Equityholders”) up to $280.0 million in aggregate contingent cash consideration based on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achievement of certain milestones (which amount is expected to be charged back to Semnur through an intercompany arrangement), comprised of 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$40.0 million payment that will be due upon obtaining the first approval of a NDA of a Semnur product by the FDA and additional payments that will</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be due upon the achievement of certain amounts of net sales of Semnur products, as follows: (i) a $20.0 million payment upon the achievement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$100.0 million in cumulative net sales of a Semnur product, (ii) a $20.0 million payment upon the achievement of $250.0 million in cumulative net sales</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of a Semnur product, (iii) a $50.0 million payment upon the achievement of $500.0 million in cumulative net sales of a Semnur product, and (iv) 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$150.0 million payment upon the achievement of $750.0 million in cumulative net sales of a Semnur product. As of the date of this prospectus, none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foregoing payments have been triggered.</w:t>
      </w:r>
    </w:p>
    <w:p>
      <w:pPr>
        <w:spacing w:after="0" w:line="139" w:lineRule="exact"/>
        <w:rPr>
          <w:sz w:val="20"/>
          <w:szCs w:val="20"/>
          <w:color w:val="auto"/>
        </w:rPr>
      </w:pPr>
    </w:p>
    <w:p>
      <w:pPr>
        <w:ind w:left="1980" w:right="959" w:firstLine="294"/>
        <w:spacing w:after="0" w:line="300" w:lineRule="auto"/>
        <w:rPr>
          <w:sz w:val="20"/>
          <w:szCs w:val="20"/>
          <w:color w:val="auto"/>
        </w:rPr>
      </w:pPr>
      <w:r>
        <w:rPr>
          <w:rFonts w:ascii="Times New Roman" w:cs="Times New Roman" w:eastAsia="Times New Roman" w:hAnsi="Times New Roman"/>
          <w:sz w:val="11"/>
          <w:szCs w:val="11"/>
          <w:color w:val="auto"/>
        </w:rPr>
        <w:t>The Semnur Acquisition Agreement also provided that following the consummation of Legacy Scilex’s first bona fide equity financing with one or more third-party financing sources on an arms’ length basis with gross proceeds to Legacy Scilex of at least $40.0 million, certain of the former Semnur optionholders will be paid cash in lieu of: (i) the 352,972 shares of Legacy Scilex Common Stock otherwise issuable to such former Semnur</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175</w:t>
      </w:r>
    </w:p>
    <w:p>
      <w:pPr>
        <w:sectPr>
          <w:pgSz w:w="11900" w:h="16838" w:orient="portrait"/>
          <w:cols w:equalWidth="0" w:num="1">
            <w:col w:w="10159"/>
          </w:cols>
          <w:pgMar w:left="300" w:top="368"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optionholders pursuant to the Semnur Acquisition Agreement, and (ii) any shares that would otherwise be issued to such former Semnur optionholders upon release of shares held in escrow pursuant to the Semnur Acquisition Agreement, with such shares in each case valued at $1.16 per share. The Semnur optionholders subsequently agreed, under the terms of the Exchange Agreement (as defined and described below) to forego the foregoing right to any such payment in exchange for the right to participate in the Share Exchange (as defined below).</w:t>
      </w:r>
    </w:p>
    <w:p>
      <w:pPr>
        <w:spacing w:after="0" w:line="122"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In March 2019, the Semnur Equityholders that received $55.0 million of shares of Common Stock (47,039,315 shares issued and 352,972 shares issuable, valued at $1.16 per share, in each case on a pre-Reverse Stock Split basis) (the “the Stock Consideration”) were required to sign an Exchange and Registration Rights Agreement with Legacy Scilex (as amended, the “Exchange Agreement”). Pursuant to the Exchange Agreement, and upon the terms and subject to the conditions contained therein, if within 18 months following the closing of the Semnur Acquisition, 100% of the outstanding equity of Legacy Scilex had not been acquired by a third party or Legacy Scilex had not entered into a definitive agreement with respect to, or otherwise consummated, a firmly underwritten offering of Legacy Scilex capital stock on a major stock exchange that met certain requirements, then holders of the Stock Consideration could collectively elect to exchange, during the 60-day period commencing the date that was the 18-month anniversary of the closing of the Semnur Acquisition (the “Share Exchange”), the Stock Consideration for shares of Sorrento’s common stock with a value of $55.0 million based on a price per share of Sorrento’s common stock equal to the greater of (a) the 30-day trailing volume weighted average price of one share of Sorrento’s common stock as reported on The Nasdaq Stock Market LLC (“Nasdaq”) as of the consummation of the Share Exchange and (b) $5.55 (subject to adjustment for any stock dividend, stock split, stock combination, reclassification or similar transaction) (the “Exchange Price”). Pursuant to an amendment to the Exchange Agreement entered into by Sorrento and the Semnur Equityholders’ Representative on September 28, 2020, on October 9, 2020, Sorrento paid $55.0 million in cash to the Semnur Equityholders in lieu of issuing $55.0 million of shares of Sorrento’s common stock at the Exchange Price.</w:t>
      </w:r>
    </w:p>
    <w:p>
      <w:pPr>
        <w:spacing w:after="0" w:line="132"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foregoing is a summary of the material terms of the Semnur Acquisition Agreement (including the amendment thereto) in the forms filed as exhibits to the registration statement of which this prospectus is a part. You should read the Semnur Acquisition Agreement (including the amendment thereto) for a complete understanding of all of their respective terms.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Semnur-Denali Business Combination</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August 30, 2024, Semnur entered into the Semnur Business Combination Agreement with Denali and Denali Merger Sub.</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Semnur Business Combination Agreement provides that, among other things, (i) on the terms and subject to the conditions set forth therein, Denali Merger Sub will merge with and into Semnur, with Semnur surviving as a wholly owned subsidiary of Denali (the “Semnur Business Combination”), and (ii) prior to the closing of the Semnur Business Combination, Denali will migrate to and domesticate as a Delaware corporation in accordance with Section 388 of the DGCL, and de-register in the Cayman Islands in accordance with Section 206 of the Cayman Companies Act (the “Semnur Domestication”). Upon the closing of the Semnur Business Combination, it is anticipated that Denali will change its name to “Semnur Pharmaceuticals, Inc.” (“New Semnur”). Shares of Denali common stock following the Semnur Domestication are hereinafter referred to as “New Semnur Common Shares”. Shares of Denali Series A preferred stock following the Semnur Domestication are hereinafter referred to as “New Semnur Preferred Shares”. Warrants to purchase New Semnur Common Shares following the Semnur Domestication are hereinafter referred to as “New Semnur Warrants”.</w:t>
      </w:r>
    </w:p>
    <w:p>
      <w:pPr>
        <w:spacing w:after="0" w:line="126"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connection with the execution and delivery of the Semnur Business Combination Agreement, Denali Capital Global Investments LLC, a Cayman Islands limited liability company (the “Denali Sponsor”), and the Company entered into a Sponsor Interest Purchase Agreement (the “SIPA”) dated August 30, 2024 (the “Signing Date”). Pursuant to the SIPA, the Company agreed to purchase 500,000 Class B ordinary shares, par value $0.0001 per share (the “Purchased Interests”), of Denali that are currently held by the Denali Sponsor. The</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176</w:t>
      </w:r>
    </w:p>
    <w:p>
      <w:pPr>
        <w:sectPr>
          <w:pgSz w:w="11900" w:h="16838" w:orient="portrait"/>
          <w:cols w:equalWidth="0" w:num="1">
            <w:col w:w="10159"/>
          </w:cols>
          <w:pgMar w:left="300" w:top="368" w:right="1440"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aggregate consideration for the purchase and sale of the Purchased Interests is as follows: (i) $2,000,000 (the “Cash Consideration”) and (ii) 8,571 shares of Common Stock. Pursuant to the SIPA, the Company has paid the Cash Consideration on the Signing Date and has agreed to issue Common Stock to the Denali Sponsor contingent upon and following the occurrence of the Effective Time. The Purchased Interests will convert automatically, on a one-for-one basis, into one New Semnur Common Share at the effective time of the Semnur Domestication pursuant to the terms of the Semnur Business Combination Agreement.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Aardvark Asset Purchase Agreement</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In April 2021, Sorrento entered into an asset purchase agreement (the “Aardvark Asset Purchase Agreement”) with Aardvark Therapeutics, Inc. (“Aardvark”), pursuant to which, among other things, Sorrento acquired Aardvark’s Delayed Burst Release Low Dose Naltrexone (DBR-LDN) asset and intellectual property rights, for the treatment of chronic pain, fibromyalgia and chronic post-COVID syndrome (collectively, the “SP-104 Assets”), which includes a Statement of Work dated November 18, 2020 (the “Tulex Statement of Work”), pursuant to which Tulex agreed to, among other things, develop, test and manufacture clinical supplies of SP-104 for Sorrento.</w:t>
      </w:r>
    </w:p>
    <w:p>
      <w:pPr>
        <w:spacing w:after="0" w:line="125"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Subsequent to the acquisition, Sorrento designated Legacy Scilex to lead all development efforts related to SP-104 and on May 12, 2022, Legacy Scilex and Sorrento entered into a bill of sale and assignment and assumption agreement (the “Bill of Sale”), pursuant to which Sorrento sold, conveyed, assigned and transferred to Legacy Scilex all of its rights, title and interest in and to the SP-104 Assets (including PCT/US2021/053645 and all patents and patent applications that claim priority rights thereto) and Legacy Scilex assumed all of Sorrento’s rights, liabilities and obligations under the Aardvark Asset Purchase Agreement (the “SP-104 Acquisition”).</w:t>
      </w:r>
    </w:p>
    <w:p>
      <w:pPr>
        <w:spacing w:after="0" w:line="125" w:lineRule="exact"/>
        <w:rPr>
          <w:sz w:val="20"/>
          <w:szCs w:val="20"/>
          <w:color w:val="auto"/>
        </w:rPr>
      </w:pPr>
    </w:p>
    <w:p>
      <w:pPr>
        <w:ind w:left="1980" w:right="899" w:firstLine="294"/>
        <w:spacing w:after="0" w:line="283" w:lineRule="auto"/>
        <w:rPr>
          <w:sz w:val="20"/>
          <w:szCs w:val="20"/>
          <w:color w:val="auto"/>
        </w:rPr>
      </w:pPr>
      <w:r>
        <w:rPr>
          <w:rFonts w:ascii="Times New Roman" w:cs="Times New Roman" w:eastAsia="Times New Roman" w:hAnsi="Times New Roman"/>
          <w:sz w:val="11"/>
          <w:szCs w:val="11"/>
          <w:color w:val="auto"/>
        </w:rPr>
        <w:t>As consideration for the SP-104 Acquisition, Legacy Scilex issued a promissory note in the aggregate principal amount of $5,000,000 to Sorrento (the “Promissory Note”). The Promissory Note matures seven years from the date of issuance and bears interest at the rate equal to the lesser of (a)</w:t>
      </w:r>
    </w:p>
    <w:p>
      <w:pPr>
        <w:spacing w:after="0" w:line="1" w:lineRule="exact"/>
        <w:rPr>
          <w:sz w:val="20"/>
          <w:szCs w:val="20"/>
          <w:color w:val="auto"/>
        </w:rPr>
      </w:pPr>
    </w:p>
    <w:p>
      <w:pPr>
        <w:ind w:left="1980" w:right="899"/>
        <w:spacing w:after="0" w:line="253" w:lineRule="auto"/>
        <w:rPr>
          <w:sz w:val="20"/>
          <w:szCs w:val="20"/>
          <w:color w:val="auto"/>
        </w:rPr>
      </w:pPr>
      <w:r>
        <w:rPr>
          <w:rFonts w:ascii="Times New Roman" w:cs="Times New Roman" w:eastAsia="Times New Roman" w:hAnsi="Times New Roman"/>
          <w:sz w:val="12"/>
          <w:szCs w:val="12"/>
          <w:color w:val="auto"/>
        </w:rPr>
        <w:t>2.66% simple interest per annum and (b) the maximum interest rate permitted under law. The Promissory Note is payable in cash, shares of Common Stock (any shares so issued, the “Consideration Shares”) or any combination thereof, at Legacy Scilex’s sole discretion, and may be prepaid in whole or in part at any time without penalty. Legacy Scilex also agreed to file with the SEC a resale registration statement, relating to the resale by Sorrento of any Consideration Shares that may be issued to Sorrento, within 60 days of the issuance of such Consideration Shares.</w:t>
      </w:r>
    </w:p>
    <w:p>
      <w:pPr>
        <w:spacing w:after="0" w:line="127"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As the successor to the Aardvark Asset Purchase Agreement, Legacy Scilex is obligated to pay Aardvark (i) $3,000,000, upon initial approval by the FDA of a new drug application for the LDN Formulation (as defined in the Aardvark Asset Purchase Agreement) (which amount may be paid in shares of Common Stock or cash, in Legacy Scilex’s sole discretion) (the “Development Milestone Payment”) and (ii) $20,000,000, in cash, upon achievement of certain net sales by Legacy Scilex of a commercial product that uses the LDN Formulation (the “Commercial Product”). Legacy Scilex will also pay Aardvark certain royalties in the single digits based on percentages of annual net sales by Legacy Scilex of a commercial product that uses the LDN Formulation. The royalty percentage is subject to reduction in certain circumstances. Royalties are due for so long as Commercial Product is covered by a valid patent in the country of sale or for ten years following the first commercial sale of the Commercial Product, whichever is longer. As of the date of this prospectus, none of the foregoing payments have been triggered.</w:t>
      </w:r>
    </w:p>
    <w:p>
      <w:pPr>
        <w:spacing w:after="0" w:line="128" w:lineRule="exact"/>
        <w:rPr>
          <w:sz w:val="20"/>
          <w:szCs w:val="20"/>
          <w:color w:val="auto"/>
        </w:rPr>
      </w:pPr>
    </w:p>
    <w:p>
      <w:pPr>
        <w:ind w:left="1980" w:right="839" w:firstLine="294"/>
        <w:spacing w:after="0" w:line="300" w:lineRule="auto"/>
        <w:rPr>
          <w:sz w:val="20"/>
          <w:szCs w:val="20"/>
          <w:color w:val="auto"/>
        </w:rPr>
      </w:pPr>
      <w:r>
        <w:rPr>
          <w:rFonts w:ascii="Times New Roman" w:cs="Times New Roman" w:eastAsia="Times New Roman" w:hAnsi="Times New Roman"/>
          <w:sz w:val="11"/>
          <w:szCs w:val="11"/>
          <w:color w:val="auto"/>
        </w:rPr>
        <w:t>In connection with its acquisition of the SP-104 Assets, Legacy Scilex has agreed that if it issues any shares of Common Stock in respect of the Development Milestone Payment, Legacy Scilex will prepare and file one or more registration statements with the SEC for the purpose of registering for resale such shares and is required to file such registration statement with the SEC within 60 days following the date on which any such shares are issued.</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177</w:t>
      </w:r>
    </w:p>
    <w:p>
      <w:pPr>
        <w:sectPr>
          <w:pgSz w:w="11900" w:h="16838" w:orient="portrait"/>
          <w:cols w:equalWidth="0" w:num="1">
            <w:col w:w="10159"/>
          </w:cols>
          <w:pgMar w:left="300" w:top="368"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Tien-Li Lee, M.D., a former member of our board of directors (the “Board”), is the founder, chief executive officer and a member of the board of directors of Aardvark.</w:t>
      </w:r>
    </w:p>
    <w:p>
      <w:pPr>
        <w:spacing w:after="0" w:line="111"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foregoing is a summary of the material terms of the Aardvark Asset Purchase Agreement, Bill of Sale and Promissory Note in the forms filed as exhibits to the registration statement of which this prospectus is a part. You should read the forms of these agreements for a complete understanding of all of their respective terms.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Tulex Master Services Agreement</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As described above, in connection with the SP-104 Acquisition, Legacy Scilex acquired the Tulex Statement of Work, pursuant to which Tulex, among other things, develops, tests and manufactures clinical supplies of SP-104 for Legacy Scilex. The Tulex Statement of Work is governed by the terms of a master services agreement (the “Tulex Master Services Agreement”). The Tulex Master Services Agreement was novated to Legacy Scilex on June 15, 2022 and will remain in effect until five years after the effective date, unless terminated early by either party. Either party may terminate the Tulex Master Services Agreement or a Tulex Statement of Work by written notice (1) if the other party is in material breach of the agreement or a Tulex Statement of Work and fails to cure such breach within 15 days after receipt of notice of such breach (or such other time period expressly stated in the applicable Tulex Statement of Work) or (2) in the event of the other party’s insolvency, bankruptcy, reorganization, liquidation or receivership, or a failure to remove any insolvency, bankruptcy, reorganization, liquidation or receivership proceedings within ten days from the date of institution of such proceedings. In addition, we may terminate the agreement or any Tulex Statement of Work (1) without cause upon 30 days prior written notice to Tulex or (2) immediately upon written notice in the event Tulex is dissolved or undergoes a change in control. A termination or expiration of a single Tulex Statement of Work will not cause the automatic termination of the agreement or of any other Tulex Statement of Work.</w:t>
      </w:r>
    </w:p>
    <w:p>
      <w:pPr>
        <w:spacing w:after="0" w:line="128"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Each party under the Tulex Master Services Agreement agreed to indemnify the other party, its affiliates and each of their respective officers, directors, employees, contractors and agents against any third-party liabilities arising out of (1) such party’s breach of the Tulex Master Services Agreement or a Tulex Statement of Work or (2) the negligence or willful misconduct on the part of such party, its officers, directors, employees, agents or other representatives in connection with the Tulex Master Services Agreement.</w:t>
      </w:r>
    </w:p>
    <w:p>
      <w:pPr>
        <w:spacing w:after="0" w:line="122" w:lineRule="exact"/>
        <w:rPr>
          <w:sz w:val="20"/>
          <w:szCs w:val="20"/>
          <w:color w:val="auto"/>
        </w:rPr>
      </w:pPr>
    </w:p>
    <w:p>
      <w:pPr>
        <w:ind w:left="1980" w:right="1219" w:firstLine="294"/>
        <w:spacing w:after="0" w:line="327" w:lineRule="auto"/>
        <w:rPr>
          <w:sz w:val="20"/>
          <w:szCs w:val="20"/>
          <w:color w:val="auto"/>
        </w:rPr>
      </w:pPr>
      <w:r>
        <w:rPr>
          <w:rFonts w:ascii="Times New Roman" w:cs="Times New Roman" w:eastAsia="Times New Roman" w:hAnsi="Times New Roman"/>
          <w:sz w:val="11"/>
          <w:szCs w:val="11"/>
          <w:color w:val="auto"/>
        </w:rPr>
        <w:t>The foregoing is a summary of the material terms of the Tulex Master Services Agreement in the form filed as an exhibit to the registration statement of which this prospectus is a part. You should read the form of the agreement for a complete understanding of all of its terms.</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success depends in part on our ability to obtain and maintain proprietary protection for our drug products, product candidates, and related technology and know-how, to operate without infringing the proprietary rights of others and to prevent others from infringing our proprietary rights. Our policy is to seek to protect our proprietary position by, among other methods, pursuing and obtaining patent protection in the United States and in jurisdictions outside of the United States related to our novel adhesion and delivery technology, inventions, improvements, drug products, and product candidates that are important to the development and implementation of our business. Our patent portfolio is intended to cover our product candidates, their methods of use and processes for their manufacture, and any other inventions that are commercially important to our business. We also rely on trade secret protection of our confidential information and know-how relating to our novel adhesion and delivery technology, platforms and product candidates.</w:t>
      </w:r>
    </w:p>
    <w:p>
      <w:pPr>
        <w:spacing w:after="0" w:line="128" w:lineRule="exact"/>
        <w:rPr>
          <w:sz w:val="20"/>
          <w:szCs w:val="20"/>
          <w:color w:val="auto"/>
        </w:rPr>
      </w:pPr>
    </w:p>
    <w:p>
      <w:pPr>
        <w:jc w:val="both"/>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Generally, patents are granted a term of 20 years from the earliest claimed non-provisional filing date. In certain instances, the patent term can be adjusted to recapture a portion of delay by the PTO in examining the patent application or extended to account for term effectively lost as a result of the FDA regulatory review period, or both. We cannot provide any assurance that any patents will be issued from our pending or future applications or that any patents will adequately protect our product or product candidates.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178</w:t>
      </w:r>
    </w:p>
    <w:p>
      <w:pPr>
        <w:sectPr>
          <w:pgSz w:w="11900" w:h="16838" w:orient="portrait"/>
          <w:cols w:equalWidth="0" w:num="1">
            <w:col w:w="10159"/>
          </w:cols>
          <w:pgMar w:left="300" w:top="368"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Our patent portfolio, consisting of owned and/or licensed IP as of December 31, 2024 contains approximately 27 issued and unexpired U.S. patents and nine pending U.S. patent applications. Our portfolio also includes certain foreign counterparts of these patents and patent applications including Australia, Brazil, Canada, China, Hong Kong, India, Israel, Japan, Korea, Mexico, New Zealand, South Africa, Taiwan, and certain countries within the European Patent Convention.</w:t>
      </w:r>
    </w:p>
    <w:p>
      <w:pPr>
        <w:spacing w:after="0" w:line="122"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With respect to ZTlido and SP-103, our patents and patent applications cover compositions and methods of treatment. We license eight issued U.S. patents and two pending U.S. patent applications relating to lidocaine topical system compositions and methods of treating pain with lidocaine topical system compositions. The patents are U.S. Pat. Nos. 9,283,174, 9,925,264, 9,931,403, 10,765,749, 10,765,640, 11,278,623, 11,786,455, and 11,793,766, all of which expire in 2031.</w:t>
      </w:r>
    </w:p>
    <w:p>
      <w:pPr>
        <w:spacing w:after="0" w:line="12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With respect to GLOPERBA, our licensed patents include U.S. Pat. Nos. 9,907,751, 10,226,423, 10,383,820, 10,383,821, and 11,672,759, which relate to liquid colchicine formulations for oral administration and associated methods of use. U.S. Pat. No. 10,226,423 expires in 2037. The remaining patents related to GLOPERBA expire in 2036.</w:t>
      </w:r>
    </w:p>
    <w:p>
      <w:pPr>
        <w:spacing w:after="0" w:line="119"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With respect to ELYXYB, our patents and patent applications relate to liquid oral celecoxib formulations and associated methods of use. The issued patents include U.S. Pat. Nos. 9,572,819, 9,795,620, 9,949,990, 10,376,527, 10,799,517, 10,722,456, and 12,168,000. U.S. Pat. No. 12,168,000 expires in 2041. The remaining patents related to ELYXYB expire in 2036.</w:t>
      </w:r>
    </w:p>
    <w:p>
      <w:pPr>
        <w:spacing w:after="0" w:line="119" w:lineRule="exact"/>
        <w:rPr>
          <w:sz w:val="20"/>
          <w:szCs w:val="20"/>
          <w:color w:val="auto"/>
        </w:rPr>
      </w:pPr>
    </w:p>
    <w:p>
      <w:pPr>
        <w:ind w:left="1980" w:right="1339" w:firstLine="294"/>
        <w:spacing w:after="0" w:line="279" w:lineRule="auto"/>
        <w:rPr>
          <w:sz w:val="20"/>
          <w:szCs w:val="20"/>
          <w:color w:val="auto"/>
        </w:rPr>
      </w:pPr>
      <w:r>
        <w:rPr>
          <w:rFonts w:ascii="Times New Roman" w:cs="Times New Roman" w:eastAsia="Times New Roman" w:hAnsi="Times New Roman"/>
          <w:sz w:val="12"/>
          <w:szCs w:val="12"/>
          <w:color w:val="auto"/>
        </w:rPr>
        <w:t>With respect to our product candidate SEMDEXA, our patents and patent applications that we own include formulations and methods of treatment. The patents are U.S. Pat. Nos. 10,500,284, 10,117,938, and 11,020,485, all of which expire in 2036.</w:t>
      </w:r>
    </w:p>
    <w:p>
      <w:pPr>
        <w:spacing w:after="0" w:line="111" w:lineRule="exact"/>
        <w:rPr>
          <w:sz w:val="20"/>
          <w:szCs w:val="20"/>
          <w:color w:val="auto"/>
        </w:rPr>
      </w:pPr>
    </w:p>
    <w:p>
      <w:pPr>
        <w:ind w:left="1980" w:right="839" w:firstLine="294"/>
        <w:spacing w:after="0" w:line="279" w:lineRule="auto"/>
        <w:rPr>
          <w:sz w:val="20"/>
          <w:szCs w:val="20"/>
          <w:color w:val="auto"/>
        </w:rPr>
      </w:pPr>
      <w:r>
        <w:rPr>
          <w:rFonts w:ascii="Times New Roman" w:cs="Times New Roman" w:eastAsia="Times New Roman" w:hAnsi="Times New Roman"/>
          <w:sz w:val="12"/>
          <w:szCs w:val="12"/>
          <w:color w:val="auto"/>
        </w:rPr>
        <w:t>With respect to SP-104, our pending U.S. patent application covers oral delayed burst formulations of low-dose naloxone or naltrexone and related methods of treatment. We continue to seek to maximize the scope of our patent protection for all our programs.</w:t>
      </w:r>
    </w:p>
    <w:p>
      <w:pPr>
        <w:spacing w:after="0" w:line="111"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All statements regarding the expiration of our owned and licensed patents are calculated as 20 years after the earliest nonprovisional priority date and do not account for any patent term adjustment (“PTA”), regulatory extension, or terminal disclaimers not already in force as of December 31, 2024; these calculations also assume that all annuity and/or maintenance fees are paid timely. We believe that we have certain know-how and trade secrets relating to our technology and product candidates. We rely on trade secrets to protect certain aspects of our technology related to our current and future product candidates. However, trade secrets can be difficult to protect. We seek to protect our trade secrets, in part, by entering into confidentiality agreements with our employees, consultants, scientific advisors, service providers, and contractors. We also seek to preserve the integrity and confidentiality of our data and trade secrets by maintaining physical security of our premises and physical and electronic security of our information technology systems.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Trademarks, Trade Secrets and Other Proprietary Information</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file trademark applications and pursue registrations in the United States and abroad when appropriate. We own registered U.S. trademarks for the marks “SCILEX,” “ZTlido,” “ELYXYB,” and “RESPONSIBLE BY DESIGN.” We also own pending trademark applications for “SEMNUR PHARMACEUTICALS,” “SCILEX BIO,” and “SEMDEXA” in the United States. We also license the GLOPERBA trademark as discussed in relation to the Romeg License Agreement described above.</w:t>
      </w:r>
    </w:p>
    <w:p>
      <w:pPr>
        <w:spacing w:after="0" w:line="122"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We also depend upon the skills, knowledge and experience of our scientific and technical personnel, as well as that of our advisors, consultants and other contractors. To help protect our proprietary know-how, we rely on trade secret protection and confidentiality agreements to protect our interests. Our policy is to require each of our</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179</w:t>
      </w:r>
    </w:p>
    <w:p>
      <w:pPr>
        <w:sectPr>
          <w:pgSz w:w="11900" w:h="16838" w:orient="portrait"/>
          <w:cols w:equalWidth="0" w:num="1">
            <w:col w:w="10159"/>
          </w:cols>
          <w:pgMar w:left="300" w:top="368"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employees, consultants and advisors to execute a confidentiality and inventions assignment agreement before beginning their employment, consulting or advisory relationship with us. The agreements generally provide that the individual must keep confidential and not disclose to other parties any confidential information developed or learned by the individual during the course of the individual’s relationship with us except in limited circumstances. These agreements generally also provide that we will own all inventions conceived by the individual in the course of rendering services to us.</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SEMDEXA benefits from our substantial intellectual property portfolio and other technical barriers to entry for potential competitors. Historically, we have purchased our clinical and commercial supply requirements for sodium hyaluronate, one of the excipients for SP-102, from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We are currently in discussions with Sanofi, an affiliate of Genzyme, and are in the process of identifying and certifying new suppliers, in each case to fulfill our future supply requirements for sodium hyaluronate. Our complex manufacturing process, specialized equipment and know-how for sterile viscous product candidates are also key to our competitive edge. We believe that our competitors will be required to conduct lengthy and costly preclinical and clinical trials to establish products with comparable tolerability profiles and clinical benefit to SEMDEXA.</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Government Regulation and Product Approval</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Government authorities in the United States at the federal, state and local levels, and in other countries and jurisdictions, extensively regulate, among other things, the research, development, testing, manufacture, pricing, reimbursement, sales, quality control, approval, labeling, packaging, storage, record-keeping, promotion, advertising, distribution, post-approval monitoring and reporting, marketing and export and import of products such as those we are marketing and developing. SP-102, SP-103, SP-104 and any other product candidate that we develop must be approved by the FDA or otherwise authorized for marketing before they may be legally marketed in the United States and by the corresponding foreign regulatory agencies before they may be legally marketed in foreign countries. The processes for obtaining marketing approvals, along with subsequent compliance with applicable statutes and regulations and other regulatory authorities, require the expenditure of substantial time and financial resources.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 Drug Development Process</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In the United States, the FDA regulates drugs under the FDCA and implementing regulations. Drugs are also subject to other federal, state and local statutes and regulations. The process of obtaining regulatory approvals and the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or its products to a variety of administrative or judicial sanctions, such as imposition of a clinical hold, the FDA’s refusal to approve pending applications, withdrawal of an approval, inspection scrutiny, issuance of warning letters, product recalls, product seizures, total or partial suspension of production or distribution, injunctions, fines, refusals of government contracts, or reimbursements, restitution, disgorgement of profits or other civil or criminal penalties. The process required by the FDA before a drug may be marketed in the United States generally involves the following:</w:t>
      </w:r>
    </w:p>
    <w:p>
      <w:pPr>
        <w:spacing w:after="0" w:line="65" w:lineRule="exact"/>
        <w:rPr>
          <w:sz w:val="20"/>
          <w:szCs w:val="20"/>
          <w:color w:val="auto"/>
        </w:rPr>
      </w:pPr>
    </w:p>
    <w:p>
      <w:pPr>
        <w:ind w:left="2620" w:right="1079" w:hanging="288"/>
        <w:spacing w:after="0" w:line="279" w:lineRule="auto"/>
        <w:tabs>
          <w:tab w:leader="none" w:pos="262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completion of preclinical laboratory tests, animal studies and formulation studies according to Good Laboratory Practices (“GLPs”) or other applicable regulations;</w:t>
      </w:r>
    </w:p>
    <w:p>
      <w:pPr>
        <w:spacing w:after="0" w:line="48" w:lineRule="exact"/>
        <w:rPr>
          <w:rFonts w:ascii="Times New Roman" w:cs="Times New Roman" w:eastAsia="Times New Roman" w:hAnsi="Times New Roman"/>
          <w:sz w:val="12"/>
          <w:szCs w:val="12"/>
          <w:color w:val="auto"/>
        </w:rPr>
      </w:pPr>
    </w:p>
    <w:p>
      <w:pPr>
        <w:jc w:val="both"/>
        <w:ind w:left="2620" w:right="959" w:hanging="288"/>
        <w:spacing w:after="0" w:line="327" w:lineRule="auto"/>
        <w:tabs>
          <w:tab w:leader="none" w:pos="2620" w:val="left"/>
        </w:tabs>
        <w:numPr>
          <w:ilvl w:val="0"/>
          <w:numId w:val="9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completion of FDA’s drug substance (Part 210), drug product (Part 211), combination of product and device (Part 820) and all Module 3, Chemistry, Manufacturing and Control (“CMC”), and the current Good Manufacturing Practices(“cGMP”) requirements for NDA filing;</w:t>
      </w:r>
    </w:p>
    <w:p>
      <w:pPr>
        <w:spacing w:after="0" w:line="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180</w:t>
      </w:r>
    </w:p>
    <w:p>
      <w:pPr>
        <w:sectPr>
          <w:pgSz w:w="11900" w:h="16838" w:orient="portrait"/>
          <w:cols w:equalWidth="0" w:num="1">
            <w:col w:w="10159"/>
          </w:cols>
          <w:pgMar w:left="300" w:top="368"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1039" w:hanging="288"/>
        <w:spacing w:after="0" w:line="279" w:lineRule="auto"/>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submission to the FDA of an Investigational New Drug Application (“IND”), which must become effective before human clinical trials may begin;</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by an institutional review board (“IRB”) covering each clinical site before each trial may be initiated;</w:t>
      </w:r>
    </w:p>
    <w:p>
      <w:pPr>
        <w:spacing w:after="0" w:line="87" w:lineRule="exact"/>
        <w:rPr>
          <w:rFonts w:ascii="Times New Roman" w:cs="Times New Roman" w:eastAsia="Times New Roman" w:hAnsi="Times New Roman"/>
          <w:sz w:val="12"/>
          <w:szCs w:val="12"/>
          <w:color w:val="auto"/>
        </w:rPr>
      </w:pPr>
    </w:p>
    <w:p>
      <w:pPr>
        <w:ind w:left="2620" w:right="1059" w:hanging="288"/>
        <w:spacing w:after="0" w:line="265" w:lineRule="auto"/>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of adequate and well-controlled human clinical trials according to the laws and regulations pertaining to the conduct of human clinical trials, collectively referred to as Good Clinical Practice (“GCP”) requirements to establish the safety and efficacy of the proposed drug for its intended use;</w:t>
      </w:r>
    </w:p>
    <w:p>
      <w:pPr>
        <w:spacing w:after="0" w:line="55"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submission to the FDA of an NDA or other marketing application (collectively, an “NDA”), for a proposed new drug, including its specific formulation and labeling;</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 FDA advisory committee review, if applicable;</w:t>
      </w:r>
    </w:p>
    <w:p>
      <w:pPr>
        <w:spacing w:after="0" w:line="87" w:lineRule="exact"/>
        <w:rPr>
          <w:rFonts w:ascii="Times New Roman" w:cs="Times New Roman" w:eastAsia="Times New Roman" w:hAnsi="Times New Roman"/>
          <w:sz w:val="12"/>
          <w:szCs w:val="12"/>
          <w:color w:val="auto"/>
        </w:rPr>
      </w:pPr>
    </w:p>
    <w:p>
      <w:pPr>
        <w:jc w:val="both"/>
        <w:ind w:left="2620" w:right="1179" w:hanging="288"/>
        <w:spacing w:after="0" w:line="265" w:lineRule="auto"/>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satisfactory completion of an FDA pre-approval inspection of the manufacturing facility or facilities where the drug substance, drug product, packaging components and device are produced to assess compliance with the FDA’s cGMP requirements to assure that the facilities, manufacturing, methods and controls are adequate to preserve the drug product’s identity, strength, quality and purity;</w:t>
      </w:r>
    </w:p>
    <w:p>
      <w:pPr>
        <w:spacing w:after="0" w:line="55"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FDA audit of the preclinical study and clinical trial sites that generated the data in support of the NDA;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FDA review and approval of the NDA prior to any commercial marketing, sale, distribution or shipment of the drug.</w:t>
      </w:r>
    </w:p>
    <w:p>
      <w:pPr>
        <w:spacing w:after="0" w:line="150"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Before testing novel compounds with potential therapeutic value in humans, the drug candidate enters the preclinical testing stage, also referred to as preclinical studies. Preclinical studies include laboratory evaluations of product chemistry, toxicity and formulation, as well as animal studies to assess the potential safety and activity of the drug candidate. The conduct of the preclinical studies must comply with federal laws and requirements including GLPs. The IND sponsor must submit the results of the preclinical studies, together with manufacturing information, analytical data, and any available clinical data or literature, to the FDA as part of the IND.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studies may continue even after the IND is submitted. The IND 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non-compliance, or for additional reasons. Accordingly, we cannot be sure that submission of an IND will result in the FDA allowing clinical trials to begin, or that, once begun, issues will not arise that suspend or terminate such trial.</w:t>
      </w:r>
    </w:p>
    <w:p>
      <w:pPr>
        <w:spacing w:after="0" w:line="126"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Clinical trials involve the administration of the drug candidate to healthy subjects or patients with the target disease under the supervision of qualified investigators, generally physicians not employed by the trial sponsor. Clinical trials are conducted under written study protocols detailing, among other things, the objectives of the clinical trial, subject selection and exclusion criteria, dosing procedures, and the parameters to be used to collect data and to monitor subject safety. Each protocol must be submitted to the FDA as part of the IND, and timely safety reports must be submitted to the FDA and investigators for suspected adverse reactions that are serious and unexpected and other safety related findings. Clinical trials must be conducted in accordance with applicable statutes, the FDA’s regulations and GCP requirements.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181</w:t>
      </w:r>
    </w:p>
    <w:p>
      <w:pPr>
        <w:sectPr>
          <w:pgSz w:w="11900" w:h="16838" w:orient="portrait"/>
          <w:cols w:equalWidth="0" w:num="1">
            <w:col w:w="10159"/>
          </w:cols>
          <w:pgMar w:left="300" w:top="368"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benefits. The IRB also approves the informed consent form that must be provided to and signed by each clinical trial subject or his or her legal representative and must monitor the clinical trial until it is completed. In some instances, additional oversight boards, such as a data safety monitoring board, are required to evaluate interim data and determine whether a study should continue or be modified or terminated. Information about many clinical trials is required to be publicly reported on www.ClinicalTrials.gov or similar databases.</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Human clinical trials are typically conducted in three sequential phases that may overlap or be combined:</w:t>
      </w:r>
    </w:p>
    <w:p>
      <w:pPr>
        <w:spacing w:after="0" w:line="83" w:lineRule="exact"/>
        <w:rPr>
          <w:sz w:val="20"/>
          <w:szCs w:val="20"/>
          <w:color w:val="auto"/>
        </w:rPr>
      </w:pPr>
    </w:p>
    <w:p>
      <w:pPr>
        <w:ind w:left="2620" w:right="1019" w:hanging="288"/>
        <w:spacing w:after="0" w:line="262" w:lineRule="auto"/>
        <w:tabs>
          <w:tab w:leader="none" w:pos="26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Phase 1</w:t>
      </w:r>
      <w:r>
        <w:rPr>
          <w:rFonts w:ascii="Times New Roman" w:cs="Times New Roman" w:eastAsia="Times New Roman" w:hAnsi="Times New Roman"/>
          <w:sz w:val="12"/>
          <w:szCs w:val="12"/>
          <w:color w:val="auto"/>
        </w:rPr>
        <w:t>. The drug is initially introduced into healthy human subjects and tested for safety, dosage tolerance, absorption, metabolism,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distribution and excretion and, if possible, to gain an early indication of its effectiveness. In the case of some products for severe or life-threatening diseases, especially when the product may be too inherently toxic to ethically administer to healthy volunteers, the initial human testing may be conducted only in patients having the specific disease.</w:t>
      </w:r>
    </w:p>
    <w:p>
      <w:pPr>
        <w:spacing w:after="0" w:line="54" w:lineRule="exact"/>
        <w:rPr>
          <w:rFonts w:ascii="Times New Roman" w:cs="Times New Roman" w:eastAsia="Times New Roman" w:hAnsi="Times New Roman"/>
          <w:sz w:val="12"/>
          <w:szCs w:val="12"/>
          <w:color w:val="auto"/>
        </w:rPr>
      </w:pPr>
    </w:p>
    <w:p>
      <w:pPr>
        <w:ind w:left="2620" w:right="859" w:hanging="288"/>
        <w:spacing w:after="0" w:line="268" w:lineRule="auto"/>
        <w:tabs>
          <w:tab w:leader="none" w:pos="26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Phase 2</w:t>
      </w:r>
      <w:r>
        <w:rPr>
          <w:rFonts w:ascii="Times New Roman" w:cs="Times New Roman" w:eastAsia="Times New Roman" w:hAnsi="Times New Roman"/>
          <w:sz w:val="12"/>
          <w:szCs w:val="12"/>
          <w:color w:val="auto"/>
        </w:rPr>
        <w:t>. The drug is evaluated in a limited patient population to identify possible adverse effects and safety risks, to preliminarily evaluate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efficacy of the product for specific targeted diseases and to determine dosage tolerance, optimal dosage and dosing schedule for patients having the specific disease.</w:t>
      </w:r>
    </w:p>
    <w:p>
      <w:pPr>
        <w:spacing w:after="0" w:line="50" w:lineRule="exact"/>
        <w:rPr>
          <w:rFonts w:ascii="Times New Roman" w:cs="Times New Roman" w:eastAsia="Times New Roman" w:hAnsi="Times New Roman"/>
          <w:sz w:val="12"/>
          <w:szCs w:val="12"/>
          <w:color w:val="auto"/>
        </w:rPr>
      </w:pPr>
    </w:p>
    <w:p>
      <w:pPr>
        <w:ind w:left="2620" w:right="939" w:hanging="288"/>
        <w:spacing w:after="0" w:line="257" w:lineRule="auto"/>
        <w:tabs>
          <w:tab w:leader="none" w:pos="26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Phase 3</w:t>
      </w:r>
      <w:r>
        <w:rPr>
          <w:rFonts w:ascii="Times New Roman" w:cs="Times New Roman" w:eastAsia="Times New Roman" w:hAnsi="Times New Roman"/>
          <w:sz w:val="12"/>
          <w:szCs w:val="12"/>
          <w:color w:val="auto"/>
        </w:rPr>
        <w:t>. The drug is administered to an expanded patient population in adequate and well-controlled clinical trials to generate sufficient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data to statistically confirm the safety and efficacy of the product for potential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may approve a drug based on the results of a single adequate and well-controlled Phase 3 trial for excellent design and which provided highly reliable and statistically strong evidence of important clinical benefit.</w:t>
      </w:r>
    </w:p>
    <w:p>
      <w:pPr>
        <w:spacing w:after="0" w:line="125"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119"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Progress reports detailing the status of drug development and results of the clinical trials must be submitted at least annually to the FDA, and written IND safety reports must be submitted to the FDA and the investigators for suspected adverse reactions that are serious and unexpected (including increased rate of occurrence of such adverse reactions), findings from other studies that suggest a significant risk in humans exposed to the drug, or any findings from tests in laboratory animals that suggests a significant risk for human subjects or patients. Phase 1, Phase 2 and Phase 3 clinical trials may not yield positive results, or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study subjects.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During the development of a new drug, sponsors are given opportunities to meet with the FDA at certain points. These points may be prior to submission of an IND, at the end of Phase 2, the end of Phase 3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 of Phase 2 meeting to discuss their Phase 2 clinical results and present their plans for the Phase 3 clinical trials or manufacturing process validation and testing and their pre-NDA meeting that they believe will support approval of the new drug.</w:t>
      </w:r>
    </w:p>
    <w:p>
      <w:pPr>
        <w:spacing w:after="0" w:line="125"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Concurrent with clinical trials, companies usually complete additional animal studies and must also develop additional information about the chemistry and physical characteristics of the drug as well as validate a process</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182</w:t>
      </w:r>
    </w:p>
    <w:p>
      <w:pPr>
        <w:sectPr>
          <w:pgSz w:w="11900" w:h="16838" w:orient="portrait"/>
          <w:cols w:equalWidth="0" w:num="1">
            <w:col w:w="10159"/>
          </w:cols>
          <w:pgMar w:left="300" w:top="368"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19"/>
        <w:spacing w:after="0" w:line="260" w:lineRule="auto"/>
        <w:rPr>
          <w:sz w:val="20"/>
          <w:szCs w:val="20"/>
          <w:color w:val="auto"/>
        </w:rPr>
      </w:pPr>
      <w:r>
        <w:rPr>
          <w:rFonts w:ascii="Times New Roman" w:cs="Times New Roman" w:eastAsia="Times New Roman" w:hAnsi="Times New Roman"/>
          <w:sz w:val="12"/>
          <w:szCs w:val="12"/>
          <w:color w:val="auto"/>
        </w:rPr>
        <w:t>for commercial manufacturing the product in accordance with cGMP requirements. The commercial manufacturing process must be capable of consistently and continuously producing quality batches of the drug candidate and, among other things, the manufacturer must develop appropriate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FDA Review and Approval Processes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results of product development, preclinical studies and clinical trials for the claimed indications are incorporated into an NDA. The FDA may grant deferrals for the development and submission of pediatric data or full or partial waivers after the initial submission of a pediatric study plan following an end of Phase 2 meeting. In addition, descriptions of the manufacturing process and controls, analytical tests conducted on the chemistry of the drug, proposed labeling and other relevant information are required to be submitted to the FDA as part of an NDA requesting approval to market the product. The submission of an NDA is subject to the payment of substantial user fees and a waiver of such fees may be obtained under certain limited circumstances.</w:t>
      </w:r>
    </w:p>
    <w:p>
      <w:pPr>
        <w:spacing w:after="0" w:line="125" w:lineRule="exact"/>
        <w:rPr>
          <w:sz w:val="20"/>
          <w:szCs w:val="20"/>
          <w:color w:val="auto"/>
        </w:rPr>
      </w:pPr>
    </w:p>
    <w:p>
      <w:pPr>
        <w:ind w:left="1980" w:right="879" w:firstLine="294"/>
        <w:spacing w:after="0" w:line="280" w:lineRule="auto"/>
        <w:rPr>
          <w:sz w:val="20"/>
          <w:szCs w:val="20"/>
          <w:color w:val="auto"/>
        </w:rPr>
      </w:pPr>
      <w:r>
        <w:rPr>
          <w:rFonts w:ascii="Times New Roman" w:cs="Times New Roman" w:eastAsia="Times New Roman" w:hAnsi="Times New Roman"/>
          <w:sz w:val="11"/>
          <w:szCs w:val="11"/>
          <w:color w:val="auto"/>
        </w:rPr>
        <w:t>The FDA reviews the NDA to determine, among other things, whether the proposed product is safe and effective for its intended use, and whether the product is being manufactured in accordance with cGMP to assure and preserve the product’s identity, strength, quality and purity. Under the Prescription Drug User Fee Act (“PDUFA”) guidelines that are currently in effect, the FDA has a goal of ten months from the date of “filing” of a standard, original NDA for a new molecular entity to review and act on the submission. This review typically takes twelve months from the date the NDA is submitted to the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accepting an NDA for filing. In this event, the NDA must be resubmitted with the additional information. The resubmitted application also is subject to review before the FDA accepts it for filing.</w:t>
      </w:r>
    </w:p>
    <w:p>
      <w:pPr>
        <w:spacing w:after="0" w:line="11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REMS is necessary to assure the safe use of the drug. If the FDA concludes a REMS is needed, the sponsor of the NDA must submit a proposed REMS. The FDA will not approve the NDA without a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spacing w:after="0" w:line="128"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Before approving an NDA, the FDA will generally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If the FDA determines that the application, manufacturing process or manufacturing facilities are not acceptable, it will outline the deficiencies in the submission and often will request additional testing or information. Additionally, before approving an NDA, the FDA will typically inspect one or more clinical sites to assure compliance with GCP requirements.</w:t>
      </w:r>
    </w:p>
    <w:p>
      <w:pPr>
        <w:spacing w:after="0" w:line="125" w:lineRule="exact"/>
        <w:rPr>
          <w:sz w:val="20"/>
          <w:szCs w:val="20"/>
          <w:color w:val="auto"/>
        </w:rPr>
      </w:pPr>
    </w:p>
    <w:p>
      <w:pPr>
        <w:ind w:left="1980" w:right="1239" w:firstLine="294"/>
        <w:spacing w:after="0" w:line="265" w:lineRule="auto"/>
        <w:rPr>
          <w:sz w:val="20"/>
          <w:szCs w:val="20"/>
          <w:color w:val="auto"/>
        </w:rPr>
      </w:pPr>
      <w:r>
        <w:rPr>
          <w:rFonts w:ascii="Times New Roman" w:cs="Times New Roman" w:eastAsia="Times New Roman" w:hAnsi="Times New Roman"/>
          <w:sz w:val="12"/>
          <w:szCs w:val="12"/>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183</w:t>
      </w:r>
    </w:p>
    <w:p>
      <w:pPr>
        <w:sectPr>
          <w:pgSz w:w="11900" w:h="16838" w:orient="portrait"/>
          <w:cols w:equalWidth="0" w:num="1">
            <w:col w:w="10159"/>
          </w:cols>
          <w:pgMar w:left="300" w:top="368" w:right="1440"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7" w:lineRule="auto"/>
        <w:rPr>
          <w:sz w:val="20"/>
          <w:szCs w:val="20"/>
          <w:color w:val="auto"/>
        </w:rPr>
      </w:pPr>
      <w:r>
        <w:rPr>
          <w:rFonts w:ascii="Times New Roman" w:cs="Times New Roman" w:eastAsia="Times New Roman" w:hAnsi="Times New Roman"/>
          <w:sz w:val="12"/>
          <w:szCs w:val="12"/>
          <w:color w:val="auto"/>
        </w:rPr>
        <w:t>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preclinical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post-approval studies, referred to as Phase 4 testing, which involves clinical trials designed to further assess a product’s safety and effectiveness and may require testing and surveillance programs to monitor the safety of approved products that have been commercialized.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Expedited Development and Review Programs</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The FDA administers a number of different programs that enable the agency and sponsors in various ways to expedite the development or agency review of a new drug product. Among these, the FDA has a fast track designation that is intended to expedite or facilitate the process for reviewing new drug products that meet certain criteria. New drugs are eligible for fast track designation if they are intended to treat a serious or life-threatening disease or condition and demonstrate the potential to address unmet medical needs for the disease or condition. As an example of the modified processes available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26" w:lineRule="exact"/>
        <w:rPr>
          <w:sz w:val="20"/>
          <w:szCs w:val="20"/>
          <w:color w:val="auto"/>
        </w:rPr>
      </w:pPr>
    </w:p>
    <w:p>
      <w:pPr>
        <w:ind w:left="1980" w:right="999" w:firstLine="294"/>
        <w:spacing w:after="0" w:line="284" w:lineRule="auto"/>
        <w:rPr>
          <w:sz w:val="20"/>
          <w:szCs w:val="20"/>
          <w:color w:val="auto"/>
        </w:rPr>
      </w:pPr>
      <w:r>
        <w:rPr>
          <w:rFonts w:ascii="Times New Roman" w:cs="Times New Roman" w:eastAsia="Times New Roman" w:hAnsi="Times New Roman"/>
          <w:sz w:val="11"/>
          <w:szCs w:val="11"/>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other NDAs under its current PDUFA review goals.</w:t>
      </w:r>
    </w:p>
    <w:p>
      <w:pPr>
        <w:spacing w:after="0" w:line="110" w:lineRule="exact"/>
        <w:rPr>
          <w:sz w:val="20"/>
          <w:szCs w:val="20"/>
          <w:color w:val="auto"/>
        </w:rPr>
      </w:pPr>
    </w:p>
    <w:p>
      <w:pPr>
        <w:ind w:left="1980" w:right="979" w:firstLine="294"/>
        <w:spacing w:after="0" w:line="280" w:lineRule="auto"/>
        <w:rPr>
          <w:sz w:val="20"/>
          <w:szCs w:val="20"/>
          <w:color w:val="auto"/>
        </w:rPr>
      </w:pPr>
      <w:r>
        <w:rPr>
          <w:rFonts w:ascii="Times New Roman" w:cs="Times New Roman" w:eastAsia="Times New Roman" w:hAnsi="Times New Roman"/>
          <w:sz w:val="11"/>
          <w:szCs w:val="11"/>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additional adequate and well-controlled post-marketing clinical trials. In addition, the FDA currently requires as a condition for accelerated approval pre-use submission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15"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Food and Drug Administration Safety and Innovation Act established a category of drugs referred to as “breakthrough therapies” that may be eligible to receive breakthrough therapy designation. A sponsor may seek the FDA designation of a product candidate as a “breakthrough therapy” if the product is intended, alone or in</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184</w:t>
      </w:r>
    </w:p>
    <w:p>
      <w:pPr>
        <w:sectPr>
          <w:pgSz w:w="11900" w:h="16838" w:orient="portrait"/>
          <w:cols w:equalWidth="0" w:num="1">
            <w:col w:w="10159"/>
          </w:cols>
          <w:pgMar w:left="300" w:top="368" w:right="1440"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with the sponsor to expedite the development and review of such drug.</w:t>
      </w:r>
    </w:p>
    <w:p>
      <w:pPr>
        <w:spacing w:after="0" w:line="12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With passage of the 21st Century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Post-Approval Requirements</w:t>
      </w:r>
    </w:p>
    <w:p>
      <w:pPr>
        <w:spacing w:after="0" w:line="82"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Once an approval is granted, the FDA may withdraw the approval if compliance with regulatory standards is not maintained or if problems occur after the product reaches the market. Later discovery of previously unknown risks or problems with a product may result in labeling changes, restrictions on the product or even complete withdrawal of the product from the market. After approval, most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26"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Any drug products for which we receive FDA approvals are subject to continuing regulation by the FDA, including, among other things, record-keeping requirements, reporting of adverse experiences or quality issues with the product, providing the FDA with updated safety and efficacy information, satisfaction of post-approval requirements or commitments, product sampling and distribution requirements, and complying with FDA promotion and advertising requirements. These promotion and advertising requirements include, among other things, standards for direct-to-consumer advertising, prohibitions against promoting drugs for uses, or in patient populations, that are not described in the drug’s approved labeling, which is known as “off-label use,” rules for conducting industry-sponsored scientific and educational activities, and promotional activities involving the internet. Failure to comply with post-approval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 Failure to comply with the applicable U.S. requirements at any time during the product development process, approval process or after approval, may subject an applicant, manufacturer or product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185</w:t>
      </w:r>
    </w:p>
    <w:p>
      <w:pPr>
        <w:sectPr>
          <w:pgSz w:w="11900" w:h="16838" w:orient="portrait"/>
          <w:cols w:equalWidth="0" w:num="1">
            <w:col w:w="10159"/>
          </w:cols>
          <w:pgMar w:left="300" w:top="368"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Hatch-Waxman Amendments</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Section 505 of the FDCA describes three types of NDAs that may be submitted to request marketing authorization for a new drug, the first being a 505(b)(1) NDA. A 505(b)(1) NDA is an application that contains full reports of investigations of safety and effectiveness. A 505(b)(2) NDA likewise contains full reports of investigations of safety and effectiveness relevant to a product, but some of the data are not owned by or licensed to the applicant. Section 505(j) establishes an abbreviated approval process for generic versions of approved drug products through the submission of an abbreviated new drug application (“ANDA”). An ANDA generally provides for marketing of a drug product that has the same active ingredients in the same strengths and dosage form, and with the same labeling and route of administration as the listed drug and has been shown to be bioequivalent to the listed drug. ANDA applicants are required to conduct bioequivalence testing to confirm chemical and therapeutic equivalence to the branded reference drug. Generic versions of drugs can often, and sometimes must, be substituted by pharmacists under prescriptions written for the branded reference drug.</w:t>
      </w:r>
    </w:p>
    <w:p>
      <w:pPr>
        <w:spacing w:after="0" w:line="126"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A 505(b)(2) NDA is an application that contains full reports of investigations of safety and effectiveness but where at least some of the information required for approval comes from studies not conducted by or for the applicant, and for which the applicant has not obtained a right of reference. This regulatory pathway enables the applicant to rely, in part, on the FDA’s findings of safety and efficacy for an existing product, or published literature, in support of its application. Additional preclinical and clinical data may also be submitted. The FDA may then approve the new product candidate for all or some of the labeled indications for which the referenced product has been approved, or for any new indication sought by the 505(b)(2) applicant.</w:t>
      </w:r>
    </w:p>
    <w:p>
      <w:pPr>
        <w:spacing w:after="0" w:line="125" w:lineRule="exact"/>
        <w:rPr>
          <w:sz w:val="20"/>
          <w:szCs w:val="20"/>
          <w:color w:val="auto"/>
        </w:rPr>
      </w:pPr>
    </w:p>
    <w:p>
      <w:pPr>
        <w:ind w:left="1980" w:right="979" w:firstLine="294"/>
        <w:spacing w:after="0" w:line="253" w:lineRule="auto"/>
        <w:rPr>
          <w:sz w:val="20"/>
          <w:szCs w:val="20"/>
          <w:color w:val="auto"/>
        </w:rPr>
      </w:pPr>
      <w:r>
        <w:rPr>
          <w:rFonts w:ascii="Times New Roman" w:cs="Times New Roman" w:eastAsia="Times New Roman" w:hAnsi="Times New Roman"/>
          <w:sz w:val="12"/>
          <w:szCs w:val="12"/>
          <w:color w:val="auto"/>
        </w:rPr>
        <w:t>Upon submission of an ANDA or a 505(b)(2) NDA, an applicant must certify to the FDA at least one of the following (1) no patent information on the drug product that is relied upon by the ANDA or 505(b)(2) NDA (known as the reference drug) has been submitted to the FDA; (2) such patent has expired; (3) the date on which such patent expires; or (4) such patent is invalid, unenforceable, or will not be infringed by the manufacture, use or sale of the drug product for which the ANDA or 505(b)(2) NDA is submitted. This last certification is known as a Paragraph IV Certification. If the NDA holder for the reference drug or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30-month stay. Thus, approval of an ANDA or 505(b)(2) NDA could be delayed for a significant period of time depending on the patent certification the applicant makes and the reference drug sponsor’s or patent owner’s decision to initiate patent litigation.</w:t>
      </w:r>
    </w:p>
    <w:p>
      <w:pPr>
        <w:spacing w:after="0" w:line="12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 addition to, and distinct from the patent protection provisions, the Hatch-Waxman Amendments establish periods of regulatory exclusivity for certain approved drug products, during which the FDA cannot approve (or in some cases accept) an ANDA or 505(b)(2) application that relies on the branded reference drug. For example, the holder of an NDA may obtain five years of exclusivity upon approval of a new drug containing a new chemical entity that has not been previously approved by the FDA. The Hatch-Waxman Amendments also provide three years of marketing exclusivity to the holder of an NDA (including a 505(b)(2) NDA) for a particular condition of approval, or change to a marketed product, such as a new formulation for a previously approved product, if one or more new clinical trials (other than bioavailability or bioequivalence studies) was essential to the approval of the application and was conducted/sponsored by the applicant. This three-year exclusivity period protects against FDA approval of ANDAs and 505(b)(2) NDAs for drugs that include the innovation that required the new clinical data, but generally allows the approval for non-protected characteristics and labeling.</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Third-Party Payor Coverage, Pricing and Reimbursement</w:t>
      </w:r>
    </w:p>
    <w:p>
      <w:pPr>
        <w:spacing w:after="0" w:line="82"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In the United States and markets in other countries, patients who are prescribed treatments for their conditions and providers performing the prescribed services generally rely on third-party payors to reimburse all</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186</w:t>
      </w:r>
    </w:p>
    <w:p>
      <w:pPr>
        <w:sectPr>
          <w:pgSz w:w="11900" w:h="16838" w:orient="portrait"/>
          <w:cols w:equalWidth="0" w:num="1">
            <w:col w:w="10159"/>
          </w:cols>
          <w:pgMar w:left="300" w:top="368"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52" w:lineRule="auto"/>
        <w:rPr>
          <w:sz w:val="20"/>
          <w:szCs w:val="20"/>
          <w:color w:val="auto"/>
        </w:rPr>
      </w:pPr>
      <w:r>
        <w:rPr>
          <w:rFonts w:ascii="Times New Roman" w:cs="Times New Roman" w:eastAsia="Times New Roman" w:hAnsi="Times New Roman"/>
          <w:sz w:val="12"/>
          <w:szCs w:val="12"/>
          <w:color w:val="auto"/>
        </w:rPr>
        <w:t>or part of the associated healthcare costs. Thus, sales of a product will depend, in part, on the extent to which third-party payors provide coverage and establish adequate reimbursement levels for the product. Third-party payors include government payor programs at the federal and state levels, including Medicare and Medicaid, managed care providers, private health insurers and other organizations. In the United States, no uniform policy of coverage and reimbursement for products exists among third-party payors. The process for determining whether a payor will provide coverage for a product may be separate from the process for setting the price or reimbursement rate that the payor will pay for the product. Third-party payors may limit coverage to specific products on an approved list, or formulary, which might not include all of the FDA-approved products for a particular indication, and which can change over time.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FDA or other comparable regulatory approvals. Additionally, companies may also need to provide discounts to purchasers, private health plans or government healthcare programs, in order for the company’s products to be considered as a formulary option. Nonetheless, product candidates may not be considered by individual payors to be medically necessary or cost-effective. A payor’s decision to provide coverage for a product does not imply that a preferred formulary position or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Adequate third-party reimbursement may not be available to enable us to maintain price levels sufficient to realize an appropriate return on our investment in product development.</w:t>
      </w:r>
    </w:p>
    <w:p>
      <w:pPr>
        <w:spacing w:after="0" w:line="130"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our products and the product candidates that we are developing and could adversely affect our net revenue and results. See the discussion below under “</w:t>
      </w:r>
      <w:r>
        <w:rPr>
          <w:rFonts w:ascii="Times New Roman" w:cs="Times New Roman" w:eastAsia="Times New Roman" w:hAnsi="Times New Roman"/>
          <w:sz w:val="12"/>
          <w:szCs w:val="12"/>
          <w:i w:val="1"/>
          <w:iCs w:val="1"/>
          <w:color w:val="auto"/>
        </w:rPr>
        <w:t>U.S. Healthcare Reform”</w:t>
      </w:r>
      <w:r>
        <w:rPr>
          <w:rFonts w:ascii="Times New Roman" w:cs="Times New Roman" w:eastAsia="Times New Roman" w:hAnsi="Times New Roman"/>
          <w:sz w:val="12"/>
          <w:szCs w:val="12"/>
          <w:color w:val="auto"/>
        </w:rPr>
        <w:t>, and regarding the Inflation Reduction Act for further information.</w:t>
      </w:r>
    </w:p>
    <w:p>
      <w:pPr>
        <w:spacing w:after="0" w:line="128"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Different pricing and reimbursement schemes exist in other countries. In the European Economic Area (“EEA”) (which is currently comprised of the 27 Member States of the EU plus Norway, Iceland and Liechtenstein), governments influence the price of pharmaceutical products through their pricing and reimbursement rules and control of national healthcare systems that fund a large part of the cost of those products to consumers. Some countries in the EEA operate positive and negative list systems under which some medicinal products are selected for coverage (positive list) and others are explicitly listed as excluded from reimbursement (negative list). To obtain reimbursement or pricing approval, some of these EEA countries may require the completion of clinical trials that compare the cost-effectiveness of a particular product to currently available therapies. Other EEA countries allow companies to fix their own prices for medicinal products,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products will allow favorable reimbursement and pricing arrangements for any of our products.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 Healthcare Reform</w:t>
      </w:r>
    </w:p>
    <w:p>
      <w:pPr>
        <w:spacing w:after="0" w:line="82" w:lineRule="exact"/>
        <w:rPr>
          <w:sz w:val="20"/>
          <w:szCs w:val="20"/>
          <w:color w:val="auto"/>
        </w:rPr>
      </w:pPr>
    </w:p>
    <w:p>
      <w:pPr>
        <w:ind w:left="1980" w:right="1199" w:firstLine="294"/>
        <w:spacing w:after="0" w:line="279" w:lineRule="auto"/>
        <w:rPr>
          <w:sz w:val="20"/>
          <w:szCs w:val="20"/>
          <w:color w:val="auto"/>
        </w:rPr>
      </w:pPr>
      <w:r>
        <w:rPr>
          <w:rFonts w:ascii="Times New Roman" w:cs="Times New Roman" w:eastAsia="Times New Roman" w:hAnsi="Times New Roman"/>
          <w:sz w:val="12"/>
          <w:szCs w:val="12"/>
          <w:color w:val="auto"/>
        </w:rPr>
        <w:t>In the United States there have been, and continue to be, proposals by the federal government, state governments, regulators and third-party payors to control or manage the increased costs of healthcare and, more</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187</w:t>
      </w:r>
    </w:p>
    <w:p>
      <w:pPr>
        <w:sectPr>
          <w:pgSz w:w="11900" w:h="16838" w:orient="portrait"/>
          <w:cols w:equalWidth="0" w:num="1">
            <w:col w:w="10159"/>
          </w:cols>
          <w:pgMar w:left="300" w:top="368"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1" w:lineRule="auto"/>
        <w:rPr>
          <w:sz w:val="20"/>
          <w:szCs w:val="20"/>
          <w:color w:val="auto"/>
        </w:rPr>
      </w:pPr>
      <w:r>
        <w:rPr>
          <w:rFonts w:ascii="Times New Roman" w:cs="Times New Roman" w:eastAsia="Times New Roman" w:hAnsi="Times New Roman"/>
          <w:sz w:val="12"/>
          <w:szCs w:val="12"/>
          <w:color w:val="auto"/>
        </w:rPr>
        <w:t>generally, to reform the U.S. healthcare system.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2020 (the “ACA”) was enacted, which is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and which substantially changes the way healthcare is financed by both governmental and private insurers, and significantly impacts the U.S. pharmaceutical industry. The ACA, among other things, (1) subjected therapeutic biologics to potential competition by lower-cost biosimilars by creating a licensure framework for follow-on biologic products, (2) prescribed a new methodology by which rebates owed by manufacturers under the Medicaid Drug Rebate Program are calculated for drugs that are inhaled, infused, instilled, implanted or injected, (3) increased the minimum Medicaid rebates owed by manufacturers under the Medicaid Drug Rebate Program and extended the rebate program to individuals enrolled in Medicaid managed care organizations, (4) established annual nondeductible fees and taxes on manufacturers of certain branded prescription drugs, apportioned among these entities according to their market share in certain government healthcare programs, (5) established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(6)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(7) expanded the entities eligible for discounts under the 340B Public Health Service Act program, (8) created a new Patient-Centered Outcomes Research Institute to oversee, identify priorities in, and conduct comparative clinical effectiveness research, along with funding for such research, and (9) established a Center for Medicare Innovation at the CMS to test innovative payment and service delivery models to lower Medicare and Medicaid spending, potentially including prescription drug spending.</w:t>
      </w:r>
    </w:p>
    <w:p>
      <w:pPr>
        <w:spacing w:after="0" w:line="138"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Since its enactment, there have been judicial, Congressional and Administrative challenges to certain aspects of the ACA, and we expect there will be additional challenges and amendments to the ACA in the future. For example, legislation affecting the implementation of certain taxes under the ACA has been signed into law. The TCJA included a provision that repealed, effective January 1, 2019, the tax-based shared responsibility payment imposed by the ACA on certain individuals who fail to maintain qualifying health coverage for all or part of a year that is commonly referred to as the “individual mandate”. Further, the Bipartisan Budget Act of 2018 (the “BBA”), among other things, amended the ACA, effective January 1, 2019, to increase from 50% to 70% the point-of-sale discount that is owned by pharmaceutical manufacturers who participate in Medicare Part D and to close the coverage gap in most Medicare drug plans, commonly referred to as the “donut hole”.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former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former President Biden signed the Inflation Reduction Act of 2022 into law, which, among other things, extends enhanced subsidies for individuals purchasing health insurance coverage in ACA marketplaces through plan year 2025. The Inflation Reduction Act also eliminates the “donut hole” under the Medicare Part D program beginning in 2025 by significantly lowering the beneficiary maximum out-of-pocket cost through a newly established manufacturer discount program. It is unclear how additional healthcare reform measures of the Trump administration or other efforts, if any, to modify or invalidate the ACA or its implementing regulations, or portions thereof, will impact our business. Any health</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188</w:t>
      </w:r>
    </w:p>
    <w:p>
      <w:pPr>
        <w:sectPr>
          <w:pgSz w:w="11900" w:h="16838" w:orient="portrait"/>
          <w:cols w:equalWidth="0" w:num="1">
            <w:col w:w="10159"/>
          </w:cols>
          <w:pgMar w:left="300" w:top="368" w:right="1440"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1019"/>
        <w:spacing w:after="0" w:line="265" w:lineRule="auto"/>
        <w:rPr>
          <w:sz w:val="20"/>
          <w:szCs w:val="20"/>
          <w:color w:val="auto"/>
        </w:rPr>
      </w:pPr>
      <w:r>
        <w:rPr>
          <w:rFonts w:ascii="Times New Roman" w:cs="Times New Roman" w:eastAsia="Times New Roman" w:hAnsi="Times New Roman"/>
          <w:sz w:val="12"/>
          <w:szCs w:val="12"/>
          <w:color w:val="auto"/>
        </w:rPr>
        <w:t>care reform measures will likely take time to unfold, and could have an impact on coverage and reimbursement for healthcare items and services. We cannot predict the ultimate content, timing or effect of any healthcare reform legislation or other policy or the impact of potential legislation or other policy on us.</w:t>
      </w:r>
    </w:p>
    <w:p>
      <w:pPr>
        <w:spacing w:after="0" w:line="119"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Other legislative and administrative changes have been proposed and adopted in the United States since the ACA was enacted to reduce healthcare expenditures. For example, the Budget Control Act of 2011, among other things, in connection with subsequent legislation, reduced Medicare payments to providers, on average, by 2% per fiscal year. These reductions went into effect on April 1, 2013 and, due to subsequent legislative amendments to the statute, including the BBA,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impact the ability of relevant agencies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32" w:lineRule="exact"/>
        <w:rPr>
          <w:sz w:val="20"/>
          <w:szCs w:val="20"/>
          <w:color w:val="auto"/>
        </w:rPr>
      </w:pPr>
    </w:p>
    <w:p>
      <w:pPr>
        <w:ind w:left="1980" w:right="859" w:firstLine="294"/>
        <w:spacing w:after="0" w:line="251" w:lineRule="auto"/>
        <w:rPr>
          <w:sz w:val="20"/>
          <w:szCs w:val="20"/>
          <w:color w:val="auto"/>
        </w:rPr>
      </w:pPr>
      <w:r>
        <w:rPr>
          <w:rFonts w:ascii="Times New Roman" w:cs="Times New Roman" w:eastAsia="Times New Roman" w:hAnsi="Times New Roman"/>
          <w:sz w:val="12"/>
          <w:szCs w:val="12"/>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On May 16, 2019, CMS adopted a final rule that, among other things, will require Part D plans to adopt Real Time Benefit Tools that are capable of integrating with electronic prescribing or electronic health record systems and have the capability to inform prescribers when lower-cost alternative therapies are available under a beneficiary’s prescription drug benefit. Similarly, since 2021, Part D Explanation of Benefits transmittals to members are required to inform Part D beneficiaries about drug prices and lower cost therapeutic alternatives. On August 16, 2022, former President Biden signed into law the Inflation Reduction Act of 2022, which among other things, contains two specific provisions affecting pricing for drugs and biologics. The first provision allows for CMS to negotiate prices for certain single-source drugs and biologics reimbursed under Medicare Part B and Part D, beginning with ten high-cost drugs paid for by Medicare Part D starting in 2026, followed by 15 Part D drugs in 2027, 15 Part B or Part D drugs in 2028, and 20 Part B or Part D drugs in 2029 and beyond.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expenses at $2,000. The second provision imposes a requirement that pharma manufacturers provide a rebate to Medicare, if the manufacturer increases price at a rate higher than the measured inflation rate. Medicaid has had a rebate program for several years, but Medicare did not. The intent is to limit price increases. The new rebate applies to drugs covered by Medicare under Part B or Part D. The rebate obligation applies if the average sales price (for Part B) or average manufacturers price (for Part D) of a single source drug or biologic increases more than the rate of inflation (as measured by the index for urban consumers). The rebate amount is the total number of units sold in Medicare coverage multiplied by the amount by which the price exceeds the inflation adjusted price. The base year against which the inflation adjustment is measured is 2021. If the price exceeds the inflation adjusted price, the difference is multiplied by the units sold in Medicare and that amount is to be rebated. A failure to pay the rebate is subject to a penalty of 125% of the original rebate amount. The provision for Part D takes effect in 2022, with rebates to be paid beginning in 2023. The provision for Part B takes effect in 2023. At the state level, legislatures are increasingly passing legislation and implementing regulations designed to control pharmaceutical and</w:t>
      </w:r>
    </w:p>
    <w:p>
      <w:pPr>
        <w:spacing w:after="0" w:line="9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189</w:t>
      </w:r>
    </w:p>
    <w:p>
      <w:pPr>
        <w:sectPr>
          <w:pgSz w:w="11900" w:h="16838" w:orient="portrait"/>
          <w:cols w:equalWidth="0" w:num="1">
            <w:col w:w="10159"/>
          </w:cols>
          <w:pgMar w:left="300" w:top="368"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39"/>
        <w:spacing w:after="0" w:line="260" w:lineRule="auto"/>
        <w:rPr>
          <w:sz w:val="20"/>
          <w:szCs w:val="20"/>
          <w:color w:val="auto"/>
        </w:rPr>
      </w:pPr>
      <w:r>
        <w:rPr>
          <w:rFonts w:ascii="Times New Roman" w:cs="Times New Roman" w:eastAsia="Times New Roman" w:hAnsi="Times New Roman"/>
          <w:sz w:val="12"/>
          <w:szCs w:val="12"/>
          <w:color w:val="auto"/>
        </w:rPr>
        <w:t>biological product pricing, including price or patient reimbursement constraints, discounts, restrictions on certain product access and marketing cost disclosure and transparency measures. In some cases, states appear interested in public policy designed to encourage drug importation from other countries and bulk purchasing. Furthermore, there has been increased interest by third-party payors and governmental authorities in reference pricing systems and publication of discounts and list prices.</w:t>
      </w:r>
    </w:p>
    <w:p>
      <w:pPr>
        <w:spacing w:after="0" w:line="12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We expect that other healthcare reform measures that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U.S. Healthcare Laws and Compliance Requirements</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In the United States, our activities are potentially subject to regulation by various federal, state and local authorities in addition to the FDA, including the Centers for Medicare and Medicaid Services, other divisions of the United States Department of Health and Human Services (e.g., the Office of Inspector General), the United States Department of Justice and individual United States Attorney offices within the Department of Justice, and state and local governments. For example, various activities, including but not limited to sales, marketing and scientific/educational grant programs, must comply with the anti-fraud and abuse provisions of the Social Security Act, the federal Anti-Kickback Statute, the federal False Claims Act and similar state laws, each as amended. Failure to comply with such requirements could potentially result in substantial penalties to us. Even if we structure our programs with the intent of compliance with such laws, there can be no certainty that we would not need to defend against enforcement or litigation, in light of the fact that there is significant enforcement interest in pharmaceutical companies in the United States, and some of the applicable laws are quite broad in scope.</w:t>
      </w:r>
    </w:p>
    <w:p>
      <w:pPr>
        <w:spacing w:after="0" w:line="126"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The federal Anti-Kickback Statute prohibits any person, including a pharmaceutical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government can establish a violation of the Anti-Kickback Statute without proving that a person or entity had actual knowledge of this statute or specific intent to violate it. In addition, the 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payor, not only the Medicare and Medicaid programs in at least some cases, and do not contain safe harbors.</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190</w:t>
      </w:r>
    </w:p>
    <w:p>
      <w:pPr>
        <w:sectPr>
          <w:pgSz w:w="11900" w:h="16838" w:orient="portrait"/>
          <w:cols w:equalWidth="0" w:num="1">
            <w:col w:w="10159"/>
          </w:cols>
          <w:pgMar w:left="300" w:top="368" w:right="1440"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The federal False Claims Act imposes liability on any person or entity that, among other things, knowingly presents, or causes to be presented, a false or fraudulent claim for payment of government funds, or knowingly makes, uses, or causes to be made or used a false statement material to a false or fraudulent claim, or knowingly conceals or knowingly and improperly avoids, or decreases an obligation to pay money to the government. The qui tam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promotion of off-label uses (i.e., uses not expressly approved by the FDA in a drug’s label), and allegations as to misrepresentations with respect to the services rendered. Our activities relating to the reporting of discount and rebate information and other information affecting federal, state and third-party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w:t>
      </w:r>
    </w:p>
    <w:p>
      <w:pPr>
        <w:spacing w:after="0" w:line="131"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healthcare fraud provisions under the U.S. federal Health Insurance Portability and Accountability Act of 1996 and its implementing regulations (“HIPAA”) impose criminal liability for, among other things, knowingly and willfully executing, or attempting to execute, a scheme to defraud any health care benefit program, including private third-party payors, or falsifying or covering up a material fact or making any materially false or fraudulent statement in connection with the delivery of or payment for health care benefits, items or services.</w:t>
      </w:r>
    </w:p>
    <w:p>
      <w:pPr>
        <w:spacing w:after="0" w:line="12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We may be subject to, or our marketing activities may be limited by, data privacy and security law and regulation promulgated by both the U.S. federal government and the U.S. states in which we conduct our business. For example, under HIPAA, the U.S. Department of Health and Human Services imposes upon “covered entities” (broadly, healthcare providers, health plans and healthcare clearinghouses) and their respective “business associates” (individuals or entities that create, receive, maintain or transmit protected health information on behalf of a covered entity) the HIPAA Privacy and Security Rules which include privacy obligations; requirements to implement appropriate administrative, physical and technical safeguards to ensure the confidentiality, integrity, and security of electronic protected health information; and breach response notification obligations. Although we are neither a covered entity nor business associate, and therefore not subject to the HIPAA Privacy and Security Rules, we must monitor developments with these requirements for changing obligations that may apply to us. The Federal Trade Commission (the “FTC”) also requires companies to take appropriate steps to keep consumers’ personal information secure and to make accurate statements regarding how they secure personal information under their custody or control, such as in a privacy notice. The FTC also expects a company’s data security measures to be reasonable and appropriate in light of the sensitivity and volume of personal information it holds, the size and complexity of its business, and the cost of available tools to improve data security and reduce vulnerabilities. Individually identifiable health information, which we process, is considered sensitive data that merits stronger safeguards. Violations of the foregoing FTC requirements may constitute unfair or deceptive acts or practices under Section 5(a) of the Federal Trade Commission Act (the “FTC Act”). While we do not intend to engage in unfair or deceptive acts or practices, the FTC has the power to bring enforcement actions based on the FTC’s interpretation of public privacy statements. Further, events that we cannot fully control, such as data breaches, may also result in civil penalties, FTC enforcement or enforcement by U.S. state attorneys general or other regulators. Various U.S. states have implemented privacy laws and regulations that regulate the use and disclosure of health information and other</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191</w:t>
      </w:r>
    </w:p>
    <w:p>
      <w:pPr>
        <w:sectPr>
          <w:pgSz w:w="11900" w:h="16838" w:orient="portrait"/>
          <w:cols w:equalWidth="0" w:num="1">
            <w:col w:w="10159"/>
          </w:cols>
          <w:pgMar w:left="300" w:top="368"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personal information. For example, the CCPA, established a privacy framework for covered businesses by, among other items, expanding the definition of personal information, establishing new data privacy rights for consumers who are California residents, imposing rules on the collection of personal information from minors, and creating a statutory damages framework for violations of the CCPA, including for failure to implement reasonable security procedures and practices to prevent data breaches. Penalties for violations of the CCPA include civil penalties and may result in related legal claims. The CPRA, most provisions of which became operative on January 1, 2023, introduced significant amendments to the CCPA and established and funded a dedicated California privacy regulator, the California Privacy Protection Agency. Several other states have implemented similar consumer privacy laws that took effect in the past year or will take effect in the near future. Further, Washington’s My Health My Data Act, taking effect July 1, 2024, imposes requirements specific to consumer health data. The foregoing U.S. state privacy laws impose many similar obligations as the CCPA on our processing of personal information. Other U.S. states are considering similar privacy legislation, and industry organizations regularly adopt and advocate for new standards in these areas. The uncertainty, ambiguity, complexity, and potential inconsistency surrounding the implementation and interpretation of the CCPA and other enacted or forthcoming U.S. state privacy laws exemplify the vulnerability of our business to the evolving regulatory environment related to the privacy, security and confidentiality of personal information and protected health information. We may be subject to fines, penalties, or private actions in the event of non-compliance with such laws.</w:t>
      </w:r>
    </w:p>
    <w:p>
      <w:pPr>
        <w:spacing w:after="0" w:line="13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Our activities outside of the U.S. implicate local, state, provincial, and national data protection standards, impose additional compliance requirements and generate additional risks of enforcement for non-compliance. Such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remediate issues caused by such breaches. Compliance with these laws is challenging, constantly evolving, time consuming, and requires a flexible privacy framework and substantial resources. Compliance efforts will likely be an increasing and substantial cost in the future.</w:t>
      </w:r>
    </w:p>
    <w:p>
      <w:pPr>
        <w:spacing w:after="0" w:line="12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CMS information related to payments or other transfers of value made to physicians and teaching hospitals, as well as ownership and investment interests held by physicians and their immediate family members. In addition to this federal requirement, a number of individual states and foreign jurisdictions require detailed reporting and often public disclosures concerning transfers of value to physicians, other health care providers and family members. Effective January 1, 2022, these reporting obligations are extended to include transfers of value made to certain non-physician providers such as physician assistants and nurse practitioners.</w:t>
      </w:r>
    </w:p>
    <w:p>
      <w:pPr>
        <w:spacing w:after="0" w:line="126"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Compliance with such requirements may require investment in infrastructure to ensure that tracking is performed properly, and some of these laws result in the public disclosure of various types of payments and relationships. Several states have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w:t>
      </w:r>
    </w:p>
    <w:p>
      <w:pPr>
        <w:spacing w:after="0" w:line="128"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Where our activities involve foreign government officials, they may also potentially be subject to the Foreign Corrupt Practices Act. If we seek to have a product paid for with federal funds under the Medicaid</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192</w:t>
      </w:r>
    </w:p>
    <w:p>
      <w:pPr>
        <w:sectPr>
          <w:pgSz w:w="11900" w:h="16838" w:orient="portrait"/>
          <w:cols w:equalWidth="0" w:num="1">
            <w:col w:w="10159"/>
          </w:cols>
          <w:pgMar w:left="300" w:top="368"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2" w:lineRule="auto"/>
        <w:rPr>
          <w:sz w:val="20"/>
          <w:szCs w:val="20"/>
          <w:color w:val="auto"/>
        </w:rPr>
      </w:pPr>
      <w:r>
        <w:rPr>
          <w:rFonts w:ascii="Times New Roman" w:cs="Times New Roman" w:eastAsia="Times New Roman" w:hAnsi="Times New Roman"/>
          <w:sz w:val="12"/>
          <w:szCs w:val="12"/>
          <w:color w:val="auto"/>
        </w:rPr>
        <w:t>programs or Medicare Part B, various obligations, including government price reporting, are required under the Medicaid rebate provisions of the Omnibus Budget Reconciliation Act of 1990 and the Veterans Health Care Act of 1992, each as amended, which generally require products to be offered at substantial rebates/discounts to such programs and certain purchasers. Government price reporting may also be required with respect to average sales price, which serves as the basis of reimbursement under Medicare Part B.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(“NIH”)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w:t>
      </w:r>
    </w:p>
    <w:p>
      <w:pPr>
        <w:spacing w:after="0" w:line="132" w:lineRule="exact"/>
        <w:rPr>
          <w:sz w:val="20"/>
          <w:szCs w:val="20"/>
          <w:color w:val="auto"/>
        </w:rPr>
      </w:pPr>
    </w:p>
    <w:p>
      <w:pPr>
        <w:ind w:left="1980" w:right="839" w:firstLine="294"/>
        <w:spacing w:after="0" w:line="253" w:lineRule="auto"/>
        <w:rPr>
          <w:sz w:val="20"/>
          <w:szCs w:val="20"/>
          <w:color w:val="auto"/>
        </w:rPr>
      </w:pPr>
      <w:r>
        <w:rPr>
          <w:rFonts w:ascii="Times New Roman" w:cs="Times New Roman" w:eastAsia="Times New Roman" w:hAnsi="Times New Roman"/>
          <w:sz w:val="12"/>
          <w:szCs w:val="12"/>
          <w:color w:val="auto"/>
        </w:rPr>
        <w:t>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integrity oversight and reporting obligations to resolve allegations of non-compliance,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U.S. Marketing Exclusivity</w:t>
      </w:r>
    </w:p>
    <w:p>
      <w:pPr>
        <w:spacing w:after="0" w:line="80"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i w:val="1"/>
          <w:iCs w:val="1"/>
          <w:color w:val="auto"/>
        </w:rPr>
        <w:t>Hatch-Waxman Exclusivity</w:t>
      </w:r>
      <w:r>
        <w:rPr>
          <w:rFonts w:ascii="Times New Roman" w:cs="Times New Roman" w:eastAsia="Times New Roman" w:hAnsi="Times New Roman"/>
          <w:sz w:val="12"/>
          <w:szCs w:val="12"/>
          <w:color w:val="auto"/>
        </w:rPr>
        <w:t>. Market exclusivity provisions under the FDCA can also delay the submission or the approval of certain applications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This definition is currently under FDA review. During the exclusivity period, the FDA may not accept for review an ANDA or a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193</w:t>
      </w:r>
    </w:p>
    <w:p>
      <w:pPr>
        <w:sectPr>
          <w:pgSz w:w="11900" w:h="16838" w:orient="portrait"/>
          <w:cols w:equalWidth="0" w:num="1">
            <w:col w:w="10159"/>
          </w:cols>
          <w:pgMar w:left="300" w:top="368" w:right="1440"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319"/>
        <w:spacing w:after="0" w:line="279" w:lineRule="auto"/>
        <w:rPr>
          <w:sz w:val="20"/>
          <w:szCs w:val="20"/>
          <w:color w:val="auto"/>
        </w:rPr>
      </w:pPr>
      <w:r>
        <w:rPr>
          <w:rFonts w:ascii="Times New Roman" w:cs="Times New Roman" w:eastAsia="Times New Roman" w:hAnsi="Times New Roman"/>
          <w:sz w:val="12"/>
          <w:szCs w:val="12"/>
          <w:color w:val="auto"/>
        </w:rPr>
        <w:t>NDA would be required to conduct or obtain a right of reference to all of the preclinical studies and adequate and well-controlled clinical trials necessary to demonstrate safety and effectiveness.</w:t>
      </w:r>
    </w:p>
    <w:p>
      <w:pPr>
        <w:spacing w:after="0" w:line="109" w:lineRule="exact"/>
        <w:rPr>
          <w:sz w:val="20"/>
          <w:szCs w:val="20"/>
          <w:color w:val="auto"/>
        </w:rPr>
      </w:pPr>
    </w:p>
    <w:p>
      <w:pPr>
        <w:jc w:val="both"/>
        <w:ind w:left="1980" w:right="95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Pediatric Exclusivity</w:t>
      </w:r>
      <w:r>
        <w:rPr>
          <w:rFonts w:ascii="Times New Roman" w:cs="Times New Roman" w:eastAsia="Times New Roman" w:hAnsi="Times New Roman"/>
          <w:sz w:val="12"/>
          <w:szCs w:val="12"/>
          <w:color w:val="auto"/>
        </w:rPr>
        <w:t>. Pediatric exclusivity is another type of regulatory market exclusivity in the United States. Pediatric exclusivity, if granted,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adds six months to any existing exclusivity period or patent term. This six-month exclusivity may be granted by the FDA based on the completion of a pediatric clinical trial in accordance with provisions of the FDCA.</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Europe/Rest of World Government Regulation</w:t>
      </w:r>
    </w:p>
    <w:p>
      <w:pPr>
        <w:spacing w:after="0" w:line="82"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In addition to regulations in the United States, we are subject to a variety of regulations in other jurisdictions governing, among other things, clinical trials, pricing and reimbursement, anti-bribery, advertising and promotion, data privacy and security and any commercial sales and distribution of our future products.</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In the EEA, for example, a clinical trial application (“CTA”) must be submitted to each country’s national health authority and an independent ethics committee, much like the FDA and IRB, respectively. Once the CTA is approved in accordance with the EU Clinical Trials Directive 2001/20/EC (the “Clinical Trials Directive”) and the related national implementing provisions of the relevant individual EEA country’s requirements, the clinical trial described in that CTA may proceed.</w:t>
      </w:r>
    </w:p>
    <w:p>
      <w:pPr>
        <w:spacing w:after="0" w:line="122" w:lineRule="exact"/>
        <w:rPr>
          <w:sz w:val="20"/>
          <w:szCs w:val="20"/>
          <w:color w:val="auto"/>
        </w:rPr>
      </w:pPr>
    </w:p>
    <w:p>
      <w:pPr>
        <w:ind w:left="1980" w:right="879" w:firstLine="294"/>
        <w:spacing w:after="0" w:line="253" w:lineRule="auto"/>
        <w:rPr>
          <w:sz w:val="20"/>
          <w:szCs w:val="20"/>
          <w:color w:val="auto"/>
        </w:rPr>
      </w:pPr>
      <w:r>
        <w:rPr>
          <w:rFonts w:ascii="Times New Roman" w:cs="Times New Roman" w:eastAsia="Times New Roman" w:hAnsi="Times New Roman"/>
          <w:sz w:val="12"/>
          <w:szCs w:val="12"/>
          <w:color w:val="auto"/>
        </w:rPr>
        <w:t>In April 2014, the new Clinical Trials Regulation, (EU) No 536/2014 (the “Clinical Trials Regulation”) was adopted. The Clinical Trials Regulation entered into force on January 31, 2022. The Clinical Trials Regulation is directly applicable in all the EEA countries, repealing the prior Clinical Trials Directive. The new Clinical Trials Regulation allows a sponsor to start and conduct a clinical trial in accordance with the Clinical Trials Directive during a transitional period of one year after the application date, i.e. January 31, 2022. The transition period for the trials ongoing at the moment of applicability will be a maximum of three years after the date of application of the Clinical Trials Regulation.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will need to be submitted and authorized in time before the end of the transitional period. The new Clinical Trials Regulation is intended to simplify and streamline the approval of clinical trials in the EEA. The main characteristics of the regulation include: a streamlined application procedure through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into two parts.</w:t>
      </w:r>
    </w:p>
    <w:p>
      <w:pPr>
        <w:spacing w:after="0" w:line="128" w:lineRule="exact"/>
        <w:rPr>
          <w:sz w:val="20"/>
          <w:szCs w:val="20"/>
          <w:color w:val="auto"/>
        </w:rPr>
      </w:pPr>
    </w:p>
    <w:p>
      <w:pPr>
        <w:jc w:val="both"/>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For other countries outside of the EEA, such as countries in Eastern Europe, Latin America or Asia, the requirements governing the conduct of clinical trials vary from country to country. Internationally, clinical trials are generally required to be conducted in accordance with GCP, applicable regulatory requirements of each jurisdiction and the medical ethics principles that have their origins in the Declaration of Helsinki.</w:t>
      </w:r>
    </w:p>
    <w:p>
      <w:pPr>
        <w:spacing w:after="0" w:line="119"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In the EEA, medicinal products can be commercialized only after obtaining a Marketing Authorization (“MA”). There are several procedures for requesting marketing authorization which can be more efficient than applying for authorization on a country-by-country basis. There is a “centralized” procedure allowing submission of a single marketing authorization application to the European Medicines Agency (the “EMA”). If the EMA issues a positive opinion, the European Commission will grant a centralized marketing authorization that is valid in all EEA countries.</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194</w:t>
      </w:r>
    </w:p>
    <w:p>
      <w:pPr>
        <w:sectPr>
          <w:pgSz w:w="11900" w:h="16838" w:orient="portrait"/>
          <w:cols w:equalWidth="0" w:num="1">
            <w:col w:w="10159"/>
          </w:cols>
          <w:pgMar w:left="300" w:top="368"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EEA.</w:t>
      </w:r>
    </w:p>
    <w:p>
      <w:pPr>
        <w:spacing w:after="0" w:line="12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There is also a “decentralized” procedure allowing companies to file identical applications to several EEA countries simultaneously for product candidates that have not yet been authorized in any EEA country and a “mutual recognition” procedure allowing companies that have a product already authorized in one EEA country to apply for that authorization to be recognized by the competent authorities in other EEA countries. Under the “decentralized” procedure, an identical dossier is submitted to the competent authorities of each of the EEA countries in which the MA is sought, one of which is selected by the applicant as the Reference Member State (“RMS”). If the RMS proposes to authorize the product, and the other EEA countries do not raise objections, the product is authorized in all the EEA countries where the authorization was sought. Before granting the MA, the EMA or the competent authorities of the EEA countries make an assessment of the risk-benefit balance of the product on the basis of scientific criteria concerning its quality, safety and efficacy.</w:t>
      </w:r>
    </w:p>
    <w:p>
      <w:pPr>
        <w:spacing w:after="0" w:line="128"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In many countries outside the United States, procedures to obtain price approvals, coverage and reimbursement can take considerable time after the receipt of a MA. Many EEA countries periodically review their reimbursement of medicinal products, which could have an adverse impact on reimbursement status. In addition, we expect that legislators, policymakers and healthcare insurance funds in the EEA countries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EEA countries, including some EU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EEA countries, including those representing the larger markets. The HTA process, which is currently governed by national laws in each EEA country,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EEA countries. The extent to which pricing and reimbursement decisions are influenced by the HTA of the specific medicinal product currently varies between EEA countries, although the HTA Regulation, which aims to harmonize the clinical benefit assessment of HTA across the EEA, will apply from January 12, 2025. If we are unable to maintain favorable pricing and reimbursement status in EEA countries that represent significant markets, our anticipated revenue from and growth prospects for our products in the EEA could be negatively affected.</w:t>
      </w:r>
    </w:p>
    <w:p>
      <w:pPr>
        <w:spacing w:after="0" w:line="131" w:lineRule="exact"/>
        <w:rPr>
          <w:sz w:val="20"/>
          <w:szCs w:val="20"/>
          <w:color w:val="auto"/>
        </w:rPr>
      </w:pPr>
    </w:p>
    <w:p>
      <w:pPr>
        <w:ind w:left="1980" w:right="899" w:firstLine="294"/>
        <w:spacing w:after="0" w:line="300" w:lineRule="auto"/>
        <w:rPr>
          <w:sz w:val="20"/>
          <w:szCs w:val="20"/>
          <w:color w:val="auto"/>
        </w:rPr>
      </w:pPr>
      <w:r>
        <w:rPr>
          <w:rFonts w:ascii="Times New Roman" w:cs="Times New Roman" w:eastAsia="Times New Roman" w:hAnsi="Times New Roman"/>
          <w:sz w:val="11"/>
          <w:szCs w:val="11"/>
          <w:color w:val="auto"/>
        </w:rPr>
        <w:t>Outside the United States, interactions between pharmaceutical companies and physicians are also governed by strict laws, such as national anti-bribery laws of EEA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02" w:lineRule="exact"/>
        <w:rPr>
          <w:sz w:val="20"/>
          <w:szCs w:val="20"/>
          <w:color w:val="auto"/>
        </w:rPr>
      </w:pPr>
    </w:p>
    <w:p>
      <w:pPr>
        <w:ind w:left="1980" w:right="939" w:firstLine="294"/>
        <w:spacing w:after="0" w:line="284" w:lineRule="auto"/>
        <w:rPr>
          <w:sz w:val="20"/>
          <w:szCs w:val="20"/>
          <w:color w:val="auto"/>
        </w:rPr>
      </w:pPr>
      <w:r>
        <w:rPr>
          <w:rFonts w:ascii="Times New Roman" w:cs="Times New Roman" w:eastAsia="Times New Roman" w:hAnsi="Times New Roman"/>
          <w:sz w:val="11"/>
          <w:szCs w:val="11"/>
          <w:color w:val="auto"/>
        </w:rPr>
        <w:t>In the EEA,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EEA. Other applicable laws at the EEA level and in the individual EU Member States also apply to the advertising and promotion of medicinal</w:t>
      </w:r>
    </w:p>
    <w:p>
      <w:pPr>
        <w:spacing w:after="0" w:line="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195</w:t>
      </w:r>
    </w:p>
    <w:p>
      <w:pPr>
        <w:sectPr>
          <w:pgSz w:w="11900" w:h="16838" w:orient="portrait"/>
          <w:cols w:equalWidth="0" w:num="1">
            <w:col w:w="10159"/>
          </w:cols>
          <w:pgMar w:left="300" w:top="368"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19"/>
        <w:spacing w:after="0" w:line="265" w:lineRule="auto"/>
        <w:rPr>
          <w:sz w:val="20"/>
          <w:szCs w:val="20"/>
          <w:color w:val="auto"/>
        </w:rPr>
      </w:pPr>
      <w:r>
        <w:rPr>
          <w:rFonts w:ascii="Times New Roman" w:cs="Times New Roman" w:eastAsia="Times New Roman" w:hAnsi="Times New Roman"/>
          <w:sz w:val="12"/>
          <w:szCs w:val="12"/>
          <w:color w:val="auto"/>
        </w:rPr>
        <w:t>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EEA could be penalized by administrative measures, fines and imprisonment.</w:t>
      </w:r>
    </w:p>
    <w:p>
      <w:pPr>
        <w:spacing w:after="0" w:line="119"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In addition to data privacy and security regulations in the United States, we may be subject to, or our marketing activities may be limited by, data privacy and security regulations in the EEA, Switzerland, or the United Kingdom (“UK”), where the legislative and regulatory landscape continues to evolve. There has been increased regulator attention to privacy and data security issues that could potentially affect our business, including through legislation such as the EEA General Data Protection Regulation (“EEA GDPR”) and UK General Data Protection Regulation (“UK GDPR,” and together, the “GDPR”), which each imposes strict obligations on the processing of personal data, including the transfer of personal data from the EEA, Switzerland, or UK to third countries that the European Commission has determined does not ensure an adequate level of protection, such as the United States. If we violate the GDPR, we may face significant penalties of up to EUR 10,000,000 or 2% of our total worldwide annual turnover, or for more serious violations, up to EUR 20,000,000 or 4% of our total worldwide annual turnover.</w:t>
      </w:r>
    </w:p>
    <w:p>
      <w:pPr>
        <w:spacing w:after="0" w:line="128"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The GDPR and other EEA and UK data privacy and security regulations generally restrict the transfer of personal data from the EEA, United Kingdom and Switzerland, to the United States and certain other third countries unless the parties to the transfer have implemented specific safeguards to protect the transferred personal data. One of the primary safeguards on which companies may rely to import or export personal data from had been the EU-U.S. Privacy Shield and Swiss-U.S. Privacy Shield frameworks administered by the U.S. Department of Commerce. However, the EU-U.S. Privacy Shield was invalidated in July 2020 by the Court of Justice of the European Union (the “CJEU”) in a case known as “</w:t>
      </w:r>
      <w:r>
        <w:rPr>
          <w:rFonts w:ascii="Times New Roman" w:cs="Times New Roman" w:eastAsia="Times New Roman" w:hAnsi="Times New Roman"/>
          <w:sz w:val="12"/>
          <w:szCs w:val="12"/>
          <w:i w:val="1"/>
          <w:iCs w:val="1"/>
          <w:color w:val="auto"/>
        </w:rPr>
        <w:t>Schrems II</w:t>
      </w:r>
      <w:r>
        <w:rPr>
          <w:rFonts w:ascii="Times New Roman" w:cs="Times New Roman" w:eastAsia="Times New Roman" w:hAnsi="Times New Roman"/>
          <w:sz w:val="12"/>
          <w:szCs w:val="12"/>
          <w:color w:val="auto"/>
        </w:rPr>
        <w:t>.” Following this decision, the Swiss Federal Data Protection and Information Commissioner (the “FDPIC”) announced that the Swiss-U.S. Privacy Shield does not provide adequate safeguards for the purposes of personal data transfers from Switzerland to third countries that are deemed as not providing adequate protection, including the United States. While the FDPIC does not have authority to invalidate the Swiss-U.S. Privacy Shield regime, the FDPIC’s announcement casts doubt on the viability of the Swiss-U.S. Privacy Shield as a compliance mechanism for Swiss-U.S. data transfers.</w:t>
      </w:r>
    </w:p>
    <w:p>
      <w:pPr>
        <w:spacing w:after="0" w:line="124"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 xml:space="preserve">The CJEU’s decision in </w:t>
      </w:r>
      <w:r>
        <w:rPr>
          <w:rFonts w:ascii="Times New Roman" w:cs="Times New Roman" w:eastAsia="Times New Roman" w:hAnsi="Times New Roman"/>
          <w:sz w:val="12"/>
          <w:szCs w:val="12"/>
          <w:i w:val="1"/>
          <w:iCs w:val="1"/>
          <w:color w:val="auto"/>
        </w:rPr>
        <w:t>Schrems II</w:t>
      </w:r>
      <w:r>
        <w:rPr>
          <w:rFonts w:ascii="Times New Roman" w:cs="Times New Roman" w:eastAsia="Times New Roman" w:hAnsi="Times New Roman"/>
          <w:sz w:val="12"/>
          <w:szCs w:val="12"/>
          <w:color w:val="auto"/>
        </w:rPr>
        <w:t xml:space="preserve">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w:t>
      </w:r>
      <w:r>
        <w:rPr>
          <w:rFonts w:ascii="Times New Roman" w:cs="Times New Roman" w:eastAsia="Times New Roman" w:hAnsi="Times New Roman"/>
          <w:sz w:val="12"/>
          <w:szCs w:val="12"/>
          <w:i w:val="1"/>
          <w:iCs w:val="1"/>
          <w:color w:val="auto"/>
        </w:rPr>
        <w:t>Schrems II</w:t>
      </w:r>
      <w:r>
        <w:rPr>
          <w:rFonts w:ascii="Times New Roman" w:cs="Times New Roman" w:eastAsia="Times New Roman" w:hAnsi="Times New Roman"/>
          <w:sz w:val="12"/>
          <w:szCs w:val="12"/>
          <w:color w:val="auto"/>
        </w:rPr>
        <w:t xml:space="preserve">, it made clear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In the context of any given transfer, where the legal regime applicable in the destination country may or does conflict with the intended operation of the Standard Contractual Clauses and/or applicable European law, the decision in </w:t>
      </w:r>
      <w:r>
        <w:rPr>
          <w:rFonts w:ascii="Times New Roman" w:cs="Times New Roman" w:eastAsia="Times New Roman" w:hAnsi="Times New Roman"/>
          <w:sz w:val="12"/>
          <w:szCs w:val="12"/>
          <w:i w:val="1"/>
          <w:iCs w:val="1"/>
          <w:color w:val="auto"/>
        </w:rPr>
        <w:t>Schrems II</w:t>
      </w:r>
      <w:r>
        <w:rPr>
          <w:rFonts w:ascii="Times New Roman" w:cs="Times New Roman" w:eastAsia="Times New Roman" w:hAnsi="Times New Roman"/>
          <w:sz w:val="12"/>
          <w:szCs w:val="12"/>
          <w:color w:val="auto"/>
        </w:rPr>
        <w:t xml:space="preserve"> and subsequent draft guidance from the European Data Protection Board (the “EDPB”) would require the parties to that transfer to implement certain supplementary technical, organizational and/or contractual measures to rely on the Standard Contractual Clauses as a lawful “transfer mechanism.” However, the draft guidance from the EDPB on such supplementary technical, organizational and/or contractual measures appears to conclude that any combination of such measures may not be sufficient to allow effective reliance on the Standard Contractual Clauses in the context of transfers of personal data “in the clear” to recipients in countries where the power granted to public authorities to access the transferred data goes beyond that which is “necessary and proportionate in a democratic society”— which may, following the CJEU’s conclusions in </w:t>
      </w:r>
      <w:r>
        <w:rPr>
          <w:rFonts w:ascii="Times New Roman" w:cs="Times New Roman" w:eastAsia="Times New Roman" w:hAnsi="Times New Roman"/>
          <w:sz w:val="12"/>
          <w:szCs w:val="12"/>
          <w:i w:val="1"/>
          <w:iCs w:val="1"/>
          <w:color w:val="auto"/>
        </w:rPr>
        <w:t>Schrems II</w:t>
      </w:r>
      <w:r>
        <w:rPr>
          <w:rFonts w:ascii="Times New Roman" w:cs="Times New Roman" w:eastAsia="Times New Roman" w:hAnsi="Times New Roman"/>
          <w:sz w:val="12"/>
          <w:szCs w:val="12"/>
          <w:color w:val="auto"/>
        </w:rPr>
        <w:t xml:space="preserve"> on relevant powers of United States public authorities and commentary in draft EDPB guidance, include the United States in certain circumstances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where Section 702 of the U.S. Foreign Intelligence Surveillance Act applies). Further, the UK Information Commissioner’s Office has provided for separate international data transfer mechanisms for restricted transfers of data from the UK: an international data</w:t>
      </w:r>
    </w:p>
    <w:p>
      <w:pPr>
        <w:spacing w:after="0" w:line="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196</w:t>
      </w:r>
    </w:p>
    <w:p>
      <w:pPr>
        <w:sectPr>
          <w:pgSz w:w="11900" w:h="16838" w:orient="portrait"/>
          <w:cols w:equalWidth="0" w:num="1">
            <w:col w:w="10159"/>
          </w:cols>
          <w:pgMar w:left="300" w:top="368"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65" w:lineRule="auto"/>
        <w:rPr>
          <w:sz w:val="20"/>
          <w:szCs w:val="20"/>
          <w:color w:val="auto"/>
        </w:rPr>
      </w:pPr>
      <w:r>
        <w:rPr>
          <w:rFonts w:ascii="Times New Roman" w:cs="Times New Roman" w:eastAsia="Times New Roman" w:hAnsi="Times New Roman"/>
          <w:sz w:val="12"/>
          <w:szCs w:val="12"/>
          <w:color w:val="auto"/>
        </w:rPr>
        <w:t>transfer agreement (the UK equivalent of the EU Standard Contractual Clauses) (“IDTA”) and an international data transfer addendum (which amends the EU Standard Contractual Clauses for purposes of international data transfers from the UK to countries without an essentially equivalent data protection framework) (the “Addendum”). Both the IDTA and the Addendum came into force in March 2022.</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spacing w:after="0" w:line="126"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If we fail to comply with applicable foreign regulatory requirements, we may be subject to, among other things, fines, suspension or withdrawal of regulatory approvals, product recalls, seizure of products, operating restrictions or criminal prosecution.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Employees and Human Capital Resources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As of December 31, 2024, we had approximately 115 full-time employees, including five employees who have M.D.s or Ph.D.s. Within our workforce, 11 employees were primarily engaged in research and development, 85 were primarily engaged in sales and marketing and 19 were primarily engaged in general management and administration. None of our employees are represented by labor unions or covered by collective bargaining agreements. We believe that we maintain good relationships with our employees. We focus on identifying, attracting, incentivizing, developing and retaining an exceptional team of highly talented and motivated employees to support our current product pipeline and future business goals. In order to drive innovation, we continuously improve our human capital management strategies and find ways to foster engagement and growth within our company.</w:t>
      </w:r>
    </w:p>
    <w:p>
      <w:pPr>
        <w:spacing w:after="0" w:line="126"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We regularly benchmark total rewards we provide against our industry peers to ensure we offer competitive compensation and benefits packages to our employees and potential new hires. The principal purposes of our equity and cash incentive plans are to attract, retain and reward selected personnel through the granting of stock-based and cash-based compensation awards, as well as provide our employees with the opportunity to participate in our employee stock purchase plan, in order to increase stockholder value and the success of our company by motivating such individuals to perform to the best of their abilities and achieve our objectives. We strive to build a diverse environment where our employees can thrive and one that inspires exceptional contributions and professional and personal development in order to achieve our vision to become the leading pain management company that can have a transformative impact on patients’ lives. The success of our business is fundamentally connected to the well-being, health and safety of our employees.</w:t>
      </w:r>
    </w:p>
    <w:p>
      <w:pPr>
        <w:spacing w:after="0" w:line="1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plan to continue to develop our efforts related to attracting, retaining and motivating our workforce as we grow and develop.</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From time to time we may become involved in various legal proceedings, including those that may arise in the ordinary course of business.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197</w:t>
      </w:r>
    </w:p>
    <w:p>
      <w:pPr>
        <w:sectPr>
          <w:pgSz w:w="11900" w:h="16838" w:orient="portrait"/>
          <w:cols w:equalWidth="0" w:num="1">
            <w:col w:w="10159"/>
          </w:cols>
          <w:pgMar w:left="300" w:top="368"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Former Employee Action</w:t>
      </w:r>
    </w:p>
    <w:p>
      <w:pPr>
        <w:spacing w:after="0" w:line="82" w:lineRule="exact"/>
        <w:rPr>
          <w:sz w:val="20"/>
          <w:szCs w:val="20"/>
          <w:color w:val="auto"/>
        </w:rPr>
      </w:pPr>
    </w:p>
    <w:p>
      <w:pPr>
        <w:ind w:left="1980" w:right="839" w:firstLine="294"/>
        <w:spacing w:after="0" w:line="251" w:lineRule="auto"/>
        <w:rPr>
          <w:sz w:val="20"/>
          <w:szCs w:val="20"/>
          <w:color w:val="auto"/>
        </w:rPr>
      </w:pPr>
      <w:r>
        <w:rPr>
          <w:rFonts w:ascii="Times New Roman" w:cs="Times New Roman" w:eastAsia="Times New Roman" w:hAnsi="Times New Roman"/>
          <w:sz w:val="12"/>
          <w:szCs w:val="12"/>
          <w:color w:val="auto"/>
        </w:rPr>
        <w:t>On March 12, 2021, Scilex Pharma and Sorrento (the “Plaintiffs”) filed an action (the “Former Employee Action”) in the Delaware Court of Chancery against the former President of Scilex Pharma, Anthony Mack, and Virpax Pharmaceuticals, Inc. (“Virpax”, and together with Mr. Mack, the “Defendants”), a company founded and then headed by Mr. Mack, alleging, among other things, breach by Mr. Mack of a restrictive covenant agreement with Sorrento related to his sale of his Scilex Pharma stock to Sorrento, tortious interference with that agreement by Virpax, breach of Mr. Mack’s fiduciary duties to Scilex Pharma, aiding and abetting of that breach by Virpax, and misappropriation of Scilex Pharma’s trade secrets by Mr. Mack and Virpax. Such lawsuit sought, among other relief, damages and various forms of injunctive relief. The case was tried from September 12, 2022 to September 14, 2022. On September 1, 2023, the court found in favor of the Plaintiffs on all but three counts deemed to have been waived. In its 95-page opinion, the court instructed the parties to submit supplemental briefing on the appropriate remedy to implement its rulings. On October 18, 2023, the Plaintiffs submitted a supplemental brief on remedies. On November 29, 2023, Defendants submitted a supplemental brief on remedies. On December 21, 2023, the Plaintiffs submitted a supplemental reply brief on remedies. On February 26, 2024, we and Virpax entered into a term sheet regarding a mutual release and settlement agreement, pursuant to which the parties have agreed to resolve the ongoing disputes. On February 29, 2024, we and Virpax entered into a definitive settlement agreement, which provides for, among other things, that Virpax would be obligated to make the following payments to us to settle the Former Employee Action: (i) $3.5 million by two business days after the Effective Date (as defined therein), which payment has been made; (ii) $2.5 million by July 1, 2024, which payment has been made on July 8, 2024 and (iii) to the extent any of the following drug candidates are ever sold, royalty payments of (a) 6% of annual Net Sales (as defined therein) of Epoladerm; (b) 6% of annual Net Sales of Probudur and (c) 6% of annual Net Sales of Envelta during the Royalty Term (as defined therein). We and Virpax provided mutual releases of all claims that existed as of the Effective Date, whether known or unknown, arising from any allegations set forth in the Former Employee Action. Plaintiffs’ release relates to claims against Virpax only, which does not affect our claims against Mr. Mack. Plaintiffs have not released Mr. Mack, and litigation against him remains ongoing. The court has requested additional oral argument on the topic of remedies against Mr. Mack, which argument occurred on November 15, 2024. The parties are awaiting a final judgment from the court.</w:t>
      </w:r>
    </w:p>
    <w:p>
      <w:pPr>
        <w:spacing w:after="0" w:line="20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Patent Litigation</w:t>
      </w:r>
    </w:p>
    <w:p>
      <w:pPr>
        <w:spacing w:after="0" w:line="82"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On June 22, 2022, we filed a complaint against Aveva Drug Delivery Systems, Inc. (“Aveva”), Apotex Corp., and Apotex, Inc. (together, “Apotex”) in the U.S. District Court for the Southern District of Florida (the “ZTlido Patent Litigation”) alleging infringement of certain Orange Book listed patents covering ZTlido (the “ZTlido Patents”). The ZTlido Patent Litigation was initiated following the submission by Apotex, in accordance with the procedures set out in the Hatch-Waxman Act, of an ANDA. Apotex’s ANDA seeks approval to market a generic version of ZTlido prior to the expiration of the ZTlido Patents and alleges that the ZTlido Patents are invalid, unenforceable, and/or not infringed. We are seeking, among other relief, an order that the effective date of any FDA approval of Apotex’s ANDA be no earlier than the expiration of the asserted patents listed in the Orange Book, the latest of which expires on May 10, 2031, and such further and other relief as the court may deem appropriate. Apotex and Aveva were subject to an automatic 30-month stay preventing them from selling a generic version of ZTlido during that time which was extinguished by the U.S. District Court for the Southern District of Florida decision described below. However, to our knowledge, Aveva has not received FDA approval for any generic version of ZTlido. The two Apotex entities were dismissed from the litigation without prejudice, as they no longer had an interest in the generic product that Aveva seeks to market. Before trial, Aveva dropped its challenge to the validity and enforceability of the Company’s patents. Trial in the ZTlido Patent Litigation was held from July 8, 2024 to July 11, 2024. Final post-trial briefing was submitted by the parties on July 25, 2024, and the case was submitted to the U.S. District Court for the Southern District of Florida. On August 26, 2024, that court issued a decision finding that Aveva’s product does not infringe our ZTlido Patents. We are appealing that decision to the U.S. Court of Appeals for the Federal Circuit, and we filed a Notice of Appeal with the U.S. District Court for the Southern District of Florida on September 25, 2024.</w:t>
      </w:r>
    </w:p>
    <w:p>
      <w:pPr>
        <w:spacing w:after="0" w:line="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198</w:t>
      </w:r>
    </w:p>
    <w:p>
      <w:pPr>
        <w:sectPr>
          <w:pgSz w:w="11900" w:h="16838" w:orient="portrait"/>
          <w:cols w:equalWidth="0" w:num="1">
            <w:col w:w="10159"/>
          </w:cols>
          <w:pgMar w:left="300" w:top="368"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Corporate History</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Legacy Scilex was incorporated in Delaware in February 2019 for the purpose of effecting a corporate reorganization. On March 18, 2019, Legacy Scilex entered into a Contribution and Loan Agreement with Sorrento and the holders of the outstanding shares of capital stock of Scilex Pharma pursuant to which Legacy Scilex acquired 100% of the outstanding shares of capital stock of Scilex Pharma in exchange for shares of Legacy Scilex Common Stock (such transaction, the “Contribution”). Pursuant to the Contribution and Loan Agreement, Sorrento provided Legacy Scilex with a loan with an initial principal amount of $16.5 million in the form of a note payable, which loan was used to fund the acquisition of Semnur. Concurrently therewith, Legacy Scilex entered into the Semnur Acquisition Agreement with Semnur, Sigma Merger Sub, Inc., Legacy Scilex’s prior wholly owned subsidiary, Fortis Advisors LLC, solely as representative of the holders of Semnur equity, and Sorrento, for limited purposes. Pursuant to the Semnur Acquisition Agreement, Sigma Merger Sub, Inc. merged with and into Semnur, with Semnur surviving the Semnur Acquisition as Legacy Scilex’s wholly owned subsidiary. As a result of the Contribution and the Semnur Acquisition, Scilex Pharma and Semnur became Legacy Scilex’s wholly owned subsidiaries. Prior to the Contribution and the Semnur Acquisition, operations of Legacy Scilex were conducted through Scilex Pharma, which was formed in September 2012. Semnur was formed in June 2013.</w:t>
      </w:r>
    </w:p>
    <w:p>
      <w:pPr>
        <w:spacing w:after="0" w:line="128" w:lineRule="exact"/>
        <w:rPr>
          <w:sz w:val="20"/>
          <w:szCs w:val="20"/>
          <w:color w:val="auto"/>
        </w:rPr>
      </w:pPr>
    </w:p>
    <w:p>
      <w:pPr>
        <w:ind w:left="1980" w:right="1419" w:firstLine="294"/>
        <w:spacing w:after="0" w:line="279" w:lineRule="auto"/>
        <w:rPr>
          <w:sz w:val="20"/>
          <w:szCs w:val="20"/>
          <w:color w:val="auto"/>
        </w:rPr>
      </w:pPr>
      <w:r>
        <w:rPr>
          <w:rFonts w:ascii="Times New Roman" w:cs="Times New Roman" w:eastAsia="Times New Roman" w:hAnsi="Times New Roman"/>
          <w:sz w:val="12"/>
          <w:szCs w:val="12"/>
          <w:color w:val="auto"/>
        </w:rPr>
        <w:t>On November 10, 2022, we consummated the Business Combination with Vickers and Legacy Scilex. In connection with the Business Combination, Vickers changed its name from Vickers Vantage Corp. I to Scilex Holding Company.</w:t>
      </w:r>
    </w:p>
    <w:p>
      <w:pPr>
        <w:spacing w:after="0" w:line="111"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As an emerging growth company,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and reduced disclosure obligations regarding executive compensation.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Website Access to SEC Filings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We file annual, quarterly and special reports, proxy statements and other information with the SEC. The SEC maintains an Internet website at http://www.sec.gov that contains reports, proxy and information statements, and other information regarding issuers that file electronically with the SEC, including Scilex. We maintain an Internet website at www.scilexholding.com.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199</w:t>
      </w:r>
    </w:p>
    <w:p>
      <w:pPr>
        <w:sectPr>
          <w:pgSz w:w="11900" w:h="16838" w:orient="portrait"/>
          <w:cols w:equalWidth="0" w:num="1">
            <w:col w:w="10159"/>
          </w:cols>
          <w:pgMar w:left="300" w:top="368"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MANAGEMENT</w:t>
      </w:r>
    </w:p>
    <w:p>
      <w:pPr>
        <w:spacing w:after="0" w:line="154" w:lineRule="exact"/>
        <w:rPr>
          <w:sz w:val="20"/>
          <w:szCs w:val="20"/>
          <w:color w:val="auto"/>
        </w:rPr>
      </w:pPr>
    </w:p>
    <w:p>
      <w:pPr>
        <w:ind w:left="1980" w:right="1279" w:firstLine="294"/>
        <w:spacing w:after="0" w:line="279" w:lineRule="auto"/>
        <w:rPr>
          <w:sz w:val="20"/>
          <w:szCs w:val="20"/>
          <w:color w:val="auto"/>
        </w:rPr>
      </w:pPr>
      <w:r>
        <w:rPr>
          <w:rFonts w:ascii="Times New Roman" w:cs="Times New Roman" w:eastAsia="Times New Roman" w:hAnsi="Times New Roman"/>
          <w:sz w:val="12"/>
          <w:szCs w:val="12"/>
          <w:color w:val="auto"/>
        </w:rPr>
        <w:t>The following sets forth certain information, as of the date of this prospectus, concerning the persons who are serving as our directors and executive officers.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Executive Officers and Directors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the name, age and position of each of our directors and executive officers, as of April 1, 2025.</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87"/>
              </w:rPr>
              <w:t>Name</w:t>
            </w:r>
          </w:p>
        </w:tc>
        <w:tc>
          <w:tcPr>
            <w:tcW w:w="3060" w:type="dxa"/>
            <w:vAlign w:val="bottom"/>
          </w:tcPr>
          <w:p>
            <w:pPr>
              <w:spacing w:after="0"/>
              <w:rPr>
                <w:sz w:val="11"/>
                <w:szCs w:val="11"/>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Age</w:t>
            </w:r>
          </w:p>
        </w:tc>
        <w:tc>
          <w:tcPr>
            <w:tcW w:w="3520" w:type="dxa"/>
            <w:vAlign w:val="bottom"/>
          </w:tcPr>
          <w:p>
            <w:pPr>
              <w:ind w:left="1540"/>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113"/>
        </w:trPr>
        <w:tc>
          <w:tcPr>
            <w:tcW w:w="33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2"/>
                <w:szCs w:val="12"/>
                <w:i w:val="1"/>
                <w:iCs w:val="1"/>
                <w:color w:val="auto"/>
              </w:rPr>
              <w:t>Executive Officers</w:t>
            </w:r>
            <w:r>
              <w:rPr>
                <w:rFonts w:ascii="Times New Roman" w:cs="Times New Roman" w:eastAsia="Times New Roman" w:hAnsi="Times New Roman"/>
                <w:sz w:val="12"/>
                <w:szCs w:val="12"/>
                <w:color w:val="auto"/>
              </w:rPr>
              <w:t>:</w:t>
            </w: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520" w:type="dxa"/>
            <w:vAlign w:val="bottom"/>
            <w:tcBorders>
              <w:top w:val="single" w:sz="8" w:color="auto"/>
            </w:tcBorders>
            <w:shd w:val="clear" w:color="auto" w:fill="CCEEFF"/>
          </w:tcPr>
          <w:p>
            <w:pPr>
              <w:spacing w:after="0"/>
              <w:rPr>
                <w:sz w:val="9"/>
                <w:szCs w:val="9"/>
                <w:color w:val="auto"/>
              </w:rPr>
            </w:pPr>
          </w:p>
        </w:tc>
      </w:tr>
      <w:tr>
        <w:trPr>
          <w:trHeight w:val="144"/>
        </w:trPr>
        <w:tc>
          <w:tcPr>
            <w:tcW w:w="33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Jaisim Shah</w:t>
            </w:r>
            <w:r>
              <w:rPr>
                <w:rFonts w:ascii="Times New Roman" w:cs="Times New Roman" w:eastAsia="Times New Roman" w:hAnsi="Times New Roman"/>
                <w:sz w:val="16"/>
                <w:szCs w:val="16"/>
                <w:color w:val="auto"/>
                <w:vertAlign w:val="superscript"/>
              </w:rPr>
              <w:t>(4)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w:t>
            </w: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President and Director</w:t>
            </w:r>
          </w:p>
        </w:tc>
      </w:tr>
      <w:tr>
        <w:trPr>
          <w:trHeight w:val="144"/>
        </w:trPr>
        <w:tc>
          <w:tcPr>
            <w:tcW w:w="33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Henry Ji, Ph.D.</w:t>
            </w:r>
            <w:r>
              <w:rPr>
                <w:rFonts w:ascii="Times New Roman" w:cs="Times New Roman" w:eastAsia="Times New Roman" w:hAnsi="Times New Roman"/>
                <w:sz w:val="16"/>
                <w:szCs w:val="16"/>
                <w:color w:val="auto"/>
                <w:vertAlign w:val="superscript"/>
              </w:rPr>
              <w:t>(4)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Executive Chairperson and Director</w:t>
            </w:r>
          </w:p>
        </w:tc>
      </w:tr>
      <w:tr>
        <w:trPr>
          <w:trHeight w:val="144"/>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Stephen Ma</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w:t>
            </w: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Senior Vice President and Secretary</w:t>
            </w:r>
          </w:p>
        </w:tc>
      </w:tr>
      <w:tr>
        <w:trPr>
          <w:trHeight w:val="144"/>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Non-employee Directors</w:t>
            </w: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r>
      <w:tr>
        <w:trPr>
          <w:trHeight w:val="144"/>
        </w:trPr>
        <w:tc>
          <w:tcPr>
            <w:tcW w:w="33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Jay Chun, M.D., Ph.D.</w:t>
            </w:r>
            <w:r>
              <w:rPr>
                <w:rFonts w:ascii="Times New Roman" w:cs="Times New Roman" w:eastAsia="Times New Roman" w:hAnsi="Times New Roman"/>
                <w:sz w:val="16"/>
                <w:szCs w:val="16"/>
                <w:color w:val="auto"/>
                <w:vertAlign w:val="superscript"/>
              </w:rPr>
              <w:t>(1)(2)(3)(4)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w:t>
            </w: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3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Dorman Followwill</w:t>
            </w:r>
            <w:r>
              <w:rPr>
                <w:rFonts w:ascii="Times New Roman" w:cs="Times New Roman" w:eastAsia="Times New Roman" w:hAnsi="Times New Roman"/>
                <w:sz w:val="16"/>
                <w:szCs w:val="16"/>
                <w:color w:val="auto"/>
                <w:vertAlign w:val="superscript"/>
              </w:rPr>
              <w:t>(1)(2)(3)</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30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Annu Navani</w:t>
            </w:r>
            <w:r>
              <w:rPr>
                <w:rFonts w:ascii="Times New Roman" w:cs="Times New Roman" w:eastAsia="Times New Roman" w:hAnsi="Times New Roman"/>
                <w:sz w:val="16"/>
                <w:szCs w:val="16"/>
                <w:color w:val="auto"/>
                <w:vertAlign w:val="superscript"/>
              </w:rPr>
              <w:t>(4)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w:t>
            </w:r>
          </w:p>
        </w:tc>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3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Yue Alexander Wu, Ph.D.</w:t>
            </w:r>
            <w:r>
              <w:rPr>
                <w:rFonts w:ascii="Times New Roman" w:cs="Times New Roman" w:eastAsia="Times New Roman" w:hAnsi="Times New Roman"/>
                <w:sz w:val="16"/>
                <w:szCs w:val="16"/>
                <w:color w:val="auto"/>
                <w:vertAlign w:val="superscript"/>
              </w:rPr>
              <w:t>(1)(2)(3)</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w:t>
            </w: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Committee.</w:t>
      </w:r>
    </w:p>
    <w:p>
      <w:pPr>
        <w:spacing w:after="0" w:line="1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Compensation Committee.</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Nominating and Corporate Governance Committee.</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Commercialization and Transaction Committee.</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Executive Officers</w:t>
      </w:r>
    </w:p>
    <w:p>
      <w:pPr>
        <w:spacing w:after="0" w:line="78" w:lineRule="exact"/>
        <w:rPr>
          <w:sz w:val="20"/>
          <w:szCs w:val="20"/>
          <w:color w:val="auto"/>
        </w:rPr>
      </w:pPr>
    </w:p>
    <w:p>
      <w:pPr>
        <w:ind w:left="1980" w:right="879"/>
        <w:spacing w:after="0" w:line="278" w:lineRule="auto"/>
        <w:rPr>
          <w:sz w:val="20"/>
          <w:szCs w:val="20"/>
          <w:color w:val="auto"/>
        </w:rPr>
      </w:pPr>
      <w:r>
        <w:rPr>
          <w:rFonts w:ascii="Times New Roman" w:cs="Times New Roman" w:eastAsia="Times New Roman" w:hAnsi="Times New Roman"/>
          <w:sz w:val="11"/>
          <w:szCs w:val="11"/>
          <w:b w:val="1"/>
          <w:bCs w:val="1"/>
          <w:i w:val="1"/>
          <w:iCs w:val="1"/>
          <w:color w:val="auto"/>
        </w:rPr>
        <w:t>Jaisim Shah</w:t>
      </w:r>
      <w:r>
        <w:rPr>
          <w:rFonts w:ascii="Times New Roman" w:cs="Times New Roman" w:eastAsia="Times New Roman" w:hAnsi="Times New Roman"/>
          <w:sz w:val="11"/>
          <w:szCs w:val="11"/>
          <w:i w:val="1"/>
          <w:iCs w:val="1"/>
          <w:color w:val="auto"/>
        </w:rPr>
        <w:t>.</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Mr. Shah has served as our Chief Executive Officer and President and a member of our Board since November 10, 2022. Prior to that, he</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served as Legacy Scilex’s President, Chief Executive Officer and a board member from March 2019 to November 2022. He has more than 25 years of global biopharma experience, including over 15 years in senior management leading business development, commercial operations, investor relations, marketing and medical affairs. He also served as the Chief Executive Officer and a board member of Semnur from its inception in 2013 until its acquisition by Legacy Scilex in March 2019. Mr. Shah has served on the board of directors of Scilex Pharmaceuticals Inc., our wholly owned subsidiary (“Scilex Pharma”), since November 2016. Prior to his time at Semnur, Mr. Shah was a consultant to several businesses, including Sorrento, and was the Chief Business Officer of Elevation Pharmaceuticals, Inc., where Mr. Shah led a successful sale of Elevation Pharmaceuticals, Inc. to Sunovion Pharmaceuticals Inc. in September 2012. Prior to his time at Elevation Pharmaceuticals, Inc., Mr. Shah was president of Zelos Therapeutics, Inc., where he focused on financing and business development. Prior to his time at Zelos Therapeutics, Inc., Mr. Shah was the Senior Vice President and Chief Business Officer at CytRx Corporation, a biopharmaceutical company. Previously, Mr. Shah was Chief Business Officer at Facet Biotech Corporation and PDL BioPharma, Inc., where he completed numerous licensing/ partnering and strategic transactions with pharmaceutical and biotech companies. Prior to his time at PDL BioPharma, Inc., Mr. Shah was at Bristol-Myers Squibb Company, most recently as Vice President of Global Marketing where he received the “President’s Award” for completing one of the most significant collaborations in the company’s history. Previously, Mr. Shah was at</w:t>
      </w:r>
    </w:p>
    <w:p>
      <w:pPr>
        <w:spacing w:after="0" w:line="129"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color w:val="auto"/>
        </w:rPr>
        <w:t>F. Hoffman-La Roche AG in international marketing and was global business leader for corporate alliances with Genentech, Inc. and IDEC Corporation. Mr. Shah previously served as a director of Celularity Inc. (Nasdaq: CELU) from June 2017 to July 2021. He served as a director of Sorrento from September 2013 until November 2023. Mr. Shah holds a M.A. in Economics from the University of Akron and a M.B.A. from Oklahoma University. We believe that Mr. Shah’s extensive operational, executive and business development experience qualifies him to serve on our Board.</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200</w:t>
      </w:r>
    </w:p>
    <w:p>
      <w:pPr>
        <w:sectPr>
          <w:pgSz w:w="11900" w:h="16838" w:orient="portrait"/>
          <w:cols w:equalWidth="0" w:num="1">
            <w:col w:w="10159"/>
          </w:cols>
          <w:pgMar w:left="300" w:top="368"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right="879"/>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Henry Ji, Ph.D</w:t>
      </w:r>
      <w:r>
        <w:rPr>
          <w:rFonts w:ascii="Times New Roman" w:cs="Times New Roman" w:eastAsia="Times New Roman" w:hAnsi="Times New Roman"/>
          <w:sz w:val="12"/>
          <w:szCs w:val="12"/>
          <w:color w:val="auto"/>
        </w:rPr>
        <w:t>. Dr. Ji has served as the Executive Chairperson and a member of our Board since September 22, 2023 and previously served as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Chairperson and a member of our Board from November 2022 to August 2023. Prior to that, he served as Legacy Scilex’s Executive Chairperson and a board member from March 2019 to November 2022. Dr. Ji has served on the board of directors of Scilex Pharma since November 2016 and he served as the Chief Executive Officer of Scilex Pharma from November 2016 to March 2019. Dr. Ji has served as Semnur’s Treasurer and Secretary and a board member since its inception in 2013. He currently serves as the Chief Executive Officer of Vivasor Holding Company and Vivasor, Inc. He co-founded and has served as a director of Sorrento since January 2006, served as its Chief Scientific Officer from November 2008 to September 2012, as its Interim Chief Executive Officer from April 2011 to September 2012, as its Secretary from September 2009 to June 2011, as its Chief Executive Officer and President since September 2012 and as Chairman of its board of directors since August 2017. In 2002, Dr. Ji founded BioVintage, Inc., a research and development company focusing on innovative life sciences technology and product development, and has served as its President since 2002. From 2001 to 2002, Dr. Ji served as Vice President of CombiMatrix Corporation, a publicly-traded biotechnology company that develops proprietary technologies, including products and services in the areas of drug development, genetic analysis, molecular diagnostics and nanotechnology. During his tenure at CombiMatrix Corporation, Dr. Ji was responsible for strategic technology alliances with biopharmaceutical companies. From 1999 to 2001, Dr. Ji served as Director of Business Development, and in 2001 as Vice President of Stratagene Corporation (later acquired by Agilent Technologies, Inc.) where he was responsible for novel technology and product licensing and development. In 1997,</w:t>
      </w:r>
    </w:p>
    <w:p>
      <w:pPr>
        <w:spacing w:after="0" w:line="2" w:lineRule="exact"/>
        <w:rPr>
          <w:sz w:val="20"/>
          <w:szCs w:val="20"/>
          <w:color w:val="auto"/>
        </w:rPr>
      </w:pPr>
    </w:p>
    <w:p>
      <w:pPr>
        <w:ind w:left="1980" w:right="899"/>
        <w:spacing w:after="0" w:line="251" w:lineRule="auto"/>
        <w:rPr>
          <w:sz w:val="20"/>
          <w:szCs w:val="20"/>
          <w:color w:val="auto"/>
        </w:rPr>
      </w:pPr>
      <w:r>
        <w:rPr>
          <w:rFonts w:ascii="Times New Roman" w:cs="Times New Roman" w:eastAsia="Times New Roman" w:hAnsi="Times New Roman"/>
          <w:sz w:val="12"/>
          <w:szCs w:val="12"/>
          <w:color w:val="auto"/>
        </w:rPr>
        <w:t>Dr. Ji co-founded Stratagene Genomics, Inc., a wholly owned subsidiary of Stratagene Corporation, and served as its President and Chief Executive Officer from its founding until 1999. Dr. Ji previously served as a director of Celularity Inc. (Nasdaq: CELU) from June 2017 to July 2021. Dr. Ji is the holder of several issued and pending patents in the life science research field and is the sole inventor of Sorrento’s intellectual property. Dr. Ji has a Ph.D. in Animal Physiology from the University of Minnesota and a B.S. in Biochemistry from Fudan University. Dr. Ji has demonstrated significant leadership skills as President and Chief Executive Officer of Stratagene Genomics, Inc. and Vice President of CombiMatrix Corporation and Stratagene Corporation and brings more than 20 years of biotechnology and biopharmaceutical experience to his position on our Board. We believe that Dr. Ji’s extensive knowledge of the industry in which we operate allows him to bring to our Board a broad understanding of the operational and strategic issues we face.</w:t>
      </w:r>
    </w:p>
    <w:p>
      <w:pPr>
        <w:spacing w:after="0" w:line="12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 xml:space="preserve">Stephen Ma. </w:t>
      </w:r>
      <w:r>
        <w:rPr>
          <w:rFonts w:ascii="Times New Roman" w:cs="Times New Roman" w:eastAsia="Times New Roman" w:hAnsi="Times New Roman"/>
          <w:sz w:val="12"/>
          <w:szCs w:val="12"/>
          <w:color w:val="auto"/>
        </w:rPr>
        <w:t>Mr. Ma has served as our Chief Financial Officer and Senior Vice President since September 22, 2023 and as our Corporate Secretary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since March 6, 2024. Mr. Ma previously served as our Chief Accounting Officer from May 2023 until his appointment as our Chief Financial Officer and as our Vice President of Finance from January 2022 to April 2023. Mr. Ma has more than 15 years of finance and operational expertise across pharmaceuticals and venture backed biotechnology companies. He most recently served as Director of Finance and Operations for Anwita Biosciences, Inc., a clinical stage company, from August 2019 to January 2022. Prior to that, from May 2016 to August 2019, he served as the Senior Director of Finance and Controller of Semnur. Prior to that, he served as Controller for Globavir and part of the management team that worked on its initial public offering process. He also served as the Controller for Ardelyx, which went public in 2014. Prior to that, Mr. Ma served in various finance positions at PDL BioPharma, Inc. and Hyperion Therapeutics, Inc.. Mr. Ma began his career with more than 10 years in high technology companies and has a wealth of experience in finance, strategic planning, commercial launching, debt financing, public offerings and M&amp;A transactions. Mr. Ma holds a B.S. in Finance and M.A. in Economics from San Jose State University.</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Directors</w:t>
      </w:r>
    </w:p>
    <w:p>
      <w:pPr>
        <w:spacing w:after="0" w:line="78" w:lineRule="exact"/>
        <w:rPr>
          <w:sz w:val="20"/>
          <w:szCs w:val="20"/>
          <w:color w:val="auto"/>
        </w:rPr>
      </w:pPr>
    </w:p>
    <w:p>
      <w:pPr>
        <w:ind w:left="1980" w:right="1119"/>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Jay Chun, M.D., Ph.D. </w:t>
      </w:r>
      <w:r>
        <w:rPr>
          <w:rFonts w:ascii="Times New Roman" w:cs="Times New Roman" w:eastAsia="Times New Roman" w:hAnsi="Times New Roman"/>
          <w:sz w:val="12"/>
          <w:szCs w:val="12"/>
          <w:color w:val="auto"/>
        </w:rPr>
        <w:t>Dr. Chun has served as a member of our Board since September 22, 2023. Dr. Chun served as the Chief of Neurosurgery 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Overlook Medical Center at Atlantic Health System from June 2015 to June 2023, and as Director of the Atlantic Health Spine Center at Overlook Medical Center from September 2022 to May 2024. Dr. Chun has served as a member of our Scientific Advisory Board since August 2021 and previously served as a member of Celularity, Inc.’s (Nasdaq: CELU) Scientific Advisory Board from September 2020 to January 2023. Dr. Chun completed his M.D. and Ph.D. at Columbia University College of Physicians</w:t>
      </w:r>
    </w:p>
    <w:p>
      <w:pPr>
        <w:spacing w:after="0" w:line="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201</w:t>
      </w:r>
    </w:p>
    <w:p>
      <w:pPr>
        <w:sectPr>
          <w:pgSz w:w="11900" w:h="16838" w:orient="portrait"/>
          <w:cols w:equalWidth="0" w:num="1">
            <w:col w:w="10159"/>
          </w:cols>
          <w:pgMar w:left="300" w:top="368" w:right="1440"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5" w:lineRule="auto"/>
        <w:rPr>
          <w:sz w:val="20"/>
          <w:szCs w:val="20"/>
          <w:color w:val="auto"/>
        </w:rPr>
      </w:pPr>
      <w:r>
        <w:rPr>
          <w:rFonts w:ascii="Times New Roman" w:cs="Times New Roman" w:eastAsia="Times New Roman" w:hAnsi="Times New Roman"/>
          <w:sz w:val="12"/>
          <w:szCs w:val="12"/>
          <w:color w:val="auto"/>
        </w:rPr>
        <w:t>and Surgeons. His neurosurgical residency was completed at the University of California at San Francisco, followed by specialization in the discipline of complex and minimally invasive spine surgery at Emory University in Atlanta, Georgia. Dr. Chun is board certified and specializes in complex and minimally invasive spine surgery as well as artificial discs. While a member of the Columbia University faculty from June 1995 to June 1997, Dr. Chun worked in the field of biotechnology. He has received many honors including Medical Research Fellowships from NIH, working with the late Nobel Laureate Marshall Nirenberg. He received his Ph.D. with Richard Axel, a recipient of the 2004 Nobel Prize. In honor of his stem cell research, he received the NIH Individual National Research Service Award. We believe that Mr. Chun’s experience as a member of our Scientific Advisory Board, extensive scientific background and business experience qualify him to serve on our Board.</w:t>
      </w:r>
    </w:p>
    <w:p>
      <w:pPr>
        <w:spacing w:after="0" w:line="122"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Dorman Followwill</w:t>
      </w:r>
      <w:r>
        <w:rPr>
          <w:rFonts w:ascii="Times New Roman" w:cs="Times New Roman" w:eastAsia="Times New Roman" w:hAnsi="Times New Roman"/>
          <w:sz w:val="12"/>
          <w:szCs w:val="12"/>
          <w:color w:val="auto"/>
        </w:rPr>
        <w:t>. Mr. Followwill has served as a member of our Board since November 10, 2022. Prior to that, he served as a director of Legacy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Scilex from April 2022 to November 2022, as a director of Sorrento from October 2017 to April 2024 and as its lead independent director from August 2020 to April 2024. From 2016 to September 2020, Mr. Followwill was Senior Partner of Transformational Health at Frost &amp; Sullivan, a business consulting firm involved in market research and analysis, growth strategy consulting and corporate training across multiple industries. Prior to that time, he served in various roles at Frost &amp; Sullivan, including Partner on the Executive Committee managing the P&amp;L of the business in Europe, Israel and Africa, and Partner overseeing the Healthcare and Life Sciences business in North America, since initially joining Frost &amp; Sullivan to help found the Consulting practice in January 1988. Mr. Followwill has more than 30 years of organizational leadership and management consulting experience, having worked on hundreds of consulting projects across all major regions and across multiple industry sectors, each project focused around the strategic imperative of growth. He holds a B.A. from Stanford University in The Management of Organizations. We believe that Mr. Followwill’s extensive knowledge and understanding of the healthcare and life sciences industries qualify him to serve on our Board.</w:t>
      </w:r>
    </w:p>
    <w:p>
      <w:pPr>
        <w:spacing w:after="0" w:line="124"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Annu Navani, M.D.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Dr. Navani has served as a member of our Board since July 21, 2024. Dr. Navani founded and has served as the Chief Executive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 of Comprehensive Spine and Sports Center from 2013 until 2022 as a leader in interventional and multidisciplinary spine, musculoskeletal and orthopedic care. She has also been serving as the Chief Medical Officer at Boomerang Healthcare since May 2022. Over the last decade, she has scaled a solo practice to a large multispecialty group practice with more than twenty service lines that operate via multiple state-of-the-art centers in Northern and Southern California. Since 2003, Dr. Navani has served as a Clinical Professor in the Division of Pain Medicine at Stanford University School of Medicine. She has also served as an Advisor to Le Reve Regenerative Wellness, the center for cutting edge restorative and regenerative solutions for clinical applications and research, since 2013. Dr. Navani completed her Anesthesiology residency at the Medical College of Wisconsin, Milwaukee and Fellowship in Pain Medicine at the University of California, Davis. She is board certified in Anesthesiology and Pain Medicine by American Board of Anesthesiology, in Interventional Pain by American Board of Interventional Pain Physicians and in Regenerative Medicine by American Board of Regenerative Medicine. We believe that Dr. Navani’s scientific background and business experience in various roles in the life sciences industry qualify her to serve on our Board.</w:t>
      </w:r>
    </w:p>
    <w:p>
      <w:pPr>
        <w:spacing w:after="0" w:line="122" w:lineRule="exact"/>
        <w:rPr>
          <w:sz w:val="20"/>
          <w:szCs w:val="20"/>
          <w:color w:val="auto"/>
        </w:rPr>
      </w:pPr>
    </w:p>
    <w:p>
      <w:pPr>
        <w:ind w:left="1980" w:right="959"/>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 xml:space="preserve">Yue Alexander Wu, Ph.D. </w:t>
      </w:r>
      <w:r>
        <w:rPr>
          <w:rFonts w:ascii="Times New Roman" w:cs="Times New Roman" w:eastAsia="Times New Roman" w:hAnsi="Times New Roman"/>
          <w:sz w:val="12"/>
          <w:szCs w:val="12"/>
          <w:color w:val="auto"/>
        </w:rPr>
        <w:t>Dr. Wu has served as a member of our Board since September 22, 2023. Dr. Wu is the co-founder and Chief Executive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 of Cothera Bioscience, Inc., a translation medicine and precision therapeutics company developing cancer therapeutics for previously undruggable targets. He was previously President, Chief Executive Officer and Chief Strategy Officer of Crown Bioscience International, a leading global drug discovery and development solutions company, which he co-founded in 2006, until 2017. From 2004 to 2006, Dr. Wu was Chief Business Officer of Starvax International Inc. in Beijing, China, a biotechnology company focusing on oncology and infectious diseases. From 2001 to 2004, Dr. Wu was a venture capitalist with Burrill &amp; Company where he was head of Asian Activities. Dr. Wu has served as a director of CASI Pharmaceuticals, Inc. (Nasdaq: CASI) since June 2013 and Sorrento from August 2016 to April 2024. Dr. Wu received his Ph.D. in Molecular Cell Biology and his M.B.A. from University of California at Berkeley. He earned an M.S. in Biochemistry from University of Illinois, Urbana-Champaign and his B.S. in Biochemistry</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202</w:t>
      </w:r>
    </w:p>
    <w:p>
      <w:pPr>
        <w:sectPr>
          <w:pgSz w:w="11900" w:h="16838" w:orient="portrait"/>
          <w:cols w:equalWidth="0" w:num="1">
            <w:col w:w="10159"/>
          </w:cols>
          <w:pgMar w:left="300" w:top="368" w:right="1440"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79" w:lineRule="auto"/>
        <w:rPr>
          <w:sz w:val="20"/>
          <w:szCs w:val="20"/>
          <w:color w:val="auto"/>
        </w:rPr>
      </w:pPr>
      <w:r>
        <w:rPr>
          <w:rFonts w:ascii="Times New Roman" w:cs="Times New Roman" w:eastAsia="Times New Roman" w:hAnsi="Times New Roman"/>
          <w:sz w:val="12"/>
          <w:szCs w:val="12"/>
          <w:color w:val="auto"/>
        </w:rPr>
        <w:t>from Fudan University in Shanghai, China. We believe that Dr. Wu’s scientific background and business experience in various roles in the life sciences industry qualify him to serve on our Board.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Family Relationships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There are no family relationships among any of the individuals who serve as our directors or executive officers.</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 xml:space="preserve">On February 13, 2023, Sorrento (our former controlling stockholder), together with its wholly owned direct subsidiary, Scintilla Pharmaceuticals, Inc., commenced voluntary proceedings under Chapter 11 of the United States Bankruptcy Code in the Bankruptcy Court, jointly administered under the caption </w:t>
      </w:r>
      <w:r>
        <w:rPr>
          <w:rFonts w:ascii="Times New Roman" w:cs="Times New Roman" w:eastAsia="Times New Roman" w:hAnsi="Times New Roman"/>
          <w:sz w:val="12"/>
          <w:szCs w:val="12"/>
          <w:i w:val="1"/>
          <w:iCs w:val="1"/>
          <w:color w:val="auto"/>
        </w:rPr>
        <w:t>In re Sorrento Therapeutics, Inc., et al.</w:t>
      </w:r>
      <w:r>
        <w:rPr>
          <w:rFonts w:ascii="Times New Roman" w:cs="Times New Roman" w:eastAsia="Times New Roman" w:hAnsi="Times New Roman"/>
          <w:sz w:val="12"/>
          <w:szCs w:val="12"/>
          <w:color w:val="auto"/>
        </w:rPr>
        <w:t xml:space="preserve"> (Case Number: 23-90085 (DRJ)). While we were majority-owned by Sorrento when the voluntary proceedings were commenced, we were not (and are not) a debtor in Sorrento’s voluntary Chapter 11 filing. As of September 21, 2023, Sorrento no longer held a majority of the voting power of our outstanding capital stock entitled to vote.</w:t>
      </w:r>
    </w:p>
    <w:p>
      <w:pPr>
        <w:spacing w:after="0" w:line="12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At the time of the Chapter 11 filing, Dr. Ji was and continues to serve as Chairman of the board of directors, President and Chief Executive Officer of Sorrento; Mr. Shah was serving as a director of Sorrento and served as a director until November 2023; Dr. Wu was serving as a director of Sorrento and served as a director until April 2024; and Mr. Followwill was serving as a director of Sorrento and served as a director until April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Composition</w:t>
      </w:r>
    </w:p>
    <w:p>
      <w:pPr>
        <w:spacing w:after="0" w:line="82" w:lineRule="exact"/>
        <w:rPr>
          <w:sz w:val="20"/>
          <w:szCs w:val="20"/>
          <w:color w:val="auto"/>
        </w:rPr>
      </w:pPr>
    </w:p>
    <w:p>
      <w:pPr>
        <w:jc w:val="both"/>
        <w:ind w:left="1980" w:right="1239" w:firstLine="294"/>
        <w:spacing w:after="0" w:line="265" w:lineRule="auto"/>
        <w:rPr>
          <w:sz w:val="20"/>
          <w:szCs w:val="20"/>
          <w:color w:val="auto"/>
        </w:rPr>
      </w:pPr>
      <w:r>
        <w:rPr>
          <w:rFonts w:ascii="Times New Roman" w:cs="Times New Roman" w:eastAsia="Times New Roman" w:hAnsi="Times New Roman"/>
          <w:sz w:val="12"/>
          <w:szCs w:val="12"/>
          <w:color w:val="auto"/>
        </w:rPr>
        <w:t xml:space="preserve">Our business and affairs are managed under the direction of our Board, which currently consists of six members. Dr. Ji serves as Executive Chairperson of our Board. The primary responsibilities of our Board are to provide oversight, strategic guidance, counseling and direction to our management. Our Board meets on a regular basis and on an </w:t>
      </w:r>
      <w:r>
        <w:rPr>
          <w:rFonts w:ascii="Times New Roman" w:cs="Times New Roman" w:eastAsia="Times New Roman" w:hAnsi="Times New Roman"/>
          <w:sz w:val="12"/>
          <w:szCs w:val="12"/>
          <w:i w:val="1"/>
          <w:iCs w:val="1"/>
          <w:color w:val="auto"/>
        </w:rPr>
        <w:t>ad hoc</w:t>
      </w:r>
      <w:r>
        <w:rPr>
          <w:rFonts w:ascii="Times New Roman" w:cs="Times New Roman" w:eastAsia="Times New Roman" w:hAnsi="Times New Roman"/>
          <w:sz w:val="12"/>
          <w:szCs w:val="12"/>
          <w:color w:val="auto"/>
        </w:rPr>
        <w:t xml:space="preserve"> basis as required.</w:t>
      </w:r>
    </w:p>
    <w:p>
      <w:pPr>
        <w:spacing w:after="0" w:line="119"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In accordance with the terms of our Certificate of Incorporation and our Bylaws, our Board is divided into three classes with staggered three-year terms, as follows:</w:t>
      </w:r>
    </w:p>
    <w:p>
      <w:pPr>
        <w:spacing w:after="0" w:line="48" w:lineRule="exact"/>
        <w:rPr>
          <w:sz w:val="20"/>
          <w:szCs w:val="20"/>
          <w:color w:val="auto"/>
        </w:rPr>
      </w:pPr>
    </w:p>
    <w:p>
      <w:pPr>
        <w:ind w:left="2620" w:hanging="288"/>
        <w:spacing w:after="0"/>
        <w:tabs>
          <w:tab w:leader="none" w:pos="26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 director is Dorman Followwill, and his term will expire at our annual meeting of stockholders to be held in 2026;</w:t>
      </w:r>
    </w:p>
    <w:p>
      <w:pPr>
        <w:spacing w:after="0" w:line="87" w:lineRule="exact"/>
        <w:rPr>
          <w:rFonts w:ascii="Times New Roman" w:cs="Times New Roman" w:eastAsia="Times New Roman" w:hAnsi="Times New Roman"/>
          <w:sz w:val="12"/>
          <w:szCs w:val="12"/>
          <w:color w:val="auto"/>
        </w:rPr>
      </w:pPr>
    </w:p>
    <w:p>
      <w:pPr>
        <w:ind w:left="2620" w:right="1119" w:hanging="288"/>
        <w:spacing w:after="0" w:line="279" w:lineRule="auto"/>
        <w:tabs>
          <w:tab w:leader="none" w:pos="26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II directors are Jay Chun, M.D., Ph.D., Yue Alexander Wu, Ph.D., and Annu Navani, M.D. and their term will expire at our annual meeting of stockholders to be held in 2027; and</w:t>
      </w:r>
    </w:p>
    <w:p>
      <w:pPr>
        <w:spacing w:after="0" w:line="48" w:lineRule="exact"/>
        <w:rPr>
          <w:rFonts w:ascii="Times New Roman" w:cs="Times New Roman" w:eastAsia="Times New Roman" w:hAnsi="Times New Roman"/>
          <w:sz w:val="12"/>
          <w:szCs w:val="12"/>
          <w:color w:val="auto"/>
        </w:rPr>
      </w:pPr>
    </w:p>
    <w:p>
      <w:pPr>
        <w:ind w:left="2620" w:right="1079" w:hanging="288"/>
        <w:spacing w:after="0" w:line="279" w:lineRule="auto"/>
        <w:tabs>
          <w:tab w:leader="none" w:pos="2620"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III directors are Henry Ji, Ph.D. and Jaisim Shah, and their term will expire at our annual meeting of stockholders to be held in 2025.</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At each annual meeting of stockholders, the successors to directors whose terms will then expire will be elected to serve from the time of election and qualification until the third annual meeting following their election. The authorized number of directors that shall constitute our Board will be determined exclusively by our Board. Any increase or decrease in the number of directors will be apportioned among the three classes so that, as nearly equal as practicable, each class will consist of one-third of the directors. No decrease in the number of directors constituting our Board will shorten the term of any incumbent director. Our directors may be removed only for cause and only by the affirmative vote of the holders of at least 66 2/3% in voting power of all the then-outstanding shares of our capital stock entitled to vote thereon, voting together as a single class.</w:t>
      </w:r>
    </w:p>
    <w:p>
      <w:pPr>
        <w:spacing w:after="0" w:line="125" w:lineRule="exact"/>
        <w:rPr>
          <w:sz w:val="20"/>
          <w:szCs w:val="20"/>
          <w:color w:val="auto"/>
        </w:rPr>
      </w:pPr>
    </w:p>
    <w:p>
      <w:pPr>
        <w:jc w:val="both"/>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Subject to applicable law and our Certificate of Incorporation, and subject to the rights of the holders of any series of our preferred stock, any vacancy on our Board shall be filled only by our Board and not by our stockholders. Any director elected in accordance with the preceding sentence shall hold office until the annual</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203</w:t>
      </w:r>
    </w:p>
    <w:p>
      <w:pPr>
        <w:sectPr>
          <w:pgSz w:w="11900" w:h="16838" w:orient="portrait"/>
          <w:cols w:equalWidth="0" w:num="1">
            <w:col w:w="10159"/>
          </w:cols>
          <w:pgMar w:left="300" w:top="368"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59"/>
        <w:spacing w:after="0" w:line="279" w:lineRule="auto"/>
        <w:rPr>
          <w:sz w:val="20"/>
          <w:szCs w:val="20"/>
          <w:color w:val="auto"/>
        </w:rPr>
      </w:pPr>
      <w:r>
        <w:rPr>
          <w:rFonts w:ascii="Times New Roman" w:cs="Times New Roman" w:eastAsia="Times New Roman" w:hAnsi="Times New Roman"/>
          <w:sz w:val="12"/>
          <w:szCs w:val="12"/>
          <w:color w:val="auto"/>
        </w:rPr>
        <w:t>meeting of stockholders for the election of directors of the class to which he or she has been appointed and until his or her successor has been duly elected and qualified, subject, however, to such director’s earlier death, resignation, retirement, removal or disqualification.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82"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Under the Nasdaq Listing Rules, a majority of the members of our Board must satisfy Nasdaq’s criteria for “independence.” Our Board has determined that each of the directors on our Board, other than Dr. Ji and Mr. Shah (as a result of their positions as our Executive Chairperson and our Chief Executive Officer, respectively), qualifies as an independent director, as defined by Rule 5605(a)(2) of the Nasdaq Listing Rules, and our Board consists of a majority of “independent directors” as defined under the rules of the SEC and Nasdaq relating to director independence requirements. In addition, we are subject to the rules of the SEC and Nasdaq relating to the membership, qualifications and operations of our Audit Committee, as discussed below.</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Role of Board in Risk Oversight Process</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Risk assessment and oversight are an integral part of our governance and management processes. Our Board encourages management to promote a culture that incorporates risk management into its corporate strategy and day-to-day business operations. Management discusses strategic and operational (including cybersecurity) risks at regular management meetings, and conducts specific strategic planning and review sessions during the year that include a focused discussion and analysis of the risks we face. Throughout the year, senior management reviews these risks with our Board at regular board meetings as part of management presentations that focus on particular business functions, operations or strategies, and presents the steps taken by management to mitigate or eliminate such risks.</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Our Board is responsible for overseeing our overall risk management process. The responsibility for managing risk rests with executive management while the committees of our Board and our Board as a whole participate in the oversight process. Our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with respect to areas of potential material risk, including operations, finance, legal, regulatory, cybersecurity, strategic and reputational risk.</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82" w:lineRule="exact"/>
        <w:rPr>
          <w:sz w:val="20"/>
          <w:szCs w:val="20"/>
          <w:color w:val="auto"/>
        </w:rPr>
      </w:pPr>
    </w:p>
    <w:p>
      <w:pPr>
        <w:jc w:val="both"/>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Our Bylaws provide our Board with the discretion to combine or separate the positions of Chief Executive Officer and Executive Chairperson of our Board. Our Board is chaired by Dr. Ji. Our Board believes that separation of the positions of Chief Executive Officer and Executive Chairperson of our Board creates an environment that encourages objective oversight of management’s performance and enhances the effectiveness of our Board as a whole. We believe that this separation of responsibilities provides a balanced approach to managing our Board and overseeing the Company. However, our Board will continue to periodically review its leadership structure and may make such changes in the future as it deems appropriate.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Board Diversity</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In evaluating a director candidate’s qualifications, our Board assesses whether a candidate possesses the integrity, judgment, knowledge, experience, skills and expertise that are likely to enhance our ability, as well as the ability of the committees of our Board, to manage and direct our affairs and business. Our Board may consider many factors, such as: personal and professional integrity, ethics and values, experience in corporate management, such as serving as an officer or former officer of a publicly held company, and experience as a board member or executive officer of another publicly held company. In addition, our Board may consider diversity in identifying potential director nominees, including diversity of expertise and experience in substantive matters pertaining to our business relative to other board members and diversity of background and perspective, including, but not limited to, with respect to age, gender, race, place of residence and specialized experience.</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204</w:t>
      </w:r>
    </w:p>
    <w:p>
      <w:pPr>
        <w:sectPr>
          <w:pgSz w:w="11900" w:h="16838" w:orient="portrait"/>
          <w:cols w:equalWidth="0" w:num="1">
            <w:col w:w="10159"/>
          </w:cols>
          <w:pgMar w:left="300" w:top="368" w:right="1440"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Committees of our Board</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 xml:space="preserve">The standing committees of our Board are as follows: the Audit Committee, a compensation committee (the “Compensation Committee”) and a nominating and corporate governance committee (the “Nominating and Corporate Governance Committee”). Our Board has adopted a charter for each of these committees, which complies with the applicable requirements of current Nasdaq Listing Rules. In addition, our Board has established a commercialization and transaction committee (the “C&amp;T Committee”). Copies of the charters for the Audit Committee, the Compensation Committee and the Nominating and Corporate Governance Committee are available on the investor relations portion of our website at </w:t>
      </w:r>
      <w:r>
        <w:rPr>
          <w:rFonts w:ascii="Times New Roman" w:cs="Times New Roman" w:eastAsia="Times New Roman" w:hAnsi="Times New Roman"/>
          <w:sz w:val="12"/>
          <w:szCs w:val="12"/>
          <w:i w:val="1"/>
          <w:iCs w:val="1"/>
          <w:color w:val="auto"/>
        </w:rPr>
        <w:t>www.scilexholding.com</w:t>
      </w:r>
      <w:r>
        <w:rPr>
          <w:rFonts w:ascii="Times New Roman" w:cs="Times New Roman" w:eastAsia="Times New Roman" w:hAnsi="Times New Roman"/>
          <w:sz w:val="12"/>
          <w:szCs w:val="12"/>
          <w:color w:val="auto"/>
        </w:rPr>
        <w:t>. The composition and responsibilities of each of the committees of our Board are as set forth below. The reference to our website address does not constitute incorporation by reference of the information contained at or available or accessible through our website, and you should not consider it to be a part of this prospectus. Members will serve on these committees until their resignation or removal or until otherwise determined by our Board. Our Board may establish other committees as it deems necessary or appropriate from time to time.</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Our Audit Committee consists of Dorman Followwill, Jay Chun, M.D., Ph.D. and Yue Alexander Wu, Ph.D., with Dorman Followwill serving as the chairperson of the committee. Each of the members of the Audit Committee satisfies the independence requirements under the applicable Nasdaq Listing Rules and SEC rules. Each member of the Audit Committee can read and understand fundamental financial statements under the applicable rules and regulations of the SEC and Nasdaq Listing Rules.</w:t>
      </w:r>
    </w:p>
    <w:p>
      <w:pPr>
        <w:spacing w:after="0" w:line="122" w:lineRule="exact"/>
        <w:rPr>
          <w:sz w:val="20"/>
          <w:szCs w:val="20"/>
          <w:color w:val="auto"/>
        </w:rPr>
      </w:pPr>
    </w:p>
    <w:p>
      <w:pPr>
        <w:ind w:left="1980" w:right="839" w:firstLine="294"/>
        <w:spacing w:after="0" w:line="286" w:lineRule="auto"/>
        <w:rPr>
          <w:sz w:val="20"/>
          <w:szCs w:val="20"/>
          <w:color w:val="auto"/>
        </w:rPr>
      </w:pPr>
      <w:r>
        <w:rPr>
          <w:rFonts w:ascii="Times New Roman" w:cs="Times New Roman" w:eastAsia="Times New Roman" w:hAnsi="Times New Roman"/>
          <w:sz w:val="11"/>
          <w:szCs w:val="11"/>
          <w:color w:val="auto"/>
        </w:rPr>
        <w:t>The responsibilities of the Audit Committee are included in a written charter. The Audit Committee assists our Board in fulfilling our Board’s oversight responsibilities with respect to our accounting and financial reporting processes, the systems of internal control over financial reporting and audits of financial statements and reports, the performance of our internal audit function, the quality and integrity of our financial statements and reports, the qualifications, independence and performance of our independent registered public accounting firm, and our compliance with legal and regulatory requirements. For this purpose, the Audit Committee performs several functions. The Audit Committee’s responsibilities include, among others:</w:t>
      </w:r>
    </w:p>
    <w:p>
      <w:pPr>
        <w:spacing w:after="0" w:line="47" w:lineRule="exact"/>
        <w:rPr>
          <w:sz w:val="20"/>
          <w:szCs w:val="20"/>
          <w:color w:val="auto"/>
        </w:rPr>
      </w:pPr>
    </w:p>
    <w:p>
      <w:pPr>
        <w:ind w:left="2620" w:right="959" w:hanging="288"/>
        <w:spacing w:after="0" w:line="279" w:lineRule="auto"/>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48"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 to commencement of the audit engagement, reviewing and discussing with the independent registered public accounting firm a written disclosure by the prospective independent registered public accounting firm of all relationships between us, or persons in financial oversight roles with us, and such independent registered public accounting firm or their affiliates;</w:t>
      </w:r>
    </w:p>
    <w:p>
      <w:pPr>
        <w:spacing w:after="0" w:line="55"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and approving engagements of the independent registered public accounting firm, prior to commencement of the engagement, and the scope of and plans for the audit;</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the rotation of partners of the independent registered public accounting firm on our audit engagement;</w:t>
      </w:r>
    </w:p>
    <w:p>
      <w:pPr>
        <w:spacing w:after="0" w:line="87" w:lineRule="exact"/>
        <w:rPr>
          <w:rFonts w:ascii="Times New Roman" w:cs="Times New Roman" w:eastAsia="Times New Roman" w:hAnsi="Times New Roman"/>
          <w:sz w:val="12"/>
          <w:szCs w:val="12"/>
          <w:color w:val="auto"/>
        </w:rPr>
      </w:pPr>
    </w:p>
    <w:p>
      <w:pPr>
        <w:ind w:left="2620" w:right="1119" w:hanging="288"/>
        <w:spacing w:after="0" w:line="279" w:lineRule="auto"/>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48" w:lineRule="exact"/>
        <w:rPr>
          <w:rFonts w:ascii="Times New Roman" w:cs="Times New Roman" w:eastAsia="Times New Roman" w:hAnsi="Times New Roman"/>
          <w:sz w:val="12"/>
          <w:szCs w:val="12"/>
          <w:color w:val="auto"/>
        </w:rPr>
      </w:pPr>
    </w:p>
    <w:p>
      <w:pPr>
        <w:ind w:left="2620" w:right="919" w:hanging="288"/>
        <w:spacing w:after="0" w:line="265" w:lineRule="auto"/>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55"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the results of management’s efforts to monitor compliance with our programs and policies designed to ensure compliance with laws and rules;</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205</w:t>
      </w:r>
    </w:p>
    <w:p>
      <w:pPr>
        <w:sectPr>
          <w:pgSz w:w="11900" w:h="16838" w:orient="portrait"/>
          <w:cols w:equalWidth="0" w:num="1">
            <w:col w:w="10159"/>
          </w:cols>
          <w:pgMar w:left="300" w:top="368" w:right="1440"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899" w:hanging="288"/>
        <w:spacing w:after="0" w:line="279" w:lineRule="auto"/>
        <w:tabs>
          <w:tab w:leader="none" w:pos="26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our programs, policies, and procedures related to our information technology systems, including information asset security and data protection; and</w:t>
      </w:r>
    </w:p>
    <w:p>
      <w:pPr>
        <w:spacing w:after="0" w:line="48" w:lineRule="exact"/>
        <w:rPr>
          <w:rFonts w:ascii="Times New Roman" w:cs="Times New Roman" w:eastAsia="Times New Roman" w:hAnsi="Times New Roman"/>
          <w:sz w:val="12"/>
          <w:szCs w:val="12"/>
          <w:color w:val="auto"/>
        </w:rPr>
      </w:pPr>
    </w:p>
    <w:p>
      <w:pPr>
        <w:ind w:left="2620" w:right="919" w:hanging="288"/>
        <w:spacing w:after="0" w:line="257" w:lineRule="auto"/>
        <w:tabs>
          <w:tab w:leader="none" w:pos="26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25" w:lineRule="exact"/>
        <w:rPr>
          <w:sz w:val="20"/>
          <w:szCs w:val="20"/>
          <w:color w:val="auto"/>
        </w:rPr>
      </w:pPr>
    </w:p>
    <w:p>
      <w:pPr>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Dorman Followwill qualifies as an audit committee financial expert within the meaning of SEC regulations and each of Dorman Followwill, Jay Chun, M.D., Ph.D. and Yue Alexander Wu, Ph.D. meets the financial sophistication requirements under the Nasdaq Listing Rules. Our independent registered public accounting firm and our management periodically meet separately with the Audit Committee.</w:t>
      </w:r>
    </w:p>
    <w:p>
      <w:pPr>
        <w:spacing w:after="0" w:line="119" w:lineRule="exact"/>
        <w:rPr>
          <w:sz w:val="20"/>
          <w:szCs w:val="20"/>
          <w:color w:val="auto"/>
        </w:rPr>
      </w:pPr>
    </w:p>
    <w:p>
      <w:pPr>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The Audit Committee reviews, discusses and assesses its own performance and composition at least annually. The Audit Committee also periodically reviews and assesses the adequacy of its charter, including its role and responsibilities as outlined in its charter, and recommends any proposed changes to our Board for its consideration and approval.</w:t>
      </w:r>
    </w:p>
    <w:p>
      <w:pPr>
        <w:spacing w:after="0" w:line="119"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The composition and functioning of the Audit Committee complies with all applicable requirements of the Sarbanes-Oxley Act and all applicable SEC rules and Nasdaq Listing Rules. We intend to comply with future requirements to the extent they become applicable to 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8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Our Compensation Committee consists of Dorman Followwill, Jay Chun, M.D., Ph.D. and Yue Alexander Wu, Ph.D., with Yue Alexander Wu, Ph.D. serving as the chairperson of the committee. Dorman Followwill, Jay Chun, M.D., Ph.D. and Yue Alexander Wu, Ph.D. each satisfy the independence requirements under the Nasdaq Listing Rules. Each of the members of the Compensation Committee is a non-employee director as defined in Rule 16b-3 promulgated under the Exchange Act and satisfies Nasdaq independence requirements. The Compensation Committee acts on behalf of our Board to fulfill our Board’s responsibilities in overseeing our compensation policies, plans and programs, and in reviewing and determining the compensation to be paid to our executive officers and non-employee directors. The responsibilities of the Compensation Committee are included in its written charter. The Compensation Committee’s responsibilities include, among others:</w:t>
      </w:r>
    </w:p>
    <w:p>
      <w:pPr>
        <w:spacing w:after="0" w:line="63" w:lineRule="exact"/>
        <w:rPr>
          <w:sz w:val="20"/>
          <w:szCs w:val="20"/>
          <w:color w:val="auto"/>
        </w:rPr>
      </w:pPr>
    </w:p>
    <w:p>
      <w:pPr>
        <w:ind w:left="2620" w:right="999" w:hanging="288"/>
        <w:spacing w:after="0" w:line="265" w:lineRule="auto"/>
        <w:tabs>
          <w:tab w:leader="none" w:pos="26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modifying and approving (or, if it deems appropriate, making recommendations to our Board regarding) our overall compensation strategy and policies, and reviewing, modifying and approving corporate performance goals and objectives relevant to the compensation of our executive officers and other senior management;</w:t>
      </w:r>
    </w:p>
    <w:p>
      <w:pPr>
        <w:spacing w:after="0" w:line="55" w:lineRule="exact"/>
        <w:rPr>
          <w:rFonts w:ascii="Times New Roman" w:cs="Times New Roman" w:eastAsia="Times New Roman" w:hAnsi="Times New Roman"/>
          <w:sz w:val="12"/>
          <w:szCs w:val="12"/>
          <w:color w:val="auto"/>
        </w:rPr>
      </w:pPr>
    </w:p>
    <w:p>
      <w:pPr>
        <w:ind w:left="2620" w:right="879" w:hanging="288"/>
        <w:spacing w:after="0" w:line="265" w:lineRule="auto"/>
        <w:tabs>
          <w:tab w:leader="none" w:pos="26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and approving (or, if it deems appropriate, recommending to our Board for determination and approval) the compensation and terms of employment of our Chief Executive Officer, including seeking to achieve an appropriate level of risk and reward in determining the long-term incentive component of the compensation of the Chief Executive Officer;</w:t>
      </w:r>
    </w:p>
    <w:p>
      <w:pPr>
        <w:spacing w:after="0" w:line="55"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and approving (or, if it deems appropriate, recommending to our Board for determination and approval) the compensation and terms of employment of our executive officers and other members of senior management;</w:t>
      </w:r>
    </w:p>
    <w:p>
      <w:pPr>
        <w:spacing w:after="0" w:line="48" w:lineRule="exact"/>
        <w:rPr>
          <w:rFonts w:ascii="Times New Roman" w:cs="Times New Roman" w:eastAsia="Times New Roman" w:hAnsi="Times New Roman"/>
          <w:sz w:val="12"/>
          <w:szCs w:val="12"/>
          <w:color w:val="auto"/>
        </w:rPr>
      </w:pPr>
    </w:p>
    <w:p>
      <w:pPr>
        <w:ind w:left="2620" w:right="1099" w:hanging="288"/>
        <w:spacing w:after="0" w:line="265" w:lineRule="auto"/>
        <w:tabs>
          <w:tab w:leader="none" w:pos="262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(or, if it deems appropriate, making recommendations to our Board regarding) the terms of employment agreements, severance agreements, change-of-control protections and other compensatory arrangements for our executive officers and other members of senior management;</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206</w:t>
      </w:r>
    </w:p>
    <w:p>
      <w:pPr>
        <w:sectPr>
          <w:pgSz w:w="11900" w:h="16838" w:orient="portrait"/>
          <w:cols w:equalWidth="0" w:num="1">
            <w:col w:w="10159"/>
          </w:cols>
          <w:pgMar w:left="300" w:top="368" w:right="1440"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periodic reviews of the base compensation levels of all of our employees generally;</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type and amount of compensation to be paid or awarded to non-employee directors;</w:t>
      </w:r>
    </w:p>
    <w:p>
      <w:pPr>
        <w:spacing w:after="0" w:line="87" w:lineRule="exact"/>
        <w:rPr>
          <w:rFonts w:ascii="Times New Roman" w:cs="Times New Roman" w:eastAsia="Times New Roman" w:hAnsi="Times New Roman"/>
          <w:sz w:val="12"/>
          <w:szCs w:val="12"/>
          <w:color w:val="auto"/>
        </w:rPr>
      </w:pPr>
    </w:p>
    <w:p>
      <w:pPr>
        <w:ind w:left="2620" w:right="899" w:hanging="288"/>
        <w:spacing w:after="0" w:line="257" w:lineRule="auto"/>
        <w:tabs>
          <w:tab w:leader="none" w:pos="26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adoption, amendment and termination of our equity incentive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 and</w:t>
      </w:r>
    </w:p>
    <w:p>
      <w:pPr>
        <w:spacing w:after="0" w:line="62" w:lineRule="exact"/>
        <w:rPr>
          <w:rFonts w:ascii="Times New Roman" w:cs="Times New Roman" w:eastAsia="Times New Roman" w:hAnsi="Times New Roman"/>
          <w:sz w:val="12"/>
          <w:szCs w:val="12"/>
          <w:color w:val="auto"/>
        </w:rPr>
      </w:pPr>
    </w:p>
    <w:p>
      <w:pPr>
        <w:ind w:left="2620" w:right="959" w:hanging="288"/>
        <w:spacing w:after="0" w:line="265" w:lineRule="auto"/>
        <w:tabs>
          <w:tab w:leader="none" w:pos="26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w:t>
      </w:r>
    </w:p>
    <w:p>
      <w:pPr>
        <w:spacing w:after="0" w:line="119"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In addition, once we cease to be an “emerging growth company,” as defined in the JOBS Act, the responsibilities of the Compensation Committee will also include:</w:t>
      </w:r>
    </w:p>
    <w:p>
      <w:pPr>
        <w:spacing w:after="0" w:line="48" w:lineRule="exact"/>
        <w:rPr>
          <w:sz w:val="20"/>
          <w:szCs w:val="20"/>
          <w:color w:val="auto"/>
        </w:rPr>
      </w:pPr>
    </w:p>
    <w:p>
      <w:pPr>
        <w:ind w:left="2620" w:right="999" w:hanging="288"/>
        <w:spacing w:after="0" w:line="260" w:lineRule="auto"/>
        <w:tabs>
          <w:tab w:leader="none" w:pos="26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recommending to our Board for approval the frequency with which we conduct a vote on executive compensation, taking into account the results of the most recent stockholder advisory vote on the frequency of the vote on executive compensation, and reviewing and approving the proposals regarding the frequency of the vote on executive compensation to be included in our annual meeting proxy statements; and</w:t>
      </w:r>
    </w:p>
    <w:p>
      <w:pPr>
        <w:spacing w:after="0" w:line="59" w:lineRule="exact"/>
        <w:rPr>
          <w:rFonts w:ascii="Times New Roman" w:cs="Times New Roman" w:eastAsia="Times New Roman" w:hAnsi="Times New Roman"/>
          <w:sz w:val="12"/>
          <w:szCs w:val="12"/>
          <w:color w:val="auto"/>
        </w:rPr>
      </w:pPr>
    </w:p>
    <w:p>
      <w:pPr>
        <w:ind w:left="2620" w:right="1099" w:hanging="288"/>
        <w:spacing w:after="0" w:line="265" w:lineRule="auto"/>
        <w:tabs>
          <w:tab w:leader="none" w:pos="262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management our Compensation Discussion and Analysis, and recommending to our Board that the Compensation Discussion and Analysis be approved for inclusion in our annual reports on Form 10-K, registration statements and our annual meeting proxy statements.</w:t>
      </w:r>
    </w:p>
    <w:p>
      <w:pPr>
        <w:spacing w:after="0" w:line="119"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Under its charter, the Compensation Committee may form, and delegate authority to, subcommittees as appropriate. The Compensation Committee reviews, discusses and assesses its own performance and composition at least annually. The Compensation Committee also periodically reviews and assesses the adequacy of its charter, including its role and responsibilities as outlined in its charter, and recommends any proposed changes to our Board for its consideration and approval.</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Compensation Committee Processes and Procedures</w:t>
      </w:r>
    </w:p>
    <w:p>
      <w:pPr>
        <w:spacing w:after="0" w:line="80" w:lineRule="exact"/>
        <w:rPr>
          <w:sz w:val="20"/>
          <w:szCs w:val="20"/>
          <w:color w:val="auto"/>
        </w:rPr>
      </w:pPr>
    </w:p>
    <w:p>
      <w:pPr>
        <w:ind w:left="1980" w:right="879" w:firstLine="294"/>
        <w:spacing w:after="0" w:line="252" w:lineRule="auto"/>
        <w:rPr>
          <w:sz w:val="20"/>
          <w:szCs w:val="20"/>
          <w:color w:val="auto"/>
        </w:rPr>
      </w:pPr>
      <w:r>
        <w:rPr>
          <w:rFonts w:ascii="Times New Roman" w:cs="Times New Roman" w:eastAsia="Times New Roman" w:hAnsi="Times New Roman"/>
          <w:sz w:val="12"/>
          <w:szCs w:val="12"/>
          <w:color w:val="auto"/>
        </w:rPr>
        <w:t>The agenda for each meeting is usually developed by the chairperson of our Compensation Committee, in consultation with the Chief Executive Officer. Our Compensation Committee meets regularly in executive session. However, from time to time, various members of management and other employees as well as outside advisors or consultants may be invited by our Compensation Committee to make presentations, to provide financial or other background information or advice or to otherwise participate in Compensation Committee meetings. The Chief Executive Officer and the Executive Chairperson may not participate in, or be present during, any deliberations or determinations of our Compensation Committee regarding their compensation or individual performance objectives. The charter of our Compensation Committee grants our Compensation Committee full access to all books, records, facilities and personnel of the Company. In addition, under the charter, our Compensation Committee has the authority to obtain, at the expense of the Company, advice and assistance from compensation consultants and internal and external legal, accounting or other advisors and other external resources that our Compensation Committee considers necessary or appropriate in the performance of its duties. Our Compensation Committee has direct responsibility for the oversight of the work of any consultants or advisers engaged for the purpose of advising our Compensation Committee. In particular, our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our Compensation Committee may select, or receive advice</w:t>
      </w:r>
    </w:p>
    <w:p>
      <w:pPr>
        <w:spacing w:after="0" w:line="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207</w:t>
      </w:r>
    </w:p>
    <w:p>
      <w:pPr>
        <w:sectPr>
          <w:pgSz w:w="11900" w:h="16838" w:orient="portrait"/>
          <w:cols w:equalWidth="0" w:num="1">
            <w:col w:w="10159"/>
          </w:cols>
          <w:pgMar w:left="300" w:top="368"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59"/>
        <w:spacing w:after="0" w:line="265" w:lineRule="auto"/>
        <w:rPr>
          <w:sz w:val="20"/>
          <w:szCs w:val="20"/>
          <w:color w:val="auto"/>
        </w:rPr>
      </w:pPr>
      <w:r>
        <w:rPr>
          <w:rFonts w:ascii="Times New Roman" w:cs="Times New Roman" w:eastAsia="Times New Roman" w:hAnsi="Times New Roman"/>
          <w:sz w:val="12"/>
          <w:szCs w:val="12"/>
          <w:color w:val="auto"/>
        </w:rPr>
        <w:t>from, a compensation consultant, legal counsel or other adviser to our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19"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The composition and functioning of the Compensation Committee comply with all applicable requirements of the Sarbanes-Oxley Act and all applicable SEC rules and Nasdaq Listing Rules. We intend to comply with future requirements to the extent they become applicable to us.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8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Our Nominating and Corporate Governance Committee consists of Dorman Followwill, Jay Chun, M.D., Ph.D. and Yue Alexander Wu, Ph.D., with Jay Chun, M.D., Ph.D. serving as the chairperson of the committee. Dorman Followwill, Jay Chun, M.D., Ph.D. and Yue Alexander Wu, Ph.D. each satisfy the independence requirements under the Nasdaq Listing Rules. The responsibilities of the Nominating and Corporate Governance Committee are included in its written charter. The Nominating and Corporate Governance Committee acts on behalf of our Board to fulfill our Board’s responsibilities in overseeing all aspects of our nominating and corporate governance functions. The responsibilities of the Nominating and Corporate Governance Committee include, among others:</w:t>
      </w:r>
    </w:p>
    <w:p>
      <w:pPr>
        <w:spacing w:after="0" w:line="62" w:lineRule="exact"/>
        <w:rPr>
          <w:sz w:val="20"/>
          <w:szCs w:val="20"/>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recommendations to our Board regarding corporate governance issues;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identifying, reviewing and evaluating qualified candidates to serve as directors (consistent with criteria approved by our Board);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the minimum qualifications for service on our Board;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evaluating incumbent directors;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instituting and overseeing director orientation and director continuing education programs;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serving as a focal point for communication between candidates, non-committee directors and our management;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recommending to our Board for selection candidates to serve as nominees for director for the annual meeting of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other recommendations to our Board regarding matters relating to the directors;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succession plans for our Chief Executive Officer and our other executive officers;</w:t>
      </w:r>
    </w:p>
    <w:p>
      <w:pPr>
        <w:spacing w:after="0" w:line="87" w:lineRule="exact"/>
        <w:rPr>
          <w:rFonts w:ascii="Times New Roman" w:cs="Times New Roman" w:eastAsia="Times New Roman" w:hAnsi="Times New Roman"/>
          <w:sz w:val="12"/>
          <w:szCs w:val="12"/>
          <w:color w:val="auto"/>
        </w:rPr>
      </w:pPr>
    </w:p>
    <w:p>
      <w:pPr>
        <w:ind w:left="2620" w:right="859" w:hanging="288"/>
        <w:spacing w:after="0" w:line="279" w:lineRule="auto"/>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overseeing matters of corporate responsibility and sustainability, including potential long- and short-term trends and impacts to our business of environmental, social, and governance issues, and our public reporting on these topics; and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considering any recommendations for nominees and proposals submitted by stockholders.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Nominating and Corporate Governance Committee periodically reviews, discusses and assesses the performance of our Board and the committees of our Board. In fulfilling this responsibility, the Nominating and Corporate Governance Committee seeks input from senior management, our Board and others. In assessing our Board, the Nominating and Corporate Governance Committee evaluates the overall composition of our Board, our Board’s contribution as a whole and its effectiveness in serving our best interests and the best interests of our stockholders. The Nominating and Corporate Governance Committee reviews, discusses and assesses its own performance and composition at least annually. The Nominating and Corporate Governance Committee also periodically reviews and assesses the adequacy of its charter, including its role and responsibilities as outlined in its charter, and recommends any proposed changes to our Board for its consideration and approval.</w:t>
      </w:r>
    </w:p>
    <w:p>
      <w:pPr>
        <w:spacing w:after="0" w:line="126"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The composition and functioning of the Nominating and Corporate Governance Committee comply with all applicable requirements of the Sarbanes-Oxley Act and all applicable SEC rules and Nasdaq Listing Rules. We intend to comply with future requirements to the extent they become applicable to us.</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208</w:t>
      </w:r>
    </w:p>
    <w:p>
      <w:pPr>
        <w:sectPr>
          <w:pgSz w:w="11900" w:h="16838" w:orient="portrait"/>
          <w:cols w:equalWidth="0" w:num="1">
            <w:col w:w="10159"/>
          </w:cols>
          <w:pgMar w:left="300" w:top="368" w:right="1440"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Commercialization and Transaction Committee</w:t>
      </w:r>
    </w:p>
    <w:p>
      <w:pPr>
        <w:spacing w:after="0" w:line="8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Our C&amp;T Committee consists of Jaisim Shah, Jay Chun, M.D., Ph.D., Henry Ji, Ph.D. and Annu Navani, M.D., with Jaisim Shah serving as the chairperson of the committee.</w:t>
      </w:r>
    </w:p>
    <w:p>
      <w:pPr>
        <w:spacing w:after="0" w:line="111"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The responsibilities of the C&amp;T Committee are included in a written charter. The C&amp;T Committee (a) assists the Board in its oversight of the Company’s (i) commercial strategy and operations, including product launch preparation and execution, (ii) medical affairs activities, and (iii) research and development (“R&amp;D”) portfolio management and (b) evaluates certain potential strategic transactions, chooses strategic transactions which it believes are in the best interest of the stockholders and takes action to oversee the Company’s negotiation of the terms and conditions of any such transaction and recommend any such transaction to the Board, and in each case performs such other functions as may be deemed necessary or convenient in carrying out the foregoing. The C&amp;T Committee’s responsibilities include, among others, the following commercialization matters:</w:t>
      </w:r>
    </w:p>
    <w:p>
      <w:pPr>
        <w:spacing w:after="0" w:line="62" w:lineRule="exact"/>
        <w:rPr>
          <w:sz w:val="20"/>
          <w:szCs w:val="20"/>
          <w:color w:val="auto"/>
        </w:rPr>
      </w:pPr>
    </w:p>
    <w:p>
      <w:pPr>
        <w:ind w:left="2620" w:hanging="288"/>
        <w:spacing w:after="0"/>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strategic, directional and operational oversight and guidance to the Company regarding its commercial activities and operations;</w:t>
      </w:r>
    </w:p>
    <w:p>
      <w:pPr>
        <w:spacing w:after="0" w:line="87" w:lineRule="exact"/>
        <w:rPr>
          <w:rFonts w:ascii="Times New Roman" w:cs="Times New Roman" w:eastAsia="Times New Roman" w:hAnsi="Times New Roman"/>
          <w:sz w:val="12"/>
          <w:szCs w:val="12"/>
          <w:color w:val="auto"/>
        </w:rPr>
      </w:pPr>
    </w:p>
    <w:p>
      <w:pPr>
        <w:ind w:left="2620" w:right="1339" w:hanging="288"/>
        <w:spacing w:after="0" w:line="279"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 alignment of the Company’s commercial and R&amp;D programs and progress with the Company’s strategic goals and objectives, taking into account the results of the Company’s pre-clinical studies and clinical trials;</w:t>
      </w:r>
    </w:p>
    <w:p>
      <w:pPr>
        <w:spacing w:after="0" w:line="48" w:lineRule="exact"/>
        <w:rPr>
          <w:rFonts w:ascii="Times New Roman" w:cs="Times New Roman" w:eastAsia="Times New Roman" w:hAnsi="Times New Roman"/>
          <w:sz w:val="12"/>
          <w:szCs w:val="12"/>
          <w:color w:val="auto"/>
        </w:rPr>
      </w:pPr>
    </w:p>
    <w:p>
      <w:pPr>
        <w:ind w:left="2620" w:right="1059" w:hanging="288"/>
        <w:spacing w:after="0" w:line="279"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periodic reviews of the Company’s product development pipeline, intellectual property portfolio and commercial strategies, including a review and analysis of the progress and results of the Company’s pre-clinical studies and clinical trials;</w:t>
      </w:r>
    </w:p>
    <w:p>
      <w:pPr>
        <w:spacing w:after="0" w:line="48" w:lineRule="exact"/>
        <w:rPr>
          <w:rFonts w:ascii="Times New Roman" w:cs="Times New Roman" w:eastAsia="Times New Roman" w:hAnsi="Times New Roman"/>
          <w:sz w:val="12"/>
          <w:szCs w:val="12"/>
          <w:color w:val="auto"/>
        </w:rPr>
      </w:pPr>
    </w:p>
    <w:p>
      <w:pPr>
        <w:ind w:left="2620" w:right="959" w:hanging="288"/>
        <w:spacing w:after="0" w:line="279"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key commercial and medical launch strategies prior to regulatory approval of new products or indications as well as the R&amp;D elements of the Company’s long-range plan and lifecycle management plans;</w:t>
      </w:r>
    </w:p>
    <w:p>
      <w:pPr>
        <w:spacing w:after="0" w:line="48" w:lineRule="exact"/>
        <w:rPr>
          <w:rFonts w:ascii="Times New Roman" w:cs="Times New Roman" w:eastAsia="Times New Roman" w:hAnsi="Times New Roman"/>
          <w:sz w:val="12"/>
          <w:szCs w:val="12"/>
          <w:color w:val="auto"/>
        </w:rPr>
      </w:pPr>
    </w:p>
    <w:p>
      <w:pPr>
        <w:ind w:left="2620" w:right="919" w:hanging="288"/>
        <w:spacing w:after="0" w:line="279"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management on the scientific and R&amp;D aspects of business development opportunities, including licensing opportunities (both in-licensing and out-licensing), and M&amp;A opportunities;</w:t>
      </w:r>
    </w:p>
    <w:p>
      <w:pPr>
        <w:spacing w:after="0" w:line="48" w:lineRule="exact"/>
        <w:rPr>
          <w:rFonts w:ascii="Times New Roman" w:cs="Times New Roman" w:eastAsia="Times New Roman" w:hAnsi="Times New Roman"/>
          <w:sz w:val="12"/>
          <w:szCs w:val="12"/>
          <w:color w:val="auto"/>
        </w:rPr>
      </w:pPr>
    </w:p>
    <w:p>
      <w:pPr>
        <w:ind w:left="2620" w:right="1219" w:hanging="288"/>
        <w:spacing w:after="0" w:line="327" w:lineRule="auto"/>
        <w:tabs>
          <w:tab w:leader="none" w:pos="2620" w:val="left"/>
        </w:tabs>
        <w:numPr>
          <w:ilvl w:val="0"/>
          <w:numId w:val="1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establishing, approving, modify, monitoring and directing the process and procedures related to the review and evaluation of certain potential strategic transactions and determining whether to proceed with any such process, procedures, review or evaluation; and</w:t>
      </w:r>
    </w:p>
    <w:p>
      <w:pPr>
        <w:spacing w:after="0" w:line="24" w:lineRule="exact"/>
        <w:rPr>
          <w:rFonts w:ascii="Times New Roman" w:cs="Times New Roman" w:eastAsia="Times New Roman" w:hAnsi="Times New Roman"/>
          <w:sz w:val="11"/>
          <w:szCs w:val="11"/>
          <w:color w:val="auto"/>
        </w:rPr>
      </w:pPr>
    </w:p>
    <w:p>
      <w:pPr>
        <w:ind w:left="2620" w:right="979" w:hanging="288"/>
        <w:spacing w:after="0" w:line="257" w:lineRule="auto"/>
        <w:tabs>
          <w:tab w:leader="none" w:pos="26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on behalf of the Board and the Company whether a possible strategic transaction is advisable and is fair to, and in the best interests of, the Company and its stockholders (or any subset of the stockholders of the Company that the C&amp;T Committee determines to be appropriate), (ii) rejecting or approving a possible strategic transaction, or recommending such rejection or approval to the Board, (iii) approving or recommending to the Board the consummation of a possible strategic transaction, and (iv) reviewing, evaluating and monitoring proceedings and activities of the Company related to certain potential strategic transactions.</w:t>
      </w:r>
    </w:p>
    <w:p>
      <w:pPr>
        <w:spacing w:after="0" w:line="125" w:lineRule="exact"/>
        <w:rPr>
          <w:sz w:val="20"/>
          <w:szCs w:val="20"/>
          <w:color w:val="auto"/>
        </w:rPr>
      </w:pPr>
    </w:p>
    <w:p>
      <w:pPr>
        <w:ind w:left="1980" w:right="879" w:firstLine="294"/>
        <w:spacing w:after="0" w:line="300" w:lineRule="auto"/>
        <w:rPr>
          <w:sz w:val="20"/>
          <w:szCs w:val="20"/>
          <w:color w:val="auto"/>
        </w:rPr>
      </w:pPr>
      <w:r>
        <w:rPr>
          <w:rFonts w:ascii="Times New Roman" w:cs="Times New Roman" w:eastAsia="Times New Roman" w:hAnsi="Times New Roman"/>
          <w:sz w:val="11"/>
          <w:szCs w:val="11"/>
          <w:color w:val="auto"/>
        </w:rPr>
        <w:t>Under its charter, the C&amp;T Committee may form, and delegate authority to, subcommittees as appropriate. The C&amp;T Committee reviews, discusses and assesses its own performance at least annually. The C&amp;T Committee also periodically reviews the charter of the C&amp;T Committee and the compliance procedures in place to implement such charter and recommend necessary clarifications or changes to such charter to the Board for approval.</w:t>
      </w:r>
    </w:p>
    <w:p>
      <w:pPr>
        <w:spacing w:after="0" w:line="1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Code of Business Conduct and Ethics</w:t>
      </w:r>
    </w:p>
    <w:p>
      <w:pPr>
        <w:spacing w:after="0" w:line="82" w:lineRule="exact"/>
        <w:rPr>
          <w:sz w:val="20"/>
          <w:szCs w:val="20"/>
          <w:color w:val="auto"/>
        </w:rPr>
      </w:pPr>
    </w:p>
    <w:p>
      <w:pPr>
        <w:ind w:left="1980" w:right="979" w:firstLine="294"/>
        <w:spacing w:after="0" w:line="300" w:lineRule="auto"/>
        <w:rPr>
          <w:sz w:val="20"/>
          <w:szCs w:val="20"/>
          <w:color w:val="auto"/>
        </w:rPr>
      </w:pPr>
      <w:r>
        <w:rPr>
          <w:rFonts w:ascii="Times New Roman" w:cs="Times New Roman" w:eastAsia="Times New Roman" w:hAnsi="Times New Roman"/>
          <w:sz w:val="11"/>
          <w:szCs w:val="11"/>
          <w:color w:val="auto"/>
        </w:rPr>
        <w:t xml:space="preserve">Our Board has adopted a written code of business conduct and ethics, applicable to directors, officers and employees, including our principal executive officer, principal financial officer, principal accounting officer or controller, or persons performing similar functions. A current copy of our code of business conduct and ethics is posted on our website at </w:t>
      </w:r>
      <w:r>
        <w:rPr>
          <w:rFonts w:ascii="Times New Roman" w:cs="Times New Roman" w:eastAsia="Times New Roman" w:hAnsi="Times New Roman"/>
          <w:sz w:val="11"/>
          <w:szCs w:val="11"/>
          <w:i w:val="1"/>
          <w:iCs w:val="1"/>
          <w:color w:val="auto"/>
        </w:rPr>
        <w:t>www.scilexholding.com</w:t>
      </w:r>
      <w:r>
        <w:rPr>
          <w:rFonts w:ascii="Times New Roman" w:cs="Times New Roman" w:eastAsia="Times New Roman" w:hAnsi="Times New Roman"/>
          <w:sz w:val="11"/>
          <w:szCs w:val="11"/>
          <w:color w:val="auto"/>
        </w:rPr>
        <w:t>. Information contained on or accessible through our website is</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209</w:t>
      </w:r>
    </w:p>
    <w:p>
      <w:pPr>
        <w:sectPr>
          <w:pgSz w:w="11900" w:h="16838" w:orient="portrait"/>
          <w:cols w:equalWidth="0" w:num="1">
            <w:col w:w="10159"/>
          </w:cols>
          <w:pgMar w:left="300" w:top="368"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not a part of this prospectus, and the inclusion of the website address in this prospectus is an inactive textual reference only. We intend to disclose any amendments to our code of business conduct and ethics, or any waivers of its requirements, on our website to the extent required by the applicable rules and exchange requirements.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None of the members of our Compensation Committee is currently, or has been at any time in the past year, one of our officers or employees. Other than Dr. Ji and Mr. Shah, none of our executive officers currently serves, or has served during the last completed fiscal year, as a member of the board of directors or compensation committee of any entity that has one or more executive officers serving as a member of our Board or Compensation Committee.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Clawback Policy</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In November 2023, our Board adopted a clawback policy (the “Clawback Policy”) that complies with the SEC rules and Nasdaq Listing Rules. Our Clawback Policy provides for our recovery of erroneously awarded incentive-based compensation from our current and former executive officers (as defined in Rule 10D-1 promulgated under the Exchange Act and Nasdaq Listing Rule 5608) who were employed by the Company during the applicable recovery period. Under the policy, if the Company is required to prepare an accounting restatement of its financial statements due to its material noncompliance with any financial reporting requirement under the securities laws, the Company shall promptly demand in writing and recoup the amount of any incentive-based compensation received by the applicable executive during the three completed fiscal years immediately preceding the date on which the Company is required to prepare such accounting restatement. The amount to be recouped is that which exceeds the amount of incentive-based compensation that otherwise would have been received by the applicable executive had such compensation been determined based on the restated amounts in the accounting restatement. Incentive-based compensation includes any compensation that is granted, earned or vested based wholly or in part upon the attainment of one or more measures derived from our financial statements. Our Compensation Committee administers our Clawback Policy and has the authority to determine the amount of recoverable compensation and manner of recovery.</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Limitation of Liability and Indemnification of Directors and Officers</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Certificate of Incorporation and the Bylaws contain provisions that limit the liability of our directors for monetary damages to the fullest extent permitted by the DGCL. Consequently, our directors and officers will not be personally liable to us or our stockholders for monetary damages for any breach of fiduciary duties as directors or officers, except liability for the following:</w:t>
      </w:r>
    </w:p>
    <w:p>
      <w:pPr>
        <w:spacing w:after="0" w:line="56" w:lineRule="exact"/>
        <w:rPr>
          <w:sz w:val="20"/>
          <w:szCs w:val="20"/>
          <w:color w:val="auto"/>
        </w:rPr>
      </w:pPr>
    </w:p>
    <w:p>
      <w:pPr>
        <w:ind w:left="2620" w:hanging="288"/>
        <w:spacing w:after="0"/>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their duty of loyalty to us or our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or omissions not in good faith or that involve intentional misconduct or a knowing violation of law;</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our directors, unlawful payments of dividends or unlawful stock repurchases or redemptions in violation of the DGCL;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or officer derived an improper personal benefit; or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officer, any action by or in the right of the corporation.</w:t>
      </w:r>
    </w:p>
    <w:p>
      <w:pPr>
        <w:spacing w:after="0" w:line="150"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Certificate of Incorporation also provides that if the DGCL is amended to permit further elimination or limitation of the personal liability of directors or officers, then the liability of our directors and officers will be eliminated or limited to the fullest extent permitted by the DGCL, as so amended.</w:t>
      </w:r>
    </w:p>
    <w:p>
      <w:pPr>
        <w:spacing w:after="0" w:line="119" w:lineRule="exact"/>
        <w:rPr>
          <w:sz w:val="20"/>
          <w:szCs w:val="20"/>
          <w:color w:val="auto"/>
        </w:rPr>
      </w:pPr>
    </w:p>
    <w:p>
      <w:pPr>
        <w:jc w:val="both"/>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Bylaws provide that we shall indemnify any person who is or was a director or officer of the Company or who is or was serving at our request as a director, officer or trustee of another corporation, limited liability company, partnership, joint venture, employee benefit plan, trust, nonprofit entity or other enterprise (a “Covered</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210</w:t>
      </w:r>
    </w:p>
    <w:p>
      <w:pPr>
        <w:sectPr>
          <w:pgSz w:w="11900" w:h="16838" w:orient="portrait"/>
          <w:cols w:equalWidth="0" w:num="1">
            <w:col w:w="10159"/>
          </w:cols>
          <w:pgMar w:left="300" w:top="368" w:right="1440"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2" w:lineRule="auto"/>
        <w:rPr>
          <w:sz w:val="20"/>
          <w:szCs w:val="20"/>
          <w:color w:val="auto"/>
        </w:rPr>
      </w:pPr>
      <w:r>
        <w:rPr>
          <w:rFonts w:ascii="Times New Roman" w:cs="Times New Roman" w:eastAsia="Times New Roman" w:hAnsi="Times New Roman"/>
          <w:sz w:val="12"/>
          <w:szCs w:val="12"/>
          <w:color w:val="auto"/>
        </w:rPr>
        <w:t>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our director, officer, employee or agent or is or was our director, officer, employee or agent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w:t>
      </w:r>
    </w:p>
    <w:p>
      <w:pPr>
        <w:spacing w:after="0" w:line="13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We have entered into indemnification agreements with each of our directors and executive officers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We believe that these agreements are necessary to attract and retain qualified individuals to serve as directors and executive officers. We also maintain directors’ and officers’ liability insurance.</w:t>
      </w:r>
    </w:p>
    <w:p>
      <w:pPr>
        <w:spacing w:after="0" w:line="125"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forms a part.</w:t>
      </w:r>
    </w:p>
    <w:p>
      <w:pPr>
        <w:spacing w:after="0" w:line="119"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Certain of our non-employee directors may, through their relationships with their employers, be insured or indemnified against certain liabilities incurred in their capacity as members of our Board.</w:t>
      </w:r>
    </w:p>
    <w:p>
      <w:pPr>
        <w:spacing w:after="0" w:line="111"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211</w:t>
      </w:r>
    </w:p>
    <w:p>
      <w:pPr>
        <w:sectPr>
          <w:pgSz w:w="11900" w:h="16838" w:orient="portrait"/>
          <w:cols w:equalWidth="0" w:num="1">
            <w:col w:w="10159"/>
          </w:cols>
          <w:pgMar w:left="300" w:top="368" w:right="1440"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EXECUTIVE AND DIRECTOR COMPENSATION</w:t>
      </w:r>
    </w:p>
    <w:p>
      <w:pPr>
        <w:spacing w:after="0" w:line="154"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As disclosed elsewhere in this prospectus, on April 15, 2025, we effected the Reverse Stock Split of our Common Stock at a ratio of 1-for-35. Unless otherwise noted, the share and per share information of equity held by our named executive officers and directors and relating to our equity plans reflects the effect of the Reverse Stock Split.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To achieve our goals, we have designed, and intend to modify as necessary, our compensation and benefits programs to attract, retain, incentivize and reward deeply talented and qualified executives who share our philosophy and desire to work towards achieving our goals. We believe our compensation programs should promote the success of the Company and align executive incentives with the long-term interests of our stockholders. This section provides an overview of the material components of our executive compensation programs, including a narrative description of the material factors necessary to understand the information disclosed in the summary compensation table below. The following is a discussion and analysis of the material components of the compensation arrangements of Scilex’s named executive officers in 2024.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28"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Our Board or the Compensation Committee, with input from our Executive Chairperson and Chief Executive Officer, historically determined the compensation for Scilex’s named executive officers. Our named executive officers for the year ended December 31, 2024, were Jaisim Shah, our Chief Executive Officer and President, Henry Ji, our Executive Chairperson, and Stephen Ma, our Chief Financial Officer and Senior Vice President.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sets forth certain information with respect to the compensation paid or accrued to our named executive officers for the fiscal years ended December 31, 2024 and December 31, 2023:</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Non-Qualified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w:t>
            </w: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680" w:type="dxa"/>
            <w:vAlign w:val="bottom"/>
            <w:gridSpan w:val="2"/>
            <w:vMerge w:val="continue"/>
          </w:tcPr>
          <w:p>
            <w:pPr>
              <w:spacing w:after="0"/>
              <w:rPr>
                <w:sz w:val="8"/>
                <w:szCs w:val="8"/>
                <w:color w:val="auto"/>
              </w:rPr>
            </w:pP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3"/>
              </w:rPr>
              <w:t>Deferred</w:t>
            </w:r>
          </w:p>
        </w:tc>
        <w:tc>
          <w:tcPr>
            <w:tcW w:w="800" w:type="dxa"/>
            <w:vAlign w:val="bottom"/>
            <w:gridSpan w:val="2"/>
            <w:vMerge w:val="restart"/>
          </w:tcPr>
          <w:p>
            <w:pPr>
              <w:jc w:val="center"/>
              <w:ind w:right="155"/>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40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80" w:type="dxa"/>
            <w:vAlign w:val="bottom"/>
            <w:gridSpan w:val="2"/>
          </w:tcPr>
          <w:p>
            <w:pPr>
              <w:jc w:val="center"/>
              <w:ind w:right="100"/>
              <w:spacing w:after="0" w:line="98" w:lineRule="exact"/>
              <w:rPr>
                <w:sz w:val="20"/>
                <w:szCs w:val="20"/>
                <w:color w:val="auto"/>
              </w:rPr>
            </w:pPr>
            <w:r>
              <w:rPr>
                <w:rFonts w:ascii="Times New Roman" w:cs="Times New Roman" w:eastAsia="Times New Roman" w:hAnsi="Times New Roman"/>
                <w:sz w:val="10"/>
                <w:szCs w:val="10"/>
                <w:b w:val="1"/>
                <w:bCs w:val="1"/>
                <w:color w:val="auto"/>
                <w:w w:val="94"/>
              </w:rPr>
              <w:t>Incentive Plan</w:t>
            </w:r>
          </w:p>
        </w:tc>
        <w:tc>
          <w:tcPr>
            <w:tcW w:w="680" w:type="dxa"/>
            <w:vAlign w:val="bottom"/>
            <w:gridSpan w:val="2"/>
          </w:tcPr>
          <w:p>
            <w:pPr>
              <w:jc w:val="center"/>
              <w:ind w:right="80"/>
              <w:spacing w:after="0" w:line="9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8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6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40" w:type="dxa"/>
            <w:vAlign w:val="bottom"/>
          </w:tcPr>
          <w:p>
            <w:pPr>
              <w:spacing w:after="0"/>
              <w:rPr>
                <w:sz w:val="8"/>
                <w:szCs w:val="8"/>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Year</w:t>
            </w:r>
          </w:p>
        </w:tc>
        <w:tc>
          <w:tcPr>
            <w:tcW w:w="600" w:type="dxa"/>
            <w:vAlign w:val="bottom"/>
            <w:gridSpan w:val="2"/>
            <w:vMerge w:val="continue"/>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4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6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5"/>
              </w:rPr>
              <w:t>Awards</w:t>
            </w:r>
          </w:p>
        </w:tc>
        <w:tc>
          <w:tcPr>
            <w:tcW w:w="6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68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2"/>
              </w:rPr>
              <w:t>Earnings</w:t>
            </w:r>
          </w:p>
        </w:tc>
        <w:tc>
          <w:tcPr>
            <w:tcW w:w="800" w:type="dxa"/>
            <w:vAlign w:val="bottom"/>
            <w:gridSpan w:val="2"/>
          </w:tcPr>
          <w:p>
            <w:pPr>
              <w:jc w:val="center"/>
              <w:ind w:right="155"/>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0" w:type="dxa"/>
            <w:vAlign w:val="bottom"/>
          </w:tcPr>
          <w:p>
            <w:pPr>
              <w:spacing w:after="0"/>
              <w:rPr>
                <w:sz w:val="1"/>
                <w:szCs w:val="1"/>
                <w:color w:val="auto"/>
              </w:rPr>
            </w:pPr>
          </w:p>
        </w:tc>
      </w:tr>
      <w:tr>
        <w:trPr>
          <w:trHeight w:val="117"/>
        </w:trPr>
        <w:tc>
          <w:tcPr>
            <w:tcW w:w="20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4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52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0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Jaisim Shah</w:t>
            </w:r>
          </w:p>
        </w:tc>
        <w:tc>
          <w:tcPr>
            <w:tcW w:w="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w w:val="91"/>
              </w:rPr>
              <w:t>2024</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1,250,000</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20"/>
              <w:spacing w:after="0" w:line="133" w:lineRule="exact"/>
              <w:rPr>
                <w:sz w:val="20"/>
                <w:szCs w:val="20"/>
                <w:color w:val="auto"/>
              </w:rPr>
            </w:pPr>
            <w:r>
              <w:rPr>
                <w:rFonts w:ascii="Times New Roman" w:cs="Times New Roman" w:eastAsia="Times New Roman" w:hAnsi="Times New Roman"/>
                <w:sz w:val="12"/>
                <w:szCs w:val="12"/>
                <w:color w:val="auto"/>
                <w:w w:val="77"/>
              </w:rPr>
              <w:t>— </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20"/>
              <w:spacing w:after="0" w:line="133" w:lineRule="exact"/>
              <w:rPr>
                <w:sz w:val="20"/>
                <w:szCs w:val="20"/>
                <w:color w:val="auto"/>
              </w:rPr>
            </w:pPr>
            <w:r>
              <w:rPr>
                <w:rFonts w:ascii="Times New Roman" w:cs="Times New Roman" w:eastAsia="Times New Roman" w:hAnsi="Times New Roman"/>
                <w:sz w:val="12"/>
                <w:szCs w:val="12"/>
                <w:color w:val="auto"/>
                <w:w w:val="88"/>
              </w:rPr>
              <w:t>— </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16,574</w:t>
            </w:r>
          </w:p>
        </w:tc>
        <w:tc>
          <w:tcPr>
            <w:tcW w:w="200" w:type="dxa"/>
            <w:vAlign w:val="bottom"/>
            <w:tcBorders>
              <w:top w:val="single" w:sz="8" w:color="CCEEFF"/>
            </w:tcBorders>
            <w:shd w:val="clear" w:color="auto" w:fill="CCEEFF"/>
          </w:tcPr>
          <w:p>
            <w:pPr>
              <w:jc w:val="right"/>
              <w:ind w:right="55"/>
              <w:spacing w:after="0" w:line="97" w:lineRule="exact"/>
              <w:rPr>
                <w:sz w:val="20"/>
                <w:szCs w:val="20"/>
                <w:color w:val="auto"/>
              </w:rPr>
            </w:pPr>
            <w:r>
              <w:rPr>
                <w:rFonts w:ascii="Times New Roman" w:cs="Times New Roman" w:eastAsia="Times New Roman" w:hAnsi="Times New Roman"/>
                <w:sz w:val="9"/>
                <w:szCs w:val="9"/>
                <w:color w:val="auto"/>
                <w:w w:val="75"/>
              </w:rPr>
              <w:t>(1)</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1,266,574</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i w:val="1"/>
                <w:iCs w:val="1"/>
                <w:color w:val="auto"/>
              </w:rPr>
              <w:t>Chief Executive Officer, President and</w:t>
            </w:r>
          </w:p>
        </w:tc>
        <w:tc>
          <w:tcPr>
            <w:tcW w:w="420" w:type="dxa"/>
            <w:vAlign w:val="bottom"/>
            <w:gridSpan w:val="3"/>
            <w:shd w:val="clear" w:color="auto" w:fill="CCEEFF"/>
          </w:tcPr>
          <w:p>
            <w:pPr>
              <w:ind w:left="80"/>
              <w:spacing w:after="0" w:line="132" w:lineRule="exact"/>
              <w:rPr>
                <w:sz w:val="20"/>
                <w:szCs w:val="20"/>
                <w:color w:val="auto"/>
              </w:rPr>
            </w:pPr>
            <w:r>
              <w:rPr>
                <w:rFonts w:ascii="Times New Roman" w:cs="Times New Roman" w:eastAsia="Times New Roman" w:hAnsi="Times New Roman"/>
                <w:sz w:val="12"/>
                <w:szCs w:val="12"/>
                <w:color w:val="auto"/>
              </w:rPr>
              <w:t>2023</w:t>
            </w:r>
          </w:p>
        </w:tc>
        <w:tc>
          <w:tcPr>
            <w:tcW w:w="60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917,494</w:t>
            </w:r>
          </w:p>
        </w:tc>
        <w:tc>
          <w:tcPr>
            <w:tcW w:w="36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shd w:val="clear" w:color="auto" w:fill="CCEEFF"/>
          </w:tcPr>
          <w:p>
            <w:pPr>
              <w:ind w:left="14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6,402,460</w:t>
            </w:r>
          </w:p>
        </w:tc>
        <w:tc>
          <w:tcPr>
            <w:tcW w:w="680" w:type="dxa"/>
            <w:vAlign w:val="bottom"/>
            <w:gridSpan w:val="2"/>
            <w:shd w:val="clear" w:color="auto" w:fill="CCEEFF"/>
          </w:tcPr>
          <w:p>
            <w:pPr>
              <w:ind w:left="4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shd w:val="clear" w:color="auto" w:fill="CCEEFF"/>
          </w:tcPr>
          <w:p>
            <w:pPr>
              <w:ind w:left="4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55"/>
              <w:spacing w:after="0" w:line="131" w:lineRule="exact"/>
              <w:rPr>
                <w:sz w:val="20"/>
                <w:szCs w:val="20"/>
                <w:color w:val="auto"/>
              </w:rPr>
            </w:pPr>
            <w:r>
              <w:rPr>
                <w:rFonts w:ascii="Times New Roman" w:cs="Times New Roman" w:eastAsia="Times New Roman" w:hAnsi="Times New Roman"/>
                <w:sz w:val="11"/>
                <w:szCs w:val="11"/>
                <w:color w:val="auto"/>
              </w:rPr>
              <w:t>54,023</w:t>
            </w:r>
            <w:r>
              <w:rPr>
                <w:rFonts w:ascii="Times New Roman" w:cs="Times New Roman" w:eastAsia="Times New Roman" w:hAnsi="Times New Roman"/>
                <w:sz w:val="15"/>
                <w:szCs w:val="15"/>
                <w:color w:val="auto"/>
                <w:vertAlign w:val="superscript"/>
              </w:rPr>
              <w:t>(2)</w:t>
            </w:r>
          </w:p>
        </w:tc>
        <w:tc>
          <w:tcPr>
            <w:tcW w:w="7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2"/>
                <w:szCs w:val="12"/>
                <w:color w:val="auto"/>
              </w:rPr>
              <w:t>7,373,977</w:t>
            </w: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Director</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6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Henry Ji, Ph.D.</w:t>
            </w:r>
          </w:p>
        </w:tc>
        <w:tc>
          <w:tcPr>
            <w:tcW w:w="420" w:type="dxa"/>
            <w:vAlign w:val="bottom"/>
            <w:gridSpan w:val="3"/>
          </w:tcPr>
          <w:p>
            <w:pPr>
              <w:ind w:left="80"/>
              <w:spacing w:after="0" w:line="132" w:lineRule="exact"/>
              <w:rPr>
                <w:sz w:val="20"/>
                <w:szCs w:val="20"/>
                <w:color w:val="auto"/>
              </w:rPr>
            </w:pPr>
            <w:r>
              <w:rPr>
                <w:rFonts w:ascii="Times New Roman" w:cs="Times New Roman" w:eastAsia="Times New Roman" w:hAnsi="Times New Roman"/>
                <w:sz w:val="12"/>
                <w:szCs w:val="12"/>
                <w:color w:val="auto"/>
              </w:rPr>
              <w:t>2024</w:t>
            </w:r>
          </w:p>
        </w:tc>
        <w:tc>
          <w:tcPr>
            <w:tcW w:w="60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1,250,000</w:t>
            </w:r>
          </w:p>
        </w:tc>
        <w:tc>
          <w:tcPr>
            <w:tcW w:w="36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tcPr>
          <w:p>
            <w:pPr>
              <w:ind w:left="4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tcPr>
          <w:p>
            <w:pPr>
              <w:ind w:left="4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jc w:val="right"/>
              <w:ind w:right="55"/>
              <w:spacing w:after="0" w:line="131" w:lineRule="exact"/>
              <w:rPr>
                <w:sz w:val="20"/>
                <w:szCs w:val="20"/>
                <w:color w:val="auto"/>
              </w:rPr>
            </w:pPr>
            <w:r>
              <w:rPr>
                <w:rFonts w:ascii="Times New Roman" w:cs="Times New Roman" w:eastAsia="Times New Roman" w:hAnsi="Times New Roman"/>
                <w:sz w:val="11"/>
                <w:szCs w:val="11"/>
                <w:color w:val="auto"/>
              </w:rPr>
              <w:t>11,651</w:t>
            </w:r>
            <w:r>
              <w:rPr>
                <w:rFonts w:ascii="Times New Roman" w:cs="Times New Roman" w:eastAsia="Times New Roman" w:hAnsi="Times New Roman"/>
                <w:sz w:val="15"/>
                <w:szCs w:val="15"/>
                <w:color w:val="auto"/>
                <w:vertAlign w:val="superscript"/>
              </w:rPr>
              <w:t>(1)</w:t>
            </w:r>
          </w:p>
        </w:tc>
        <w:tc>
          <w:tcPr>
            <w:tcW w:w="7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2"/>
                <w:szCs w:val="12"/>
                <w:color w:val="auto"/>
              </w:rPr>
              <w:t>1,261,651</w:t>
            </w:r>
          </w:p>
        </w:tc>
        <w:tc>
          <w:tcPr>
            <w:tcW w:w="0" w:type="dxa"/>
            <w:vAlign w:val="bottom"/>
          </w:tcPr>
          <w:p>
            <w:pPr>
              <w:spacing w:after="0"/>
              <w:rPr>
                <w:sz w:val="1"/>
                <w:szCs w:val="1"/>
                <w:color w:val="auto"/>
              </w:rPr>
            </w:pPr>
          </w:p>
        </w:tc>
      </w:tr>
      <w:tr>
        <w:trPr>
          <w:trHeight w:val="157"/>
        </w:trPr>
        <w:tc>
          <w:tcPr>
            <w:tcW w:w="20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Executive Chairperson</w:t>
            </w:r>
          </w:p>
        </w:tc>
        <w:tc>
          <w:tcPr>
            <w:tcW w:w="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2023</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821,465</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33,034,32</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tcPr>
          <w:p>
            <w:pPr>
              <w:jc w:val="right"/>
              <w:ind w:right="55"/>
              <w:spacing w:after="0" w:line="157" w:lineRule="exact"/>
              <w:rPr>
                <w:sz w:val="20"/>
                <w:szCs w:val="20"/>
                <w:color w:val="auto"/>
              </w:rPr>
            </w:pPr>
            <w:r>
              <w:rPr>
                <w:rFonts w:ascii="Times New Roman" w:cs="Times New Roman" w:eastAsia="Times New Roman" w:hAnsi="Times New Roman"/>
                <w:sz w:val="12"/>
                <w:szCs w:val="12"/>
                <w:color w:val="auto"/>
              </w:rPr>
              <w:t>63,965</w:t>
            </w:r>
            <w:r>
              <w:rPr>
                <w:rFonts w:ascii="Times New Roman" w:cs="Times New Roman" w:eastAsia="Times New Roman" w:hAnsi="Times New Roman"/>
                <w:sz w:val="17"/>
                <w:szCs w:val="17"/>
                <w:color w:val="auto"/>
                <w:vertAlign w:val="superscript"/>
              </w:rPr>
              <w:t>(3)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33,919,750</w:t>
            </w:r>
          </w:p>
        </w:tc>
        <w:tc>
          <w:tcPr>
            <w:tcW w:w="0" w:type="dxa"/>
            <w:vAlign w:val="bottom"/>
          </w:tcPr>
          <w:p>
            <w:pPr>
              <w:spacing w:after="0"/>
              <w:rPr>
                <w:sz w:val="1"/>
                <w:szCs w:val="1"/>
                <w:color w:val="auto"/>
              </w:rPr>
            </w:pPr>
          </w:p>
        </w:tc>
      </w:tr>
      <w:tr>
        <w:trPr>
          <w:trHeight w:val="14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Stephen Ma</w:t>
            </w:r>
          </w:p>
        </w:tc>
        <w:tc>
          <w:tcPr>
            <w:tcW w:w="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2024</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600,000</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55"/>
              <w:spacing w:after="0" w:line="144" w:lineRule="exact"/>
              <w:rPr>
                <w:sz w:val="20"/>
                <w:szCs w:val="20"/>
                <w:color w:val="auto"/>
              </w:rPr>
            </w:pPr>
            <w:r>
              <w:rPr>
                <w:rFonts w:ascii="Times New Roman" w:cs="Times New Roman" w:eastAsia="Times New Roman" w:hAnsi="Times New Roman"/>
                <w:sz w:val="11"/>
                <w:szCs w:val="11"/>
                <w:color w:val="auto"/>
              </w:rPr>
              <w:t>13,821</w:t>
            </w:r>
            <w:r>
              <w:rPr>
                <w:rFonts w:ascii="Times New Roman" w:cs="Times New Roman" w:eastAsia="Times New Roman" w:hAnsi="Times New Roman"/>
                <w:sz w:val="16"/>
                <w:szCs w:val="16"/>
                <w:color w:val="auto"/>
                <w:vertAlign w:val="superscript"/>
              </w:rPr>
              <w:t>(1)</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613,821</w:t>
            </w:r>
          </w:p>
        </w:tc>
        <w:tc>
          <w:tcPr>
            <w:tcW w:w="0" w:type="dxa"/>
            <w:vAlign w:val="bottom"/>
          </w:tcPr>
          <w:p>
            <w:pPr>
              <w:spacing w:after="0"/>
              <w:rPr>
                <w:sz w:val="1"/>
                <w:szCs w:val="1"/>
                <w:color w:val="auto"/>
              </w:rPr>
            </w:pPr>
          </w:p>
        </w:tc>
      </w:tr>
      <w:tr>
        <w:trPr>
          <w:trHeight w:val="131"/>
        </w:trPr>
        <w:tc>
          <w:tcPr>
            <w:tcW w:w="20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i w:val="1"/>
                <w:iCs w:val="1"/>
                <w:color w:val="auto"/>
              </w:rPr>
              <w:t>Chief Financial Officer, Senior Vice</w:t>
            </w:r>
          </w:p>
        </w:tc>
        <w:tc>
          <w:tcPr>
            <w:tcW w:w="420" w:type="dxa"/>
            <w:vAlign w:val="bottom"/>
            <w:gridSpan w:val="3"/>
            <w:shd w:val="clear" w:color="auto" w:fill="CCEEFF"/>
          </w:tcPr>
          <w:p>
            <w:pPr>
              <w:ind w:left="80"/>
              <w:spacing w:after="0" w:line="132" w:lineRule="exact"/>
              <w:rPr>
                <w:sz w:val="20"/>
                <w:szCs w:val="20"/>
                <w:color w:val="auto"/>
              </w:rPr>
            </w:pPr>
            <w:r>
              <w:rPr>
                <w:rFonts w:ascii="Times New Roman" w:cs="Times New Roman" w:eastAsia="Times New Roman" w:hAnsi="Times New Roman"/>
                <w:sz w:val="12"/>
                <w:szCs w:val="12"/>
                <w:color w:val="auto"/>
              </w:rPr>
              <w:t>2023</w:t>
            </w:r>
          </w:p>
        </w:tc>
        <w:tc>
          <w:tcPr>
            <w:tcW w:w="60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470,676</w:t>
            </w:r>
          </w:p>
        </w:tc>
        <w:tc>
          <w:tcPr>
            <w:tcW w:w="36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400" w:type="dxa"/>
            <w:vAlign w:val="bottom"/>
            <w:gridSpan w:val="2"/>
            <w:shd w:val="clear" w:color="auto" w:fill="CCEEFF"/>
          </w:tcPr>
          <w:p>
            <w:pPr>
              <w:ind w:left="14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2"/>
                <w:szCs w:val="12"/>
                <w:color w:val="auto"/>
              </w:rPr>
              <w:t>1,427,260</w:t>
            </w:r>
          </w:p>
        </w:tc>
        <w:tc>
          <w:tcPr>
            <w:tcW w:w="680" w:type="dxa"/>
            <w:vAlign w:val="bottom"/>
            <w:gridSpan w:val="2"/>
            <w:shd w:val="clear" w:color="auto" w:fill="CCEEFF"/>
          </w:tcPr>
          <w:p>
            <w:pPr>
              <w:ind w:left="4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680" w:type="dxa"/>
            <w:vAlign w:val="bottom"/>
            <w:gridSpan w:val="2"/>
            <w:shd w:val="clear" w:color="auto" w:fill="CCEEFF"/>
          </w:tcPr>
          <w:p>
            <w:pPr>
              <w:ind w:left="420"/>
              <w:spacing w:after="0" w:line="132" w:lineRule="exact"/>
              <w:rPr>
                <w:sz w:val="20"/>
                <w:szCs w:val="20"/>
                <w:color w:val="auto"/>
              </w:rPr>
            </w:pPr>
            <w:r>
              <w:rPr>
                <w:rFonts w:ascii="Times New Roman" w:cs="Times New Roman" w:eastAsia="Times New Roman" w:hAnsi="Times New Roman"/>
                <w:sz w:val="12"/>
                <w:szCs w:val="12"/>
                <w:color w:val="auto"/>
              </w:rPr>
              <w:t>— </w:t>
            </w:r>
          </w:p>
        </w:tc>
        <w:tc>
          <w:tcPr>
            <w:tcW w:w="800" w:type="dxa"/>
            <w:vAlign w:val="bottom"/>
            <w:gridSpan w:val="2"/>
            <w:shd w:val="clear" w:color="auto" w:fill="CCEEFF"/>
          </w:tcPr>
          <w:p>
            <w:pPr>
              <w:jc w:val="right"/>
              <w:ind w:right="155"/>
              <w:spacing w:after="0" w:line="132" w:lineRule="exact"/>
              <w:rPr>
                <w:sz w:val="20"/>
                <w:szCs w:val="20"/>
                <w:color w:val="auto"/>
              </w:rPr>
            </w:pPr>
            <w:r>
              <w:rPr>
                <w:rFonts w:ascii="Times New Roman" w:cs="Times New Roman" w:eastAsia="Times New Roman" w:hAnsi="Times New Roman"/>
                <w:sz w:val="12"/>
                <w:szCs w:val="12"/>
                <w:color w:val="auto"/>
              </w:rPr>
              <w:t>2,769</w:t>
            </w:r>
          </w:p>
        </w:tc>
        <w:tc>
          <w:tcPr>
            <w:tcW w:w="720" w:type="dxa"/>
            <w:vAlign w:val="bottom"/>
            <w:gridSpan w:val="2"/>
            <w:shd w:val="clear" w:color="auto" w:fill="CCEEFF"/>
          </w:tcPr>
          <w:p>
            <w:pPr>
              <w:jc w:val="right"/>
              <w:ind w:right="40"/>
              <w:spacing w:after="0" w:line="131" w:lineRule="exact"/>
              <w:rPr>
                <w:sz w:val="20"/>
                <w:szCs w:val="20"/>
                <w:color w:val="auto"/>
              </w:rPr>
            </w:pPr>
            <w:r>
              <w:rPr>
                <w:rFonts w:ascii="Times New Roman" w:cs="Times New Roman" w:eastAsia="Times New Roman" w:hAnsi="Times New Roman"/>
                <w:sz w:val="11"/>
                <w:szCs w:val="11"/>
                <w:color w:val="auto"/>
              </w:rPr>
              <w:t>1,900,705</w:t>
            </w:r>
            <w:r>
              <w:rPr>
                <w:rFonts w:ascii="Times New Roman" w:cs="Times New Roman" w:eastAsia="Times New Roman" w:hAnsi="Times New Roman"/>
                <w:sz w:val="15"/>
                <w:szCs w:val="15"/>
                <w:color w:val="auto"/>
                <w:vertAlign w:val="superscript"/>
              </w:rPr>
              <w:t>(4)</w:t>
            </w: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i w:val="1"/>
                <w:iCs w:val="1"/>
                <w:color w:val="auto"/>
              </w:rPr>
              <w:t>President and Secretary</w:t>
            </w: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2260" w:right="859" w:hanging="288"/>
        <w:spacing w:after="0" w:line="279" w:lineRule="auto"/>
        <w:tabs>
          <w:tab w:leader="none" w:pos="226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matching contributions made to the named executive officer under the Company’s 401(k) plan and (b) life insurance premiums paid by the Company for his benefit.</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212</w:t>
      </w:r>
    </w:p>
    <w:p>
      <w:pPr>
        <w:sectPr>
          <w:pgSz w:w="11900" w:h="16838" w:orient="portrait"/>
          <w:cols w:equalWidth="0" w:num="1">
            <w:col w:w="10159"/>
          </w:cols>
          <w:pgMar w:left="300" w:top="368" w:right="1440"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879" w:hanging="288"/>
        <w:spacing w:after="0" w:line="259" w:lineRule="auto"/>
        <w:tabs>
          <w:tab w:leader="none" w:pos="226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matching contributions made to Mr. Shah under the Company’s 401(k) plan, (b) accrued unused paid time off and (c) life insurance premiums paid by the Company for his benefit.</w:t>
      </w:r>
    </w:p>
    <w:p>
      <w:pPr>
        <w:spacing w:after="0" w:line="1" w:lineRule="exact"/>
        <w:rPr>
          <w:rFonts w:ascii="Times New Roman" w:cs="Times New Roman" w:eastAsia="Times New Roman" w:hAnsi="Times New Roman"/>
          <w:sz w:val="12"/>
          <w:szCs w:val="12"/>
          <w:color w:val="auto"/>
        </w:rPr>
      </w:pPr>
    </w:p>
    <w:p>
      <w:pPr>
        <w:ind w:left="2260" w:right="999" w:hanging="288"/>
        <w:spacing w:after="0" w:line="250" w:lineRule="auto"/>
        <w:tabs>
          <w:tab w:leader="none" w:pos="226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compensation expense allocated by Sorrento to (and paid by) the Company for services provided by Dr. Ji (on behalf of Sorrento) to the Company in January 2023.</w:t>
      </w:r>
    </w:p>
    <w:p>
      <w:pPr>
        <w:ind w:left="2260" w:right="919" w:hanging="288"/>
        <w:spacing w:after="0" w:line="255" w:lineRule="auto"/>
        <w:tabs>
          <w:tab w:leader="none" w:pos="226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Ma was appointed as our Chief Financial Officer, Senior Vice President and Secretary on September 22, 2023. Represents compensation paid or accrued as our Chief Accounting Officer (from May 2023 until his appointment as our Chief Financial Officer, Senior Vice President and Secretary in September 2023) and as our Chief Financial Officer.</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Narrative Disclosure to Summary Compensation Table</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Arrangements with Executive Officers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Scilex has entered into an offer letter with Mr. Shah. The material terms of the offer letter are described below.</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Shah Offer Letter and Compensation</w:t>
      </w:r>
    </w:p>
    <w:p>
      <w:pPr>
        <w:spacing w:after="0" w:line="82" w:lineRule="exact"/>
        <w:rPr>
          <w:sz w:val="20"/>
          <w:szCs w:val="20"/>
          <w:color w:val="auto"/>
        </w:rPr>
      </w:pPr>
    </w:p>
    <w:p>
      <w:pPr>
        <w:ind w:left="1980" w:right="979" w:firstLine="294"/>
        <w:spacing w:after="0" w:line="256" w:lineRule="auto"/>
        <w:rPr>
          <w:sz w:val="20"/>
          <w:szCs w:val="20"/>
          <w:color w:val="auto"/>
        </w:rPr>
      </w:pPr>
      <w:r>
        <w:rPr>
          <w:rFonts w:ascii="Times New Roman" w:cs="Times New Roman" w:eastAsia="Times New Roman" w:hAnsi="Times New Roman"/>
          <w:sz w:val="12"/>
          <w:szCs w:val="12"/>
          <w:color w:val="auto"/>
        </w:rPr>
        <w:t>Scilex entered into an offer letter with Mr. Shah (the “Shah Offer Letter”), dated April 19, 2019, pursuant to which Mr. Shah serves as the Chief Executive Officer of Scilex Pharma. Under the Shah Offer Letter, Mr. Shah’s annual base salary was initially set at $407,925, which was increased to $579,280 in 2020 and to $792,000 on November 11, 2022 (but became effective as of March 17, 2022). On September 22, 2023, our Compensation Committee approved an increase in Mr. Shah’s annual base salary to $1,250,000 and a bonus target of 150% of his base salary, effective as of October 16, 2023. Mr. Shah’s employment with Scilex is at-will, and either Scilex or Mr. Shah may terminate the terms and conditions of the employment relationship at any time, with or without cause and with or without notice.</w:t>
      </w:r>
    </w:p>
    <w:p>
      <w:pPr>
        <w:spacing w:after="0" w:line="125"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On June 6, 2019, Scilex issued to Mr. Shah an option to purchase 232,195 shares of Common Stock, with an exercise price equal to $60.55 per share. On December 21, 2020, Scilex issued to Mr. Shah an option to purchase 46,471 shares of Common Stock, with an exercise price equal to $60.55 per share. The shares subject to the forgoing options are now fully vested. The foregoing number of shares and exercise prices for Mr. Shah’s options reflect the application of the Exchange Ratio (as defined below) in the Business Combination. On January 17, 2023, Scilex issued to Mr. Shah an option to purchase 48,571 shares of Common Stock, with an exercise price of $282.80 per share, and on October 4, 2023, Scilex issued to Mr. Shah an option to purchase 5,714 shares of Common Stock, with an exercise price of $49.35 per share. The shares subject to such options vest in 48 equal monthly installments following the respective grant date, subject to Mr. Shah providing continuous service (as defined in the Equity Incentive Plan) on each such vesting date, inclusive. To the extent such options are unvested, the foregoing options will vest in full if there is a Change in Control (as defined in the Severance Agreement (as defined below) to which Mr. Shah is a party).</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Ji Compensation</w:t>
      </w:r>
    </w:p>
    <w:p>
      <w:pPr>
        <w:spacing w:after="0" w:line="82"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Scilex has not entered into an offer letter or employment agreement in connection with Dr. Ji’s service as our Executive Chairperson. On November 11, 2022, our Compensation Committee approved Dr. Ji’s annual base salary of $792,000 and bonus of $554,400, effective as of March 17, 2022. On September 22, 2023, our Compensation Committee approved an increase in Dr. Ji’s annual base salary to $1,250,000 and a bonus target of 150% of his base salary, effective as of October 16, 2023.</w:t>
      </w:r>
    </w:p>
    <w:p>
      <w:pPr>
        <w:spacing w:after="0" w:line="12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On September 20, 2019, Scilex issued to Dr. Ji, in connection with his service as a director, an option to purchase 58,048 shares of Common Stock, with an exercise price equal to $60.55 per share. The shares subject to such option are now fully vested. The foregoing number of shares and exercise price for Dr. Ji’s option reflects the application of the Exchange Ratio in the Business Combination. On January 17, 2023, Scilex issued to Dr. Ji an option to purchase 257,142 shares of Common Stock, with an exercise price of $282.80 per share, and on</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213</w:t>
      </w:r>
    </w:p>
    <w:p>
      <w:pPr>
        <w:sectPr>
          <w:pgSz w:w="11900" w:h="16838" w:orient="portrait"/>
          <w:cols w:equalWidth="0" w:num="1">
            <w:col w:w="10159"/>
          </w:cols>
          <w:pgMar w:left="300" w:top="368"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October 4, 2023, Scilex issued to Dr. Ji an option to purchase 5,714 shares of Common Stock, with an exercise price of $49.35 per share. The shares subject to such options vest in 48 equal monthly installments following the respective grant date, subject to Dr. Ji providing continuous service (as defined in the Equity Incentive Plan) on each such vesting date, inclusive. To the extent such options are unvested, the foregoing options will vest in full if there is a Change in Control (as defined in the Severance Agreement (as defined below) to which Dr. Ji is a party).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Ma Compensation</w:t>
      </w:r>
    </w:p>
    <w:p>
      <w:pPr>
        <w:spacing w:after="0" w:line="82" w:lineRule="exact"/>
        <w:rPr>
          <w:sz w:val="20"/>
          <w:szCs w:val="20"/>
          <w:color w:val="auto"/>
        </w:rPr>
      </w:pPr>
    </w:p>
    <w:p>
      <w:pPr>
        <w:jc w:val="both"/>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Scilex has not entered into an offer letter or employment agreement in connection with Mr. Ma’s service as our Chief Financial Officer, Senior Vice President and Secretary. On September 22, 2023, our Compensation Committee approved Mr. Ma’s annual base salary of $600,000 and a bonus target of 60% of his base salary, effective as of October 16, 2023.</w:t>
      </w:r>
    </w:p>
    <w:p>
      <w:pPr>
        <w:spacing w:after="0" w:line="119"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On January 17, 2023, Scilex issued to Mr. Ma an option to purchase 10,000 shares of Common Stock, with an exercise price of $282.80 per share, and on October 4, 2023, Scilex issued to Mr. Ma an option to purchase 4,285 shares of Common Stock, with an exercise price of $49.35 per share. The shares subject to such options vest in 48 equal monthly installments following the respective grant date, subject to Mr. Ma providing continuous service (as defined in the Equity Incentive Plan) on each such vesting date, inclusive. To the extent such options are unvested, the foregoing options will vest in full if there is a Change in Control (as defined in the Severance Agreement (as defined below) to which Mr. Ma is a party).</w:t>
      </w:r>
    </w:p>
    <w:p>
      <w:pPr>
        <w:spacing w:after="0" w:line="125"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Based upon the information provided by Compensia, a national compensation consulting firm engaged by our Compensation Committee to review and advise on our compensation practices, our Compensation Committee did not make any change to the base salaries or bonus targets for our named executive officers in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Change in Control</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Severance and Change in Control Agreements</w:t>
      </w:r>
    </w:p>
    <w:p>
      <w:pPr>
        <w:spacing w:after="0" w:line="82"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On September 22, 2023, our Compensation Committee approved the material terms of, and authorized us to enter into, severance and change in control arrangements with our Executive Chairperson, Chief Executive Officer, Chief Financial Officer and each other executive of the Company holding a senior vice president position or above (each, a “Participating Executive”), with such arrangements to be set forth in severance and change in control agreements (each a “Severance Agreement”). The named executive officers executed their respective Severance Agreements on November 8, 2023.</w:t>
      </w:r>
    </w:p>
    <w:p>
      <w:pPr>
        <w:spacing w:after="0" w:line="125"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Severance Agreements generally provide for, among other things, the following benefits in the event of (i) the executive’s termination without cause or resignation for good reason and (ii) a change in control of the Company.</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Termination without a change in control</w:t>
      </w:r>
    </w:p>
    <w:p>
      <w:pPr>
        <w:spacing w:after="0" w:line="80" w:lineRule="exact"/>
        <w:rPr>
          <w:sz w:val="20"/>
          <w:szCs w:val="20"/>
          <w:color w:val="auto"/>
        </w:rPr>
      </w:pPr>
    </w:p>
    <w:p>
      <w:pPr>
        <w:ind w:left="1980" w:right="859" w:firstLine="294"/>
        <w:spacing w:after="0" w:line="283" w:lineRule="auto"/>
        <w:rPr>
          <w:sz w:val="20"/>
          <w:szCs w:val="20"/>
          <w:color w:val="auto"/>
        </w:rPr>
      </w:pPr>
      <w:r>
        <w:rPr>
          <w:rFonts w:ascii="Times New Roman" w:cs="Times New Roman" w:eastAsia="Times New Roman" w:hAnsi="Times New Roman"/>
          <w:sz w:val="11"/>
          <w:szCs w:val="11"/>
          <w:color w:val="auto"/>
        </w:rPr>
        <w:t>If any Participating Executive (including each of our named executive officers) is terminated without cause or resigns for good reason, in either case, prior to a change in control, and subject to an irrevocably effective general release of claims in our favor, such executive shall be entitled to receive</w:t>
      </w:r>
    </w:p>
    <w:p>
      <w:pPr>
        <w:spacing w:after="0" w:line="1" w:lineRule="exact"/>
        <w:rPr>
          <w:sz w:val="20"/>
          <w:szCs w:val="20"/>
          <w:color w:val="auto"/>
        </w:rPr>
      </w:pPr>
    </w:p>
    <w:p>
      <w:pPr>
        <w:ind w:left="1980" w:right="879" w:hanging="8"/>
        <w:spacing w:after="0" w:line="255" w:lineRule="auto"/>
        <w:tabs>
          <w:tab w:leader="none" w:pos="2123"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year’s base salary, paid on a monthly basis, (ii) 12 months of benefits and (iii) with respect to any Company stock options held by such executive that have vested as of the date of such termination or resignation, such stock options shall be exercisable for a period of 24 months following such date of termination or resignation (or, if earlier, until the expiration of the maximum term of the option).</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214</w:t>
      </w:r>
    </w:p>
    <w:p>
      <w:pPr>
        <w:sectPr>
          <w:pgSz w:w="11900" w:h="16838" w:orient="portrait"/>
          <w:cols w:equalWidth="0" w:num="1">
            <w:col w:w="10159"/>
          </w:cols>
          <w:pgMar w:left="300" w:top="368"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Payments upon a change in control</w:t>
      </w:r>
    </w:p>
    <w:p>
      <w:pPr>
        <w:spacing w:after="0" w:line="80"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Upon a change in control of the Company, Dr. Ji, our Executive Chairperson, and Mr. Shah, our Chief Executive Officer, each shall be entitled to received (i) a lump sum payment equal to three times such executive’s annual base salary, (ii) a lump sum payment equal to three times such executive’s target bonus amount, (iii) a lump sum payment equal to $3,000 multiplied by 36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Upon a change in control of the Company, Mr. Ma, our Chief Financial Officer, Senior Vice President and Secretary, shall be entitled to receive</w:t>
      </w:r>
    </w:p>
    <w:p>
      <w:pPr>
        <w:spacing w:after="0" w:line="17" w:lineRule="exact"/>
        <w:rPr>
          <w:sz w:val="20"/>
          <w:szCs w:val="20"/>
          <w:color w:val="auto"/>
        </w:rPr>
      </w:pPr>
    </w:p>
    <w:p>
      <w:pPr>
        <w:ind w:left="1980" w:right="999" w:hanging="8"/>
        <w:spacing w:after="0" w:line="253" w:lineRule="auto"/>
        <w:tabs>
          <w:tab w:leader="none" w:pos="2123"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lump sum payment equal to two times such executive’s annual base salary, (ii) a lump sum payment equal to two times such executive’s target bonus amount, (iii) a lump sum payment equal to $3,000 multiplied by 24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w:t>
      </w:r>
    </w:p>
    <w:p>
      <w:pPr>
        <w:spacing w:after="0" w:line="127" w:lineRule="exact"/>
        <w:rPr>
          <w:sz w:val="20"/>
          <w:szCs w:val="20"/>
          <w:color w:val="auto"/>
        </w:rPr>
      </w:pPr>
    </w:p>
    <w:p>
      <w:pPr>
        <w:ind w:left="1980" w:right="959" w:firstLine="294"/>
        <w:spacing w:after="0" w:line="257" w:lineRule="auto"/>
        <w:rPr>
          <w:sz w:val="20"/>
          <w:szCs w:val="20"/>
          <w:color w:val="auto"/>
        </w:rPr>
      </w:pPr>
      <w:r>
        <w:rPr>
          <w:rFonts w:ascii="Times New Roman" w:cs="Times New Roman" w:eastAsia="Times New Roman" w:hAnsi="Times New Roman"/>
          <w:sz w:val="12"/>
          <w:szCs w:val="12"/>
          <w:color w:val="auto"/>
        </w:rPr>
        <w:t>For any other Participating Executive, upon a change in control, such executive shall be entitled to receive (i) a lump sum payment equal to such executive’s annual base salary, (ii) a lump sum payment equal to such executive’s target bonus amount, (iii) a lump sum payment equal to $3,000 multiplied by 12 in respect of payments for benefits, and (iv) accelerated vesting of all time-based vesting equity awards, with stock options remaining exercisable for a period of not less than 24 months following the change in control (or, if earlier, until the expiration of the maximum term of the option).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Perquisites, Health, Welfare and Retirement Benefits</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Our executive officers, during their employment with us, are eligible to participate in our employee benefit plans, including our medical, vision and dental insurance plans, in each case on the same basis as all of our other employees. We generally do not provide perquisites or personal benefits to our named executive officers, except in limited circumstances. We do, however, pay the premiums for medical, vision and dental insurance for all of our employees, including our named executive officers. Our Board may elect to adopt qualified or nonqualified benefit plans in the future if it determines that doing so is in our best interests.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Pension Benefits and Nonqualified Deferred Compensation</w:t>
      </w:r>
    </w:p>
    <w:p>
      <w:pPr>
        <w:spacing w:after="0" w:line="82"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We maintain a defined contribution 401(k) plan available to eligible employees. Employee contributions are voluntary and are determined on an individual basis, limited to the maximum amount allowable under federal tax regulations. We made matching contributions to the 401(k) plan totaling $0.6 million and $0.5 million for each of the years ended December 31, 2024 and 2023, respectively.</w:t>
      </w:r>
    </w:p>
    <w:p>
      <w:pPr>
        <w:spacing w:after="0" w:line="119" w:lineRule="exact"/>
        <w:rPr>
          <w:sz w:val="20"/>
          <w:szCs w:val="20"/>
          <w:color w:val="auto"/>
        </w:rPr>
      </w:pPr>
    </w:p>
    <w:p>
      <w:pPr>
        <w:ind w:left="1980" w:right="1179" w:firstLine="294"/>
        <w:spacing w:after="0" w:line="279" w:lineRule="auto"/>
        <w:rPr>
          <w:sz w:val="20"/>
          <w:szCs w:val="20"/>
          <w:color w:val="auto"/>
        </w:rPr>
      </w:pPr>
      <w:r>
        <w:rPr>
          <w:rFonts w:ascii="Times New Roman" w:cs="Times New Roman" w:eastAsia="Times New Roman" w:hAnsi="Times New Roman"/>
          <w:sz w:val="12"/>
          <w:szCs w:val="12"/>
          <w:color w:val="auto"/>
        </w:rPr>
        <w:t>Mr. Shah, Dr. Ji and Mr. Ma participate in our tax-qualified Section 401(k) plan and we provide a 4% matching contribution up to an annual compensation limit ($345,000 in 2024).</w:t>
      </w:r>
    </w:p>
    <w:p>
      <w:pPr>
        <w:spacing w:after="0" w:line="111" w:lineRule="exact"/>
        <w:rPr>
          <w:sz w:val="20"/>
          <w:szCs w:val="20"/>
          <w:color w:val="auto"/>
        </w:rPr>
      </w:pPr>
    </w:p>
    <w:p>
      <w:pPr>
        <w:ind w:left="1980" w:right="1059" w:firstLine="294"/>
        <w:spacing w:after="0" w:line="279" w:lineRule="auto"/>
        <w:rPr>
          <w:sz w:val="20"/>
          <w:szCs w:val="20"/>
          <w:color w:val="auto"/>
        </w:rPr>
      </w:pPr>
      <w:r>
        <w:rPr>
          <w:rFonts w:ascii="Times New Roman" w:cs="Times New Roman" w:eastAsia="Times New Roman" w:hAnsi="Times New Roman"/>
          <w:sz w:val="12"/>
          <w:szCs w:val="12"/>
          <w:color w:val="auto"/>
        </w:rPr>
        <w:t>We do not provide any other pension plan for our employees, and none of our named executive officers participated in a nonqualified deferred compensation plan during the year ended December 31, 2024.</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215</w:t>
      </w:r>
    </w:p>
    <w:p>
      <w:pPr>
        <w:sectPr>
          <w:pgSz w:w="11900" w:h="16838" w:orient="portrait"/>
          <w:cols w:equalWidth="0" w:num="1">
            <w:col w:w="10159"/>
          </w:cols>
          <w:pgMar w:left="300" w:top="368"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 2024</w:t>
      </w:r>
    </w:p>
    <w:p>
      <w:pPr>
        <w:spacing w:after="0" w:line="82" w:lineRule="exact"/>
        <w:rPr>
          <w:sz w:val="20"/>
          <w:szCs w:val="20"/>
          <w:color w:val="auto"/>
        </w:rPr>
      </w:pPr>
    </w:p>
    <w:p>
      <w:pPr>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The following table presents certain information concerning outstanding equity awards held by each of our named executive officers as of December 31, 2024. Following the Business Combination, each outstanding equity award with respect to our Common Stock reflected in the table below was equitably adjusted in accordance with the terms of the Merger Agreement and the 2019 Stock Option Plan.</w:t>
      </w:r>
    </w:p>
    <w:p>
      <w:pPr>
        <w:spacing w:after="0" w:line="11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40" w:type="dxa"/>
            <w:vAlign w:val="bottom"/>
            <w:gridSpan w:val="2"/>
          </w:tcPr>
          <w:p>
            <w:pPr>
              <w:jc w:val="right"/>
              <w:ind w:right="484"/>
              <w:spacing w:after="0"/>
              <w:rPr>
                <w:sz w:val="20"/>
                <w:szCs w:val="20"/>
                <w:color w:val="auto"/>
              </w:rPr>
            </w:pPr>
            <w:r>
              <w:rPr>
                <w:rFonts w:ascii="Times New Roman" w:cs="Times New Roman" w:eastAsia="Times New Roman" w:hAnsi="Times New Roman"/>
                <w:sz w:val="10"/>
                <w:szCs w:val="10"/>
                <w:b w:val="1"/>
                <w:bCs w:val="1"/>
                <w:color w:val="auto"/>
              </w:rPr>
              <w:t>Option Awards</w:t>
            </w:r>
            <w:r>
              <w:rPr>
                <w:rFonts w:ascii="Times New Roman" w:cs="Times New Roman" w:eastAsia="Times New Roman" w:hAnsi="Times New Roman"/>
                <w:sz w:val="7"/>
                <w:szCs w:val="7"/>
                <w:b w:val="1"/>
                <w:bCs w:val="1"/>
                <w:color w:val="auto"/>
              </w:rPr>
              <w:t>(1)(2)</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8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160" w:type="dxa"/>
            <w:vAlign w:val="bottom"/>
          </w:tcPr>
          <w:p>
            <w:pPr>
              <w:spacing w:after="0"/>
              <w:rPr>
                <w:sz w:val="8"/>
                <w:szCs w:val="8"/>
                <w:color w:val="auto"/>
              </w:rPr>
            </w:pPr>
          </w:p>
        </w:tc>
        <w:tc>
          <w:tcPr>
            <w:tcW w:w="560" w:type="dxa"/>
            <w:vAlign w:val="bottom"/>
            <w:vMerge w:val="restart"/>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vMerge w:val="restart"/>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2"/>
              </w:rPr>
              <w:t>Vesting</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8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99"/>
        </w:trPr>
        <w:tc>
          <w:tcPr>
            <w:tcW w:w="2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1020" w:type="dxa"/>
            <w:vAlign w:val="bottom"/>
            <w:vMerge w:val="continue"/>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8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Unexercised</w:t>
            </w:r>
          </w:p>
        </w:tc>
        <w:tc>
          <w:tcPr>
            <w:tcW w:w="160" w:type="dxa"/>
            <w:vAlign w:val="bottom"/>
          </w:tcPr>
          <w:p>
            <w:pPr>
              <w:spacing w:after="0"/>
              <w:rPr>
                <w:sz w:val="8"/>
                <w:szCs w:val="8"/>
                <w:color w:val="auto"/>
              </w:rPr>
            </w:pPr>
          </w:p>
        </w:tc>
        <w:tc>
          <w:tcPr>
            <w:tcW w:w="560" w:type="dxa"/>
            <w:vAlign w:val="bottom"/>
          </w:tcPr>
          <w:p>
            <w:pPr>
              <w:jc w:val="center"/>
              <w:ind w:right="162"/>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20" w:type="dxa"/>
            <w:vAlign w:val="bottom"/>
          </w:tcPr>
          <w:p>
            <w:pPr>
              <w:jc w:val="center"/>
              <w:ind w:right="85"/>
              <w:spacing w:after="0" w:line="99" w:lineRule="exact"/>
              <w:rPr>
                <w:sz w:val="20"/>
                <w:szCs w:val="20"/>
                <w:color w:val="auto"/>
              </w:rPr>
            </w:pPr>
            <w:r>
              <w:rPr>
                <w:rFonts w:ascii="Times New Roman" w:cs="Times New Roman" w:eastAsia="Times New Roman" w:hAnsi="Times New Roman"/>
                <w:sz w:val="10"/>
                <w:szCs w:val="10"/>
                <w:b w:val="1"/>
                <w:bCs w:val="1"/>
                <w:color w:val="auto"/>
                <w:w w:val="97"/>
              </w:rPr>
              <w:t>Commencement</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Options (#)</w:t>
            </w:r>
          </w:p>
        </w:tc>
        <w:tc>
          <w:tcPr>
            <w:tcW w:w="8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9"/>
              </w:rPr>
              <w:t>Options (#)</w:t>
            </w:r>
          </w:p>
        </w:tc>
        <w:tc>
          <w:tcPr>
            <w:tcW w:w="720" w:type="dxa"/>
            <w:vAlign w:val="bottom"/>
            <w:gridSpan w:val="2"/>
          </w:tcPr>
          <w:p>
            <w:pPr>
              <w:jc w:val="center"/>
              <w:ind w:right="2"/>
              <w:spacing w:after="0" w:line="99" w:lineRule="exact"/>
              <w:rPr>
                <w:sz w:val="20"/>
                <w:szCs w:val="20"/>
                <w:color w:val="auto"/>
              </w:rPr>
            </w:pPr>
            <w:r>
              <w:rPr>
                <w:rFonts w:ascii="Times New Roman" w:cs="Times New Roman" w:eastAsia="Times New Roman" w:hAnsi="Times New Roman"/>
                <w:sz w:val="10"/>
                <w:szCs w:val="10"/>
                <w:b w:val="1"/>
                <w:bCs w:val="1"/>
                <w:color w:val="auto"/>
                <w:w w:val="95"/>
              </w:rPr>
              <w:t>Price Per</w:t>
            </w: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Expiration</w:t>
            </w:r>
          </w:p>
        </w:tc>
        <w:tc>
          <w:tcPr>
            <w:tcW w:w="0" w:type="dxa"/>
            <w:vAlign w:val="bottom"/>
          </w:tcPr>
          <w:p>
            <w:pPr>
              <w:spacing w:after="0"/>
              <w:rPr>
                <w:sz w:val="1"/>
                <w:szCs w:val="1"/>
                <w:color w:val="auto"/>
              </w:rPr>
            </w:pPr>
          </w:p>
        </w:tc>
      </w:tr>
      <w:tr>
        <w:trPr>
          <w:trHeight w:val="115"/>
        </w:trPr>
        <w:tc>
          <w:tcPr>
            <w:tcW w:w="24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w w:val="98"/>
              </w:rPr>
              <w:t>Grant Date</w:t>
            </w:r>
          </w:p>
        </w:tc>
        <w:tc>
          <w:tcPr>
            <w:tcW w:w="1020" w:type="dxa"/>
            <w:vAlign w:val="bottom"/>
          </w:tcPr>
          <w:p>
            <w:pPr>
              <w:jc w:val="center"/>
              <w:ind w:right="85"/>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Unexercisable</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Share ($)</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Jaisim Shah</w:t>
            </w: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6/6/2019</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3/18/2019</w:t>
            </w:r>
            <w:r>
              <w:rPr>
                <w:rFonts w:ascii="Times New Roman" w:cs="Times New Roman" w:eastAsia="Times New Roman" w:hAnsi="Times New Roman"/>
                <w:sz w:val="16"/>
                <w:szCs w:val="16"/>
                <w:color w:val="auto"/>
                <w:vertAlign w:val="superscript"/>
              </w:rPr>
              <w:t>(3)</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232,195</w:t>
            </w:r>
          </w:p>
        </w:tc>
        <w:tc>
          <w:tcPr>
            <w:tcW w:w="8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60.55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6/6/2029</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12/21/2020</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12/21/2020</w:t>
            </w:r>
            <w:r>
              <w:rPr>
                <w:rFonts w:ascii="Times New Roman" w:cs="Times New Roman" w:eastAsia="Times New Roman" w:hAnsi="Times New Roman"/>
                <w:sz w:val="16"/>
                <w:szCs w:val="16"/>
                <w:color w:val="auto"/>
                <w:vertAlign w:val="superscript"/>
              </w:rPr>
              <w:t>(3)</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46,471</w:t>
            </w:r>
          </w:p>
        </w:tc>
        <w:tc>
          <w:tcPr>
            <w:tcW w:w="8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60.55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12/21/2030</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1/17/2023</w:t>
            </w:r>
            <w:r>
              <w:rPr>
                <w:rFonts w:ascii="Times New Roman" w:cs="Times New Roman" w:eastAsia="Times New Roman" w:hAnsi="Times New Roman"/>
                <w:sz w:val="16"/>
                <w:szCs w:val="16"/>
                <w:color w:val="auto"/>
                <w:vertAlign w:val="superscript"/>
              </w:rPr>
              <w:t>(5)</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23,274</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25,297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282.80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1/17/2033</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10/4/2023</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10/4/2023</w:t>
            </w:r>
            <w:r>
              <w:rPr>
                <w:rFonts w:ascii="Times New Roman" w:cs="Times New Roman" w:eastAsia="Times New Roman" w:hAnsi="Times New Roman"/>
                <w:sz w:val="16"/>
                <w:szCs w:val="16"/>
                <w:color w:val="auto"/>
                <w:vertAlign w:val="superscript"/>
              </w:rPr>
              <w:t>(5)</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714</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4,047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49.35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10/4/2033</w:t>
            </w:r>
          </w:p>
        </w:tc>
        <w:tc>
          <w:tcPr>
            <w:tcW w:w="0" w:type="dxa"/>
            <w:vAlign w:val="bottom"/>
          </w:tcPr>
          <w:p>
            <w:pPr>
              <w:spacing w:after="0"/>
              <w:rPr>
                <w:sz w:val="1"/>
                <w:szCs w:val="1"/>
                <w:color w:val="auto"/>
              </w:rPr>
            </w:pPr>
          </w:p>
        </w:tc>
      </w:tr>
      <w:tr>
        <w:trPr>
          <w:trHeight w:val="133"/>
        </w:trPr>
        <w:tc>
          <w:tcPr>
            <w:tcW w:w="2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Henry Ji, Ph.D.</w:t>
            </w:r>
          </w:p>
        </w:tc>
        <w:tc>
          <w:tcPr>
            <w:tcW w:w="180" w:type="dxa"/>
            <w:vAlign w:val="bottom"/>
          </w:tcPr>
          <w:p>
            <w:pPr>
              <w:spacing w:after="0"/>
              <w:rPr>
                <w:sz w:val="11"/>
                <w:szCs w:val="11"/>
                <w:color w:val="auto"/>
              </w:rPr>
            </w:pPr>
          </w:p>
        </w:tc>
        <w:tc>
          <w:tcPr>
            <w:tcW w:w="700" w:type="dxa"/>
            <w:vAlign w:val="bottom"/>
          </w:tcPr>
          <w:p>
            <w:pPr>
              <w:jc w:val="right"/>
              <w:ind w:right="43"/>
              <w:spacing w:after="0" w:line="133" w:lineRule="exact"/>
              <w:rPr>
                <w:sz w:val="20"/>
                <w:szCs w:val="20"/>
                <w:color w:val="auto"/>
              </w:rPr>
            </w:pPr>
            <w:r>
              <w:rPr>
                <w:rFonts w:ascii="Times New Roman" w:cs="Times New Roman" w:eastAsia="Times New Roman" w:hAnsi="Times New Roman"/>
                <w:sz w:val="12"/>
                <w:szCs w:val="12"/>
                <w:color w:val="auto"/>
              </w:rPr>
              <w:t>9/20/2019</w:t>
            </w:r>
          </w:p>
        </w:tc>
        <w:tc>
          <w:tcPr>
            <w:tcW w:w="1020" w:type="dxa"/>
            <w:vAlign w:val="bottom"/>
          </w:tcPr>
          <w:p>
            <w:pPr>
              <w:jc w:val="right"/>
              <w:ind w:right="45"/>
              <w:spacing w:after="0" w:line="133" w:lineRule="exact"/>
              <w:rPr>
                <w:sz w:val="20"/>
                <w:szCs w:val="20"/>
                <w:color w:val="auto"/>
              </w:rPr>
            </w:pPr>
            <w:r>
              <w:rPr>
                <w:rFonts w:ascii="Times New Roman" w:cs="Times New Roman" w:eastAsia="Times New Roman" w:hAnsi="Times New Roman"/>
                <w:sz w:val="11"/>
                <w:szCs w:val="11"/>
                <w:color w:val="auto"/>
              </w:rPr>
              <w:t>3/18/2019</w:t>
            </w:r>
            <w:r>
              <w:rPr>
                <w:rFonts w:ascii="Times New Roman" w:cs="Times New Roman" w:eastAsia="Times New Roman" w:hAnsi="Times New Roman"/>
                <w:sz w:val="15"/>
                <w:szCs w:val="15"/>
                <w:color w:val="auto"/>
                <w:vertAlign w:val="superscript"/>
              </w:rPr>
              <w:t>(3)</w:t>
            </w:r>
          </w:p>
        </w:tc>
        <w:tc>
          <w:tcPr>
            <w:tcW w:w="740" w:type="dxa"/>
            <w:vAlign w:val="bottom"/>
          </w:tcPr>
          <w:p>
            <w:pPr>
              <w:jc w:val="right"/>
              <w:ind w:right="45"/>
              <w:spacing w:after="0" w:line="133" w:lineRule="exact"/>
              <w:rPr>
                <w:sz w:val="20"/>
                <w:szCs w:val="20"/>
                <w:color w:val="auto"/>
              </w:rPr>
            </w:pPr>
            <w:r>
              <w:rPr>
                <w:rFonts w:ascii="Times New Roman" w:cs="Times New Roman" w:eastAsia="Times New Roman" w:hAnsi="Times New Roman"/>
                <w:sz w:val="12"/>
                <w:szCs w:val="12"/>
                <w:color w:val="auto"/>
              </w:rPr>
              <w:t>58,048</w:t>
            </w:r>
          </w:p>
        </w:tc>
        <w:tc>
          <w:tcPr>
            <w:tcW w:w="800" w:type="dxa"/>
            <w:vAlign w:val="bottom"/>
          </w:tcPr>
          <w:p>
            <w:pPr>
              <w:jc w:val="right"/>
              <w:ind w:right="64"/>
              <w:spacing w:after="0" w:line="133" w:lineRule="exact"/>
              <w:rPr>
                <w:sz w:val="20"/>
                <w:szCs w:val="20"/>
                <w:color w:val="auto"/>
              </w:rPr>
            </w:pPr>
            <w:r>
              <w:rPr>
                <w:rFonts w:ascii="Times New Roman" w:cs="Times New Roman" w:eastAsia="Times New Roman" w:hAnsi="Times New Roman"/>
                <w:sz w:val="12"/>
                <w:szCs w:val="12"/>
                <w:color w:val="auto"/>
              </w:rPr>
              <w:t>— </w:t>
            </w:r>
          </w:p>
        </w:tc>
        <w:tc>
          <w:tcPr>
            <w:tcW w:w="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82"/>
              <w:spacing w:after="0" w:line="133" w:lineRule="exact"/>
              <w:rPr>
                <w:sz w:val="20"/>
                <w:szCs w:val="20"/>
                <w:color w:val="auto"/>
              </w:rPr>
            </w:pPr>
            <w:r>
              <w:rPr>
                <w:rFonts w:ascii="Times New Roman" w:cs="Times New Roman" w:eastAsia="Times New Roman" w:hAnsi="Times New Roman"/>
                <w:sz w:val="12"/>
                <w:szCs w:val="12"/>
                <w:color w:val="auto"/>
              </w:rPr>
              <w:t>60.55</w:t>
            </w: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9/20/2029</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1/17/2023</w:t>
            </w:r>
            <w:r>
              <w:rPr>
                <w:rFonts w:ascii="Times New Roman" w:cs="Times New Roman" w:eastAsia="Times New Roman" w:hAnsi="Times New Roman"/>
                <w:sz w:val="16"/>
                <w:szCs w:val="16"/>
                <w:color w:val="auto"/>
                <w:vertAlign w:val="superscript"/>
              </w:rPr>
              <w:t>(5)</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123,214</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133,928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282.80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1/17/2033</w:t>
            </w:r>
          </w:p>
        </w:tc>
        <w:tc>
          <w:tcPr>
            <w:tcW w:w="0" w:type="dxa"/>
            <w:vAlign w:val="bottom"/>
          </w:tcPr>
          <w:p>
            <w:pPr>
              <w:spacing w:after="0"/>
              <w:rPr>
                <w:sz w:val="1"/>
                <w:szCs w:val="1"/>
                <w:color w:val="auto"/>
              </w:rPr>
            </w:pPr>
          </w:p>
        </w:tc>
      </w:tr>
      <w:tr>
        <w:trPr>
          <w:trHeight w:val="155"/>
        </w:trPr>
        <w:tc>
          <w:tcPr>
            <w:tcW w:w="2420" w:type="dxa"/>
            <w:vAlign w:val="bottom"/>
          </w:tcPr>
          <w:p>
            <w:pPr>
              <w:spacing w:after="0"/>
              <w:rPr>
                <w:sz w:val="13"/>
                <w:szCs w:val="13"/>
                <w:color w:val="auto"/>
              </w:rPr>
            </w:pPr>
          </w:p>
        </w:tc>
        <w:tc>
          <w:tcPr>
            <w:tcW w:w="880" w:type="dxa"/>
            <w:vAlign w:val="bottom"/>
            <w:gridSpan w:val="2"/>
          </w:tcPr>
          <w:p>
            <w:pPr>
              <w:jc w:val="right"/>
              <w:ind w:right="43"/>
              <w:spacing w:after="0"/>
              <w:rPr>
                <w:sz w:val="20"/>
                <w:szCs w:val="20"/>
                <w:color w:val="auto"/>
              </w:rPr>
            </w:pPr>
            <w:r>
              <w:rPr>
                <w:rFonts w:ascii="Times New Roman" w:cs="Times New Roman" w:eastAsia="Times New Roman" w:hAnsi="Times New Roman"/>
                <w:sz w:val="12"/>
                <w:szCs w:val="12"/>
                <w:color w:val="auto"/>
              </w:rPr>
              <w:t>10/4/2023</w:t>
            </w:r>
          </w:p>
        </w:tc>
        <w:tc>
          <w:tcPr>
            <w:tcW w:w="1020" w:type="dxa"/>
            <w:vAlign w:val="bottom"/>
          </w:tcPr>
          <w:p>
            <w:pPr>
              <w:jc w:val="right"/>
              <w:ind w:right="45"/>
              <w:spacing w:after="0" w:line="155" w:lineRule="exact"/>
              <w:rPr>
                <w:sz w:val="20"/>
                <w:szCs w:val="20"/>
                <w:color w:val="auto"/>
              </w:rPr>
            </w:pPr>
            <w:r>
              <w:rPr>
                <w:rFonts w:ascii="Times New Roman" w:cs="Times New Roman" w:eastAsia="Times New Roman" w:hAnsi="Times New Roman"/>
                <w:sz w:val="12"/>
                <w:szCs w:val="12"/>
                <w:color w:val="auto"/>
              </w:rPr>
              <w:t>10/4/2023</w:t>
            </w:r>
            <w:r>
              <w:rPr>
                <w:rFonts w:ascii="Times New Roman" w:cs="Times New Roman" w:eastAsia="Times New Roman" w:hAnsi="Times New Roman"/>
                <w:sz w:val="17"/>
                <w:szCs w:val="17"/>
                <w:color w:val="auto"/>
                <w:vertAlign w:val="superscript"/>
              </w:rPr>
              <w:t>(5)</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1,495</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4,047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49.35</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10/4/2033</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Stephen Ma</w:t>
            </w: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6/13/2019</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3/18/2019</w:t>
            </w:r>
            <w:r>
              <w:rPr>
                <w:rFonts w:ascii="Times New Roman" w:cs="Times New Roman" w:eastAsia="Times New Roman" w:hAnsi="Times New Roman"/>
                <w:sz w:val="16"/>
                <w:szCs w:val="16"/>
                <w:color w:val="auto"/>
                <w:vertAlign w:val="superscript"/>
              </w:rPr>
              <w:t>(3)</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1,924</w:t>
            </w:r>
          </w:p>
        </w:tc>
        <w:tc>
          <w:tcPr>
            <w:tcW w:w="8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60.55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6/13/2029</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12/21/2020</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12/21/2020</w:t>
            </w:r>
            <w:r>
              <w:rPr>
                <w:rFonts w:ascii="Times New Roman" w:cs="Times New Roman" w:eastAsia="Times New Roman" w:hAnsi="Times New Roman"/>
                <w:sz w:val="16"/>
                <w:szCs w:val="16"/>
                <w:color w:val="auto"/>
                <w:vertAlign w:val="superscript"/>
              </w:rPr>
              <w:t>(3)</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1,443</w:t>
            </w:r>
          </w:p>
        </w:tc>
        <w:tc>
          <w:tcPr>
            <w:tcW w:w="8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60.55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12/21/2030</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1/17/2023</w:t>
            </w:r>
            <w:r>
              <w:rPr>
                <w:rFonts w:ascii="Times New Roman" w:cs="Times New Roman" w:eastAsia="Times New Roman" w:hAnsi="Times New Roman"/>
                <w:sz w:val="16"/>
                <w:szCs w:val="16"/>
                <w:color w:val="auto"/>
                <w:vertAlign w:val="superscript"/>
              </w:rPr>
              <w:t>(5)</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4,792</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5,208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282.80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1/17/2033</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10/4/2023</w:t>
            </w:r>
          </w:p>
        </w:tc>
        <w:tc>
          <w:tcPr>
            <w:tcW w:w="1020" w:type="dxa"/>
            <w:vAlign w:val="bottom"/>
            <w:shd w:val="clear" w:color="auto" w:fill="CCEEFF"/>
          </w:tcPr>
          <w:p>
            <w:pPr>
              <w:jc w:val="right"/>
              <w:ind w:right="45"/>
              <w:spacing w:after="0" w:line="144" w:lineRule="exact"/>
              <w:rPr>
                <w:sz w:val="20"/>
                <w:szCs w:val="20"/>
                <w:color w:val="auto"/>
              </w:rPr>
            </w:pPr>
            <w:r>
              <w:rPr>
                <w:rFonts w:ascii="Times New Roman" w:cs="Times New Roman" w:eastAsia="Times New Roman" w:hAnsi="Times New Roman"/>
                <w:sz w:val="11"/>
                <w:szCs w:val="11"/>
                <w:color w:val="auto"/>
              </w:rPr>
              <w:t>10/4/2023</w:t>
            </w:r>
            <w:r>
              <w:rPr>
                <w:rFonts w:ascii="Times New Roman" w:cs="Times New Roman" w:eastAsia="Times New Roman" w:hAnsi="Times New Roman"/>
                <w:sz w:val="16"/>
                <w:szCs w:val="16"/>
                <w:color w:val="auto"/>
                <w:vertAlign w:val="superscript"/>
              </w:rPr>
              <w:t>(5)</w:t>
            </w:r>
          </w:p>
        </w:tc>
        <w:tc>
          <w:tcPr>
            <w:tcW w:w="74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2"/>
                <w:szCs w:val="12"/>
                <w:color w:val="auto"/>
              </w:rPr>
              <w:t>1,192</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3,035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49.35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10/4/2033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2260" w:right="879" w:hanging="288"/>
        <w:spacing w:after="0" w:line="251" w:lineRule="auto"/>
        <w:tabs>
          <w:tab w:leader="none" w:pos="22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November 10, 2022, the Company consummated the previously announced Business Combination pursuant to the terms of the Merger Agreement, by and among Vickers, Merger Sub, and Legacy Scilex. Pursuant to the terms of the Merger Agreement, on November 10, 2022, (i) Merger Sub merged with and into Legacy Scilex, with Legacy Scilex as the surviving company in the Business Combination, and, after giving effect to such Business Combination, Legacy Scilex became a wholly owned subsidiary of Vickers and changed its name to “Scilex, Inc.”, and (ii) Vickers changed its name to “Scilex Holding Company”. Pursuant to the terms of the Merger Agreement, effective as of the closing of the Business Combination on November 10, 2022, outstanding equity awards under the Scilex Pharma 2017 Plan and 2019 Stock Option Plan were adjusted as follows: (i) each option to purchase Legacy Scilex common stock that was outstanding as of immediately prior to the Effective Time was converted into the right to receive an option relating to our Common Stock upon substantially the same terms and conditions as were in effect with respect to such option immediately prior to the Effective Time (the “Option”) except that (x) such Option relates to that whole number of shares of our Common Stock (rounded down to the nearest whole share) equal to the number of Legacy Scilex common stock subject to such Option, multiplied by the Exchange Ratio of 0.673498:1 (the “Exchange Ratio”), and (y) the exercise price per share for each such share of our Common Stock equals the exercise price per share of such Option in effect immediately prior to the Effective Time, divided by the Exchange Ratio (rounded up to the nearest whole cent). The numbers in the table reflect the share numbers outstanding and exercise prices as of December 31, 2024, in each case after giving effect to the Exchange Ratio.</w:t>
      </w:r>
    </w:p>
    <w:p>
      <w:pPr>
        <w:spacing w:after="0" w:line="6" w:lineRule="exact"/>
        <w:rPr>
          <w:rFonts w:ascii="Times New Roman" w:cs="Times New Roman" w:eastAsia="Times New Roman" w:hAnsi="Times New Roman"/>
          <w:sz w:val="12"/>
          <w:szCs w:val="12"/>
          <w:color w:val="auto"/>
        </w:rPr>
      </w:pPr>
    </w:p>
    <w:p>
      <w:pPr>
        <w:ind w:left="2260" w:right="1079" w:hanging="288"/>
        <w:spacing w:after="0" w:line="250" w:lineRule="auto"/>
        <w:tabs>
          <w:tab w:leader="none" w:pos="22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Options granted in 2019 and 2020 were granted under the 2019 Stock Option Plan, and options granted in 2023 were granted under the Equity Incentive Plan.</w:t>
      </w:r>
    </w:p>
    <w:p>
      <w:pPr>
        <w:ind w:left="2260" w:hanging="288"/>
        <w:spacing w:after="0"/>
        <w:tabs>
          <w:tab w:leader="none" w:pos="22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Options have fully vested.</w:t>
      </w:r>
    </w:p>
    <w:p>
      <w:pPr>
        <w:spacing w:after="0" w:line="6" w:lineRule="exact"/>
        <w:rPr>
          <w:rFonts w:ascii="Times New Roman" w:cs="Times New Roman" w:eastAsia="Times New Roman" w:hAnsi="Times New Roman"/>
          <w:sz w:val="12"/>
          <w:szCs w:val="12"/>
          <w:color w:val="auto"/>
        </w:rPr>
      </w:pPr>
    </w:p>
    <w:p>
      <w:pPr>
        <w:ind w:left="2260" w:right="859" w:hanging="288"/>
        <w:spacing w:after="0" w:line="253" w:lineRule="auto"/>
        <w:tabs>
          <w:tab w:leader="none" w:pos="226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option vested as to 1/4th of the shares subject to the option on the one-year anniversary of the vesting commencement date and 1/48th of the original number of shares subject to the option vested and shall vest on each monthly anniversary thereafter, subject to full acceleration in the event of an involuntary termination of employment without “cause” or due to a voluntary termination of employment with “good reason” (each, as defined in the applicable option agreement) within 13 months following a Change in Control (as defined in the 2019 Stock Option Plan).</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216</w:t>
      </w:r>
    </w:p>
    <w:p>
      <w:pPr>
        <w:sectPr>
          <w:pgSz w:w="11900" w:h="16838" w:orient="portrait"/>
          <w:cols w:equalWidth="0" w:num="1">
            <w:col w:w="10159"/>
          </w:cols>
          <w:pgMar w:left="300" w:top="368"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939" w:hanging="288"/>
        <w:spacing w:after="0" w:line="260" w:lineRule="auto"/>
        <w:tabs>
          <w:tab w:leader="none" w:pos="2260"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option vested and shall vest as to 1/48th of the shares subject to the option on each monthly anniversary commencing on the vesting commencement date, subject to full acceleration in the event of a Corporate Transaction (as defined in the Equity Incentive Plan) in which the surviving corporation or acquiring corporation (or its parent company) does not assume or continue such outstanding awards or substitute similar awards for such outstanding awards.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Equity Award Timing Procedures</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In accordance with Item 402(x) of Regulation S-K under the Securities Act, we are providing information regarding our procedures related to the grant of certain equity awards close in time to the release of material non-public information (“MNPI”). We generally grant equity awards annually, and any such equity awards granted are recommended by the Compensation Committee and approved by our Board on or before the grant date. We do not grant equity awards in anticipation of the release of material non-public information and do not time, and do not plan to time, the release of material non-public information in coordination with grants of equity awards in a manner that intentionally affects the value of executive compensation. Additionally, our Insider Trading Policy prohibits directors, officers and employees from trading in our common stock while in possession of or on the basis of MNPI about us. We have not timed, and do not plan to time, the disclosure of MNPI for the purpose of affecting the value of executive compensation.</w:t>
      </w:r>
    </w:p>
    <w:p>
      <w:pPr>
        <w:spacing w:after="0" w:line="128"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In the year ended December 31, 2024, no options were granted to our named executive officers within four business days prior to, or one business day following, the filing or furnishing of a periodic or current report by us that disclosed MNPI.</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Equity-Based Incentive Plans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2017 Scilex Pharmaceuticals Inc. Equity Incentive Plan</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June 2017, our Board adopted the Scilex Pharma 2017 Plan. In connection with the corporate reorganization in March 2019, the Scilex Pharma</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2017 Plan was terminated. Accordingly, after such time, no additional awards were granted under the Scilex Pharma 2017 Plan.</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2019 Stock Option Plan</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In May 2019, our Board adopted the 2019 Stock Option Plan, which subsequently was amended in December 2020. The 2019 Stock Option Plan was terminated at the closing of the Business Combination, and no further awards have been granted under the 2019 Stock Option Plan thereafter. However, the 2019 Stock Option Plan will continue to govern outstanding awards granted thereunder.</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2022 Equity Incentive Plan</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 October 2022, our Board adopted the Equity Incentive Plan. The total number of shares of Common Stock for which incentive stock options (“ISOs”) may be granted under the Equity Incentive Plan is not to exceed 579,332 shares, which was increased from 417,791 as a result of the automatic annual increase on January 1, 2023 pursuant to the Equity Incentive Plan provisions.</w:t>
      </w:r>
    </w:p>
    <w:p>
      <w:pPr>
        <w:spacing w:after="0" w:line="119" w:lineRule="exact"/>
        <w:rPr>
          <w:sz w:val="20"/>
          <w:szCs w:val="20"/>
          <w:color w:val="auto"/>
        </w:rPr>
      </w:pPr>
    </w:p>
    <w:p>
      <w:pPr>
        <w:ind w:left="1980" w:right="1099" w:firstLine="294"/>
        <w:spacing w:after="0" w:line="260" w:lineRule="auto"/>
        <w:rPr>
          <w:sz w:val="20"/>
          <w:szCs w:val="20"/>
          <w:color w:val="auto"/>
        </w:rPr>
      </w:pPr>
      <w:r>
        <w:rPr>
          <w:rFonts w:ascii="Times New Roman" w:cs="Times New Roman" w:eastAsia="Times New Roman" w:hAnsi="Times New Roman"/>
          <w:sz w:val="12"/>
          <w:szCs w:val="12"/>
          <w:color w:val="auto"/>
        </w:rPr>
        <w:t>On May 4, 2023, our stockholders approved the amendment to the Equity Incentive Plan to (i) increase the number of shares authorized for issuance thereunder by 285,714 shares from 579,332 shares to 865,046 shares, (ii) increase the number of shares authorized for issuance thereunder pursuant to the exercise of ISOs to 865,046 shares, and (iii) modify the commencement date of the automatic increase in the number of shares authorized for issuance thereunder pursuant to the exercise of ISOs to January 1, 2024.</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As of December 31, 2024, options to purchase 1,027,977 shares of Common Stock were outstanding under all equity incentive plans.</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is a summary of the material terms of the Equity Incentive Plan.</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217</w:t>
      </w:r>
    </w:p>
    <w:p>
      <w:pPr>
        <w:sectPr>
          <w:pgSz w:w="11900" w:h="16838" w:orient="portrait"/>
          <w:cols w:equalWidth="0" w:num="1">
            <w:col w:w="10159"/>
          </w:cols>
          <w:pgMar w:left="300" w:top="368" w:right="1440"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Purpose of the Equity Incentive Plan</w:t>
      </w:r>
    </w:p>
    <w:p>
      <w:pPr>
        <w:spacing w:after="0" w:line="82" w:lineRule="exact"/>
        <w:rPr>
          <w:sz w:val="20"/>
          <w:szCs w:val="20"/>
          <w:color w:val="auto"/>
        </w:rPr>
      </w:pPr>
    </w:p>
    <w:p>
      <w:pPr>
        <w:jc w:val="both"/>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The purpose of the Equity Incentive Plan is to secure and retain the services of employees, directors and consultants, to provide incentives for such persons to exert maximum efforts for our success and to provide a means by which such persons may be given an opportunity to benefit from increases in value of our Common Stock through the granting of awards under the Equity Incentive Plan.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Awards</w:t>
      </w:r>
    </w:p>
    <w:p>
      <w:pPr>
        <w:spacing w:after="0" w:line="82" w:lineRule="exact"/>
        <w:rPr>
          <w:sz w:val="20"/>
          <w:szCs w:val="20"/>
          <w:color w:val="auto"/>
        </w:rPr>
      </w:pPr>
    </w:p>
    <w:p>
      <w:pPr>
        <w:ind w:left="1980" w:right="1079" w:firstLine="294"/>
        <w:spacing w:after="0" w:line="260" w:lineRule="auto"/>
        <w:rPr>
          <w:sz w:val="20"/>
          <w:szCs w:val="20"/>
          <w:color w:val="auto"/>
        </w:rPr>
      </w:pPr>
      <w:r>
        <w:rPr>
          <w:rFonts w:ascii="Times New Roman" w:cs="Times New Roman" w:eastAsia="Times New Roman" w:hAnsi="Times New Roman"/>
          <w:sz w:val="12"/>
          <w:szCs w:val="12"/>
          <w:color w:val="auto"/>
        </w:rPr>
        <w:t>The Equity Incentive Plan provides for the grant of ISOs within the meaning of Section 422 of the Code, to our employees and our parent and subsidiary corporations’ employees, and for the grant of nonstatutory stock options (“NSOs”), stock appreciation rights, restricted stock awards, restricted stock unit awards, performance awards and other forms of awards to our employees, directors and consultants and any of our affiliates’ employees and consultants.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Authorized Shares</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Initially, the maximum number of shares of our Common Stock that may be issued under the Equity Incentive Plan after it became effective will not exceed (i) 417,791 shares of our Common Stock, plus (ii) an additional number of shares of Common Stock equal to the number of shares subject to outstanding awards granted under the 2019 Stock Option Plan, that, following the effective date of the Equity Incentive Plan, (a) are not issued because the award or any portion of the award expires or otherwise terminates without all of the shares covered by the award having been issued, (b) are not issued because the award or any portion thereof is settled in cash, (c) are forfeited back to or repurchased by us because of the failure to meet a contingency or condition required for the vesting of such shares, (d) are withheld or reacquired to satisfy the exercise, strike or purchase price or (e) are withheld or reacquired to satisfy a tax withholding obligation. In addition, the number of shares of our Common Stock that will be reserved for issuance under the Equity Incentive Plan will automatically increase on January 1 of each year for a period of ten years, beginning on January 1, 2023 and ending on (and including) January 1, 2032, in an amount equal to the lesser of (1) 4% of the total number of shares of our Common Stock outstanding on December 31 of the immediately preceding year, (2) 208,895 shares of Common Stock (subject to adjustment for recapitalizations, stock splits, stock dividends and similar transactions), and (3) such number of shares of our Common Stock determined by our Board or the Compensation Committee of our Board prior to January 1 of a given year.</w:t>
      </w:r>
    </w:p>
    <w:p>
      <w:pPr>
        <w:spacing w:after="0" w:line="126"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Since the Equity Incentive Plan was adopted, the authorized number of shares of our Common Stock referenced in the preceding clause (i) was increased each year in accordance with the terms thereof and as of January 1, 2025, and the current number of authorized shares of Common Stock is 1,275,299 based on the foregoing provisions. Similarly, as of January 1, 2025, the aggregate maximum number of shares of our Common Stock that may be issued on the exercise of ISOs under the Equity Incentive Plan is 1,275,299 shares, which amount will increase on each January 1st ending on (and including) January 1, 2032, in an amount equal to the lesser of (i) 4% of the total number of shares of Common Stock outstanding on December 31 of the preceding year, (ii) 208,895 shares of Common Stock (subject to adjustment for recapitalizations, stock splits, stock dividends and similar transactions), and (iii) such number of shares of our Common Stock determined by our Board or the Compensation Committee of our Board prior to January 1 of a given year.</w:t>
      </w:r>
    </w:p>
    <w:p>
      <w:pPr>
        <w:spacing w:after="0" w:line="128"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On May 4, 2023, our stockholders approved an amendment to the Equity Incentive Plan to (i) increase the number of shares authorized for issuance thereunder by 285,714 shares to 865,046 shares, (ii) increase the number of shares authorized for issuance thereunder pursuant to the exercise of incentive stock options to 865,046 shares, and (iii) modify the commencement date of the automatic increase in the number of shares authorized for issuance thereunder pursuant to the exercise of incentive stock options to January 1, 2024. All of the foregoing share numbers are subject to adjustment as necessary to implement any changes in our capital structure (as described below).</w:t>
      </w:r>
    </w:p>
    <w:p>
      <w:pPr>
        <w:spacing w:after="0" w:line="125"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Shares subject to awards that will be granted under the Equity Incentive Plan that expire or terminate without being exercised in full will not reduce the number of shares available for issuance under the Equity</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218</w:t>
      </w:r>
    </w:p>
    <w:p>
      <w:pPr>
        <w:sectPr>
          <w:pgSz w:w="11900" w:h="16838" w:orient="portrait"/>
          <w:cols w:equalWidth="0" w:num="1">
            <w:col w:w="10159"/>
          </w:cols>
          <w:pgMar w:left="300" w:top="368"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Incentive Plan. The settlement of any portion of an award in cash will not reduce the number of shares available for issuance under the Equity Incentive Plan. Shares of Common Stock withheld under an award to satisfy the exercise, strike or purchase price of an award or to satisfy a tax withholding obligation will not reduce the number of shares that will be available for issuance under the Equity Incentive Plan. With respect to a stock appreciation right, only shares of Common Stock that are issued upon settlement of the stock appreciation right will count towards reducing the number of shares available for issuance under the Equity Incentive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Equity Incentive Plan.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Plan Administration</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Our Board, or a duly authorized committee of our Board, administers the Equity Incentive Plan. Our Board, or a duly authorized committee of our Board, may, in accordance with the terms of the Equity Incentive Plan, delegate to one or more of our officers the authority to (i) designate employees (other than officers) to be recipients of specified awards, and to the extent permitted by applicable law, the terms of such awards; and (ii) determine the number of shares of Common Stock to be subject to such awards granted to such employees. Under the Equity Incentive Plan, our Board, or a duly authorized committee of our Board, will have the authority to determine: award recipients; how and when each award will be granted; the types of awards to be granted; the provisions of each award, including the period of exercisability and the vesting schedule applicable to an award; the number of shares of Common Stock or cash equivalent subject to each award; the fair market value applicable to an award; and the terms of any performance award that is not valued in whole or in part by reference to, or otherwise based on, Common Stock, including the amount of cash payment or other property that may be earned and the timing of payment.</w:t>
      </w:r>
    </w:p>
    <w:p>
      <w:pPr>
        <w:spacing w:after="0" w:line="126" w:lineRule="exact"/>
        <w:rPr>
          <w:sz w:val="20"/>
          <w:szCs w:val="20"/>
          <w:color w:val="auto"/>
        </w:rPr>
      </w:pPr>
    </w:p>
    <w:p>
      <w:pPr>
        <w:ind w:left="1980" w:right="939" w:firstLine="294"/>
        <w:spacing w:after="0" w:line="257" w:lineRule="auto"/>
        <w:rPr>
          <w:sz w:val="20"/>
          <w:szCs w:val="20"/>
          <w:color w:val="auto"/>
        </w:rPr>
      </w:pPr>
      <w:r>
        <w:rPr>
          <w:rFonts w:ascii="Times New Roman" w:cs="Times New Roman" w:eastAsia="Times New Roman" w:hAnsi="Times New Roman"/>
          <w:sz w:val="12"/>
          <w:szCs w:val="12"/>
          <w:color w:val="auto"/>
        </w:rPr>
        <w:t>Under the Equity Incentive Plan, (i) our Board will not, without stockholder approval, (a) reduce the exercise or strike price of an option or stock appreciation right (other than in connection with a capitalization adjustment), and (b) at any time when the exercise or strike price of an option or stock appreciation right is above the fair market value of a share of our Common Stock, cancel and re-grant or exchange such option or stock appreciation right for a new award with a lower (or no) purchase price or for cash, and (ii) a participant’s rights under any award will not be materially adversely impaired by any amendment without the participant’s written consent.</w:t>
      </w:r>
    </w:p>
    <w:p>
      <w:pPr>
        <w:spacing w:after="0" w:line="1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color w:val="auto"/>
        </w:rPr>
        <w:t>We will also designate a plan administrator to administer the day-to-day operations of the Equity Incentive Plan.</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Options will be granted under stock option agreements adopted by our Board. Each option will be designated in writing as an ISO or an NSO. Our Board will determine the exercise price for stock options, within the terms and conditions of the Equity Incentive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Equity Incentive Plan will vest at the rate specified in the stock option agreement as will be determined by our Board. The terms and conditions of separate options need not be identical.</w:t>
      </w:r>
    </w:p>
    <w:p>
      <w:pPr>
        <w:spacing w:after="0" w:line="125"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No option will be exercisable after the expiration of ten years (or five years in the case of ISOs granted to a ten percent stockholder) or a shorter period specified in the applicable award agreement. Unless the terms of an optionholder’s stock option agreement, or other written agreement between us and the recipient, provide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219</w:t>
      </w:r>
    </w:p>
    <w:p>
      <w:pPr>
        <w:sectPr>
          <w:pgSz w:w="11900" w:h="16838" w:orient="portrait"/>
          <w:cols w:equalWidth="0" w:num="1">
            <w:col w:w="10159"/>
          </w:cols>
          <w:pgMar w:left="300" w:top="368"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An optionholder may not exercise an option at any time that the issuance of shares upon such exercise would violate applicable law. Unless provided otherwise in the optionholder’s stock 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w:t>
      </w:r>
    </w:p>
    <w:p>
      <w:pPr>
        <w:spacing w:after="0" w:line="131"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Acceptable consideration for the purchase of Common Stock issued upon the exercise of a stock option will be determined by our Board and may include (i) cash or check, bank draft or money order payable to us; (ii) a broker-assisted cashless exercise; (iii) subject to certain conditions, the tender of shares of our Common Stock previously owned by the optionholder; (iv) a net exercise of the option if it is an NSO; or (v) other legal consideration acceptable to our Board.</w:t>
      </w:r>
    </w:p>
    <w:p>
      <w:pPr>
        <w:spacing w:after="0" w:line="122" w:lineRule="exact"/>
        <w:rPr>
          <w:sz w:val="20"/>
          <w:szCs w:val="20"/>
          <w:color w:val="auto"/>
        </w:rPr>
      </w:pPr>
    </w:p>
    <w:p>
      <w:pPr>
        <w:ind w:left="1980" w:right="959" w:firstLine="294"/>
        <w:spacing w:after="0" w:line="327" w:lineRule="auto"/>
        <w:rPr>
          <w:sz w:val="20"/>
          <w:szCs w:val="20"/>
          <w:color w:val="auto"/>
        </w:rPr>
      </w:pPr>
      <w:r>
        <w:rPr>
          <w:rFonts w:ascii="Times New Roman" w:cs="Times New Roman" w:eastAsia="Times New Roman" w:hAnsi="Times New Roman"/>
          <w:sz w:val="11"/>
          <w:szCs w:val="11"/>
          <w:color w:val="auto"/>
        </w:rPr>
        <w:t>Unless our Board provides otherwise, options or stock appreciation rights generally will not be transferable except by will or the laws of descent and distribution. Subject to approval of our Board or a duly authorized officer, an option may be transferred pursuant to a domestic relations order.</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Limitations on ISOs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aggregate fair market value, determined at the time of grant, of our Common Stock with respect to ISOs that are exercisable for the first time by an optionholder during any calendar year under all of our stock plans or plans of our affiliates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Unit Awards</w:t>
      </w:r>
    </w:p>
    <w:p>
      <w:pPr>
        <w:spacing w:after="0" w:line="82" w:lineRule="exact"/>
        <w:rPr>
          <w:sz w:val="20"/>
          <w:szCs w:val="20"/>
          <w:color w:val="auto"/>
        </w:rPr>
      </w:pPr>
    </w:p>
    <w:p>
      <w:pPr>
        <w:ind w:left="1980" w:right="859" w:firstLine="294"/>
        <w:spacing w:after="0" w:line="284" w:lineRule="auto"/>
        <w:rPr>
          <w:sz w:val="20"/>
          <w:szCs w:val="20"/>
          <w:color w:val="auto"/>
        </w:rPr>
      </w:pPr>
      <w:r>
        <w:rPr>
          <w:rFonts w:ascii="Times New Roman" w:cs="Times New Roman" w:eastAsia="Times New Roman" w:hAnsi="Times New Roman"/>
          <w:sz w:val="11"/>
          <w:szCs w:val="11"/>
          <w:color w:val="auto"/>
        </w:rPr>
        <w:t>Subject to the terms of the Equity Incentive Plan, each restricted stock unit award will have such terms and conditions as determined by our Board.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be granted in consideration for a participant’s services to us or an affiliate, such that the participant will not be required to make any payment to us (other than such services) with respect to the grant or vesting of the restricted stock unit award, or the issuance of any shares of Common</w:t>
      </w:r>
    </w:p>
    <w:p>
      <w:pPr>
        <w:spacing w:after="0" w:line="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220</w:t>
      </w:r>
    </w:p>
    <w:p>
      <w:pPr>
        <w:sectPr>
          <w:pgSz w:w="11900" w:h="16838" w:orient="portrait"/>
          <w:cols w:equalWidth="0" w:num="1">
            <w:col w:w="10159"/>
          </w:cols>
          <w:pgMar w:left="300" w:top="368"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Stock pursuant to the restricted stock unit award. Our Board may determine that restricted stock unit awards may be granted in consideration for any form of legal consideration that may be acceptable to our Board and permissible under applicable law. A restricted stock unit award may be settled by cash, delivery of stock (or any combination of our Common Stock and cash), or in any other form of consideration determined by our Board and set forth in the restricted stock unit award agreement. At the time of grant, our Board may impose such restrictions or conditions on the award of restricted stock units that delay delivery to a date following the vesting of the award. Additionally, dividend equivalents may be paid or credited in respect of shares of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 Awards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Restricted stock awards will be granted under restricted stock award agreements adopted by our Board. A restricted stock award may be awarded in consideration for cash, check, bank draft or money order, past services to us or any of our affiliates, or any other form of legal consideration that may be acceptable to our Board and permissible under applicable law. Our Board will determine the terms and conditions of restricted stock awards, including vesting and forfeiture terms. Dividends may be paid or credited with respect to shares subject to a restricted stock award, as determined by our Board and specified in the applicable restricted stock award agreement.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Appreciation Rights</w:t>
      </w:r>
    </w:p>
    <w:p>
      <w:pPr>
        <w:spacing w:after="0" w:line="8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Stock appreciation rights will be granted under stock appreciation right agreements adopted by our Board and denominated in shares of Common Stock equivalents. The terms of separation stock appreciation rights need not be identical. Our Board will determine the purchase price or strike price for a stock appreciation right, which generally will not be less than 100% of the fair market value of our Common Stock on the date of grant. A stock appreciation right granted under the Equity Incentive Plan will vest at the rate specified in the stock appreciation right agreement as will be determined by our Board. Stock appreciation rights may be settled in cash or shares of our Common Stock (or any combination of our Common Stock and cash) or in any other form of payment, as determined by our Board and specified in the stock appreciation right agreement.</w:t>
      </w:r>
    </w:p>
    <w:p>
      <w:pPr>
        <w:spacing w:after="0" w:line="125" w:lineRule="exact"/>
        <w:rPr>
          <w:sz w:val="20"/>
          <w:szCs w:val="20"/>
          <w:color w:val="auto"/>
        </w:rPr>
      </w:pPr>
    </w:p>
    <w:p>
      <w:pPr>
        <w:ind w:left="1980" w:right="879" w:firstLine="294"/>
        <w:spacing w:after="0" w:line="276" w:lineRule="auto"/>
        <w:rPr>
          <w:sz w:val="20"/>
          <w:szCs w:val="20"/>
          <w:color w:val="auto"/>
        </w:rPr>
      </w:pPr>
      <w:r>
        <w:rPr>
          <w:rFonts w:ascii="Times New Roman" w:cs="Times New Roman" w:eastAsia="Times New Roman" w:hAnsi="Times New Roman"/>
          <w:sz w:val="11"/>
          <w:szCs w:val="11"/>
          <w:color w:val="auto"/>
        </w:rPr>
        <w:t>Our Board will determine the term of stock appreciation rights granted under the Equity Incentive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w:t>
      </w:r>
    </w:p>
    <w:p>
      <w:pPr>
        <w:spacing w:after="0" w:line="2" w:lineRule="exact"/>
        <w:rPr>
          <w:sz w:val="20"/>
          <w:szCs w:val="20"/>
          <w:color w:val="auto"/>
        </w:rPr>
      </w:pPr>
    </w:p>
    <w:p>
      <w:pPr>
        <w:ind w:left="1980" w:right="879"/>
        <w:spacing w:after="0" w:line="251" w:lineRule="auto"/>
        <w:rPr>
          <w:sz w:val="20"/>
          <w:szCs w:val="20"/>
          <w:color w:val="auto"/>
        </w:rPr>
      </w:pPr>
      <w:r>
        <w:rPr>
          <w:rFonts w:ascii="Times New Roman" w:cs="Times New Roman" w:eastAsia="Times New Roman" w:hAnsi="Times New Roman"/>
          <w:sz w:val="12"/>
          <w:szCs w:val="12"/>
          <w:color w:val="auto"/>
        </w:rPr>
        <w:t>of 12 months following the cessation of service. In the event of a termination for cause, stock appreciation rights generally terminate upon the termination date.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w:t>
      </w:r>
    </w:p>
    <w:p>
      <w:pPr>
        <w:spacing w:after="0" w:line="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221</w:t>
      </w:r>
    </w:p>
    <w:p>
      <w:pPr>
        <w:sectPr>
          <w:pgSz w:w="11900" w:h="16838" w:orient="portrait"/>
          <w:cols w:equalWidth="0" w:num="1">
            <w:col w:w="10159"/>
          </w:cols>
          <w:pgMar w:left="300" w:top="368" w:right="1440"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19"/>
        <w:spacing w:after="0" w:line="265" w:lineRule="auto"/>
        <w:rPr>
          <w:sz w:val="20"/>
          <w:szCs w:val="20"/>
          <w:color w:val="auto"/>
        </w:rPr>
      </w:pPr>
      <w:r>
        <w:rPr>
          <w:rFonts w:ascii="Times New Roman" w:cs="Times New Roman" w:eastAsia="Times New Roman" w:hAnsi="Times New Roman"/>
          <w:sz w:val="12"/>
          <w:szCs w:val="12"/>
          <w:color w:val="auto"/>
        </w:rPr>
        <w:t>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Performance Awards</w:t>
      </w:r>
    </w:p>
    <w:p>
      <w:pPr>
        <w:spacing w:after="0" w:line="82" w:lineRule="exact"/>
        <w:rPr>
          <w:sz w:val="20"/>
          <w:szCs w:val="20"/>
          <w:color w:val="auto"/>
        </w:rPr>
      </w:pPr>
    </w:p>
    <w:p>
      <w:pPr>
        <w:ind w:left="1980" w:right="939" w:firstLine="294"/>
        <w:spacing w:after="0" w:line="252" w:lineRule="auto"/>
        <w:rPr>
          <w:sz w:val="20"/>
          <w:szCs w:val="20"/>
          <w:color w:val="auto"/>
        </w:rPr>
      </w:pPr>
      <w:r>
        <w:rPr>
          <w:rFonts w:ascii="Times New Roman" w:cs="Times New Roman" w:eastAsia="Times New Roman" w:hAnsi="Times New Roman"/>
          <w:sz w:val="12"/>
          <w:szCs w:val="12"/>
          <w:color w:val="auto"/>
        </w:rPr>
        <w:t>The Equity Incentive Plan will permit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 The performance goals may be based on any measure of performance selected by our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at the time the performance award is granted, our Board will appropriately make adjustments in the method of calculating the attainment of performance goals for a performance period as follows: (i) to exclude restructuring and/or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w:t>
      </w:r>
    </w:p>
    <w:p>
      <w:pPr>
        <w:ind w:left="1980" w:right="839" w:hanging="8"/>
        <w:spacing w:after="0" w:line="252" w:lineRule="auto"/>
        <w:tabs>
          <w:tab w:leader="none" w:pos="225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28" w:lineRule="exact"/>
        <w:rPr>
          <w:sz w:val="20"/>
          <w:szCs w:val="20"/>
          <w:color w:val="auto"/>
        </w:rPr>
      </w:pPr>
    </w:p>
    <w:p>
      <w:pPr>
        <w:jc w:val="both"/>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Our Board retains the discretion to reduce or eliminate the compensation or economic benefit due upon attainment of performance goals and to define the manner of calculating the performance criteria it selects to use for the performance period. Partial achievement of the specified criteria may result in the payment or vesting corresponding to the degree of achievement as specified in the performance award agreement or the written terms of a performance cash award. Our Board will determine the length of any performance period, the performance goals to be achieved during a performance period and the other terms and conditions of such awards.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Other Stock Awards</w:t>
      </w:r>
    </w:p>
    <w:p>
      <w:pPr>
        <w:spacing w:after="0" w:line="82" w:lineRule="exact"/>
        <w:rPr>
          <w:sz w:val="20"/>
          <w:szCs w:val="20"/>
          <w:color w:val="auto"/>
        </w:rPr>
      </w:pPr>
    </w:p>
    <w:p>
      <w:pPr>
        <w:jc w:val="both"/>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Our Board will be permitted to grant other awards, based in whole or in part by reference to, or otherwise based on, our Common Stock, either alone or in addition to other awards. Our Board will have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 Compensation Limit</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aggregate value of all compensation granted or paid following the effective date of the Equity Incentive Plan to any individual for service as a non-employee director with respect to any fiscal year, including awards granted under the Equity Incentive Plan (valued based on the grant date fair value for financial reporting purposes) and cash fees paid by us to such non-employee director, will not exceed $750,000 in total value, except such amount will increase to $1,000,000 for the year in which a non-employee director is first appointed or elected to our Board.</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222</w:t>
      </w:r>
    </w:p>
    <w:p>
      <w:pPr>
        <w:sectPr>
          <w:pgSz w:w="11900" w:h="16838" w:orient="portrait"/>
          <w:cols w:equalWidth="0" w:num="1">
            <w:col w:w="10159"/>
          </w:cols>
          <w:pgMar w:left="300" w:top="368"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Changes to Capital Structure</w:t>
      </w:r>
    </w:p>
    <w:p>
      <w:pPr>
        <w:spacing w:after="0" w:line="82" w:lineRule="exact"/>
        <w:rPr>
          <w:sz w:val="20"/>
          <w:szCs w:val="20"/>
          <w:color w:val="auto"/>
        </w:rPr>
      </w:pPr>
    </w:p>
    <w:p>
      <w:pPr>
        <w:jc w:val="both"/>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In the event there is a specified type of change in our capital structure, such as a stock split, reverse stock split, or recapitalization, our Board will appropriately and proportionately adjust (i) the class(es) and maximum number of shares subject to the Equity Incentive Plan and the maximum number of shares by which the share reserve may annually increase pursuant to the Equity Incentive Plan; (ii) the class(es) and maximum number of shares that may be issued on the exercise of ISOs; and (iii) the class(es) and number of shares and exercise price, strike price, or purchase price, if applicable, of all outstanding awards granted under the Equity Incentive Plan.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Corporate Transactions</w:t>
      </w:r>
    </w:p>
    <w:p>
      <w:pPr>
        <w:spacing w:after="0" w:line="82"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In the event of a corporate transaction (as defined below), unless otherwise provided in a participant’s award agreement or other written agreement with us or one of our affiliates or unless otherwise expressly provided by our Board at the time of grant, any awards outstanding under the Equity Incentive Plan may be assumed, 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as our Board determines (or, if our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w:t>
      </w:r>
    </w:p>
    <w:p>
      <w:pPr>
        <w:spacing w:after="0" w:line="131" w:lineRule="exact"/>
        <w:rPr>
          <w:sz w:val="20"/>
          <w:szCs w:val="20"/>
          <w:color w:val="auto"/>
        </w:rPr>
      </w:pPr>
    </w:p>
    <w:p>
      <w:pPr>
        <w:ind w:left="1980" w:right="1079" w:firstLine="294"/>
        <w:spacing w:after="0" w:line="280" w:lineRule="auto"/>
        <w:rPr>
          <w:sz w:val="20"/>
          <w:szCs w:val="20"/>
          <w:color w:val="auto"/>
        </w:rPr>
      </w:pPr>
      <w:r>
        <w:rPr>
          <w:rFonts w:ascii="Times New Roman" w:cs="Times New Roman" w:eastAsia="Times New Roman" w:hAnsi="Times New Roman"/>
          <w:sz w:val="11"/>
          <w:szCs w:val="11"/>
          <w:color w:val="auto"/>
        </w:rPr>
        <w:t>In the event an award will terminate if not exercised prior to the effective time of a corporate transaction, our Board may provide, in its sole discretion, that the holder of such award may not exercise such award but instead will receive a payment, in such form as may be determined by our Board, equal in value to the excess (if any) of (i) the value of the property the participant would have received upon the exercise of the award, over</w:t>
      </w:r>
    </w:p>
    <w:p>
      <w:pPr>
        <w:ind w:left="1980" w:right="1079" w:hanging="8"/>
        <w:spacing w:after="0" w:line="306" w:lineRule="auto"/>
        <w:tabs>
          <w:tab w:leader="none" w:pos="2157" w:val="left"/>
        </w:tabs>
        <w:numPr>
          <w:ilvl w:val="0"/>
          <w:numId w:val="1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per share exercise price payable by such holder, if applicable. As a condition to the receipt of an award, a participant will be deemed to have agreed that the award will be subject to the terms of any agreement under the Equity Incentive Plan governing a corporate transaction involving us.</w:t>
      </w:r>
    </w:p>
    <w:p>
      <w:pPr>
        <w:spacing w:after="0" w:line="99" w:lineRule="exact"/>
        <w:rPr>
          <w:sz w:val="20"/>
          <w:szCs w:val="20"/>
          <w:color w:val="auto"/>
        </w:rPr>
      </w:pPr>
    </w:p>
    <w:p>
      <w:pPr>
        <w:ind w:left="1980" w:right="879" w:firstLine="294"/>
        <w:spacing w:after="0" w:line="283" w:lineRule="auto"/>
        <w:rPr>
          <w:sz w:val="20"/>
          <w:szCs w:val="20"/>
          <w:color w:val="auto"/>
        </w:rPr>
      </w:pPr>
      <w:r>
        <w:rPr>
          <w:rFonts w:ascii="Times New Roman" w:cs="Times New Roman" w:eastAsia="Times New Roman" w:hAnsi="Times New Roman"/>
          <w:sz w:val="11"/>
          <w:szCs w:val="11"/>
          <w:color w:val="auto"/>
        </w:rPr>
        <w:t>Under the Equity Incentive Plan, a “corporate transaction” generally will be the consummation, in a single transaction or in a series of related transactions, of (i) a sale or other disposition of all or substantially all, as determined by our Board, of the consolidated assets of us and our subsidiaries;</w:t>
      </w:r>
    </w:p>
    <w:p>
      <w:pPr>
        <w:spacing w:after="0" w:line="1" w:lineRule="exact"/>
        <w:rPr>
          <w:sz w:val="20"/>
          <w:szCs w:val="20"/>
          <w:color w:val="auto"/>
        </w:rPr>
      </w:pPr>
    </w:p>
    <w:p>
      <w:pPr>
        <w:ind w:left="1980" w:right="839" w:hanging="8"/>
        <w:spacing w:after="0" w:line="255" w:lineRule="auto"/>
        <w:tabs>
          <w:tab w:leader="none" w:pos="2157"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w:t>
      </w:r>
    </w:p>
    <w:p>
      <w:pPr>
        <w:spacing w:after="0" w:line="82" w:lineRule="exact"/>
        <w:rPr>
          <w:sz w:val="20"/>
          <w:szCs w:val="20"/>
          <w:color w:val="auto"/>
        </w:rPr>
      </w:pPr>
    </w:p>
    <w:p>
      <w:pPr>
        <w:jc w:val="both"/>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Except as expressly provided in the Equity Incentive Plan or the form of award agreement, awards granted under the Equity Incentive Plan may not be transferred or assigned by a participant. After the vested shares subject to an award have been issued, or in the case of a restricted stock award and similar awards, after the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223</w:t>
      </w:r>
    </w:p>
    <w:p>
      <w:pPr>
        <w:sectPr>
          <w:pgSz w:w="11900" w:h="16838" w:orient="portrait"/>
          <w:cols w:equalWidth="0" w:num="1">
            <w:col w:w="10159"/>
          </w:cols>
          <w:pgMar w:left="300" w:top="368"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79" w:lineRule="auto"/>
        <w:rPr>
          <w:sz w:val="20"/>
          <w:szCs w:val="20"/>
          <w:color w:val="auto"/>
        </w:rPr>
      </w:pPr>
      <w:r>
        <w:rPr>
          <w:rFonts w:ascii="Times New Roman" w:cs="Times New Roman" w:eastAsia="Times New Roman" w:hAnsi="Times New Roman"/>
          <w:sz w:val="12"/>
          <w:szCs w:val="12"/>
          <w:color w:val="auto"/>
        </w:rPr>
        <w:t>issued shares have vested, the holder of such shares is free to assign, hypothecate, donate, encumber or otherwise dispose of any interest in such shares provided that any such actions are in compliance with the provisions herein, the terms of our trading policy and applicable law.</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Clawback/Recovery</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All awards granted under the Equity Incentive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our Board may impose such other clawback, recovery or recoupment provisions in an award agreement as our Board determines necessary or appropriate, including but not limited to a reacquisition right in respect of previously acquired shares of Common Stock or other cash or property upon the occurrence of cause.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or Termination</w:t>
      </w:r>
    </w:p>
    <w:p>
      <w:pPr>
        <w:spacing w:after="0" w:line="82" w:lineRule="exact"/>
        <w:rPr>
          <w:sz w:val="20"/>
          <w:szCs w:val="20"/>
          <w:color w:val="auto"/>
        </w:rPr>
      </w:pPr>
    </w:p>
    <w:p>
      <w:pPr>
        <w:ind w:left="1980" w:right="879" w:firstLine="294"/>
        <w:spacing w:after="0" w:line="284" w:lineRule="auto"/>
        <w:rPr>
          <w:sz w:val="20"/>
          <w:szCs w:val="20"/>
          <w:color w:val="auto"/>
        </w:rPr>
      </w:pPr>
      <w:r>
        <w:rPr>
          <w:rFonts w:ascii="Times New Roman" w:cs="Times New Roman" w:eastAsia="Times New Roman" w:hAnsi="Times New Roman"/>
          <w:sz w:val="11"/>
          <w:szCs w:val="11"/>
          <w:color w:val="auto"/>
        </w:rPr>
        <w:t>Our Board may accelerate the time at which an award granted under the Equity Incentive Plan may first be exercised or the time during which an award grant under the Equity Incentive Plan or any part thereof will vest, notwithstanding the provisions in the award agreement stating the time at which it may first be exercised or the time during which it will vest. Our Board will have the authority to amend, suspend, or terminate the Equity Incentive Plan at any time, provided that such action does not materially impair the existing rights of any participant without such participant’s written consent. Certain material amendments will also require the approval of our stockholders. No ISOs may be granted after the tenth anniversary of the date our Board adopts the Equity Incentive Plan. No awards may be granted under the Equity Incentive Plan while it is suspended or after it is terminated.</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Federal Income Tax Consequences Associated with the Equity Incentive Plan</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following is a general summary under current law of the material federal income tax consequences to participants in the Equity Incentive Plan. This summary deals with the general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The summary does not discuss all aspects of income taxation that may be relevant in light of a holder’s personal investment circumstances. This summarized tax information is not tax advice.</w:t>
      </w:r>
    </w:p>
    <w:p>
      <w:pPr>
        <w:spacing w:after="0" w:line="123"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i w:val="1"/>
          <w:iCs w:val="1"/>
          <w:color w:val="auto"/>
        </w:rPr>
        <w:t>Nonstatutory Stock Options</w:t>
      </w:r>
      <w:r>
        <w:rPr>
          <w:rFonts w:ascii="Times New Roman" w:cs="Times New Roman" w:eastAsia="Times New Roman" w:hAnsi="Times New Roman"/>
          <w:sz w:val="12"/>
          <w:szCs w:val="12"/>
          <w:color w:val="auto"/>
        </w:rPr>
        <w:t>. For federal income tax purposes, if an optionee is granted an NSO under the Equity Incentive Plan, the optionee will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not have taxable income on the grant of the option, nor will we be entitled to any deduction. Generally, upon exercise of NSOs, the optionee will recognize ordinary income, and we will be entitled to a deduction, in an amount equal to the excess of the fair market value of a share of our Common Stock over the option exercise price on the date each such option is exercised. The optionee’s basis for the stock for purposes of determining gain or loss on subsequent disposition of such shares generally will be the fair market value of our Common Stock on the date the optionee exercises such option. Any subsequent gain or loss will be generally taxable as capital gains or losses.</w:t>
      </w:r>
    </w:p>
    <w:p>
      <w:pPr>
        <w:spacing w:after="0" w:line="121" w:lineRule="exact"/>
        <w:rPr>
          <w:sz w:val="20"/>
          <w:szCs w:val="20"/>
          <w:color w:val="auto"/>
        </w:rPr>
      </w:pPr>
    </w:p>
    <w:p>
      <w:pPr>
        <w:ind w:left="1980" w:right="859" w:firstLine="294"/>
        <w:spacing w:after="0" w:line="258" w:lineRule="auto"/>
        <w:rPr>
          <w:sz w:val="20"/>
          <w:szCs w:val="20"/>
          <w:color w:val="auto"/>
        </w:rPr>
      </w:pPr>
      <w:r>
        <w:rPr>
          <w:rFonts w:ascii="Times New Roman" w:cs="Times New Roman" w:eastAsia="Times New Roman" w:hAnsi="Times New Roman"/>
          <w:sz w:val="12"/>
          <w:szCs w:val="12"/>
          <w:i w:val="1"/>
          <w:iCs w:val="1"/>
          <w:color w:val="auto"/>
        </w:rPr>
        <w:t>Incentive Stock Options</w:t>
      </w:r>
      <w:r>
        <w:rPr>
          <w:rFonts w:ascii="Times New Roman" w:cs="Times New Roman" w:eastAsia="Times New Roman" w:hAnsi="Times New Roman"/>
          <w:sz w:val="12"/>
          <w:szCs w:val="12"/>
          <w:color w:val="auto"/>
        </w:rPr>
        <w:t>. There is no taxable income to an optionee when an optionee is granted an ISO or when that option is exercised. However,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amount by which the fair market value of the shares at the time of exercise exceeds the option price will be an “item of adjustment” for the optionee for purposes of the alternative minimum tax. Gain realized by the optionee on the sale of an ISO is taxable at capital gains rates, and no tax deduction is available to us, unless the optionee disposes of the shares within (a) two years after the date of grant of the option or (b) within one year of the date the shares were transferred to the optionee. If the shares acquired</w:t>
      </w:r>
    </w:p>
    <w:p>
      <w:pPr>
        <w:spacing w:after="0" w:line="7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224</w:t>
      </w:r>
    </w:p>
    <w:p>
      <w:pPr>
        <w:sectPr>
          <w:pgSz w:w="11900" w:h="16838" w:orient="portrait"/>
          <w:cols w:equalWidth="0" w:num="1">
            <w:col w:w="10159"/>
          </w:cols>
          <w:pgMar w:left="300" w:top="368"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57" w:lineRule="auto"/>
        <w:rPr>
          <w:sz w:val="20"/>
          <w:szCs w:val="20"/>
          <w:color w:val="auto"/>
        </w:rPr>
      </w:pPr>
      <w:r>
        <w:rPr>
          <w:rFonts w:ascii="Times New Roman" w:cs="Times New Roman" w:eastAsia="Times New Roman" w:hAnsi="Times New Roman"/>
          <w:sz w:val="12"/>
          <w:szCs w:val="12"/>
          <w:color w:val="auto"/>
        </w:rPr>
        <w:t>upon exercise of the ISO are sold or otherwise disposed of before the end of the two-year and one-year periods specified above, the excess of the fair market value of a share of our Common Stock over the option exercise price on the date of the option’s exercise will be taxed at ordinary income rates (or, if less, the gain on the sale), and we will be entitled to a deduction to the extent the optionee must recognize ordinary income. If such a sale or disposition takes place in the year in which the optionee exercises the option, the income the optionee recognizes upon sale or disposition of the shares will not be considered an item of adjustment for alternative minimum tax purposes.</w:t>
      </w:r>
    </w:p>
    <w:p>
      <w:pPr>
        <w:spacing w:after="0" w:line="125"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An ISO exercised more than three months after an optionee terminates employment, for reasons other than death or disability, will be taxed as an NSO, and the optionee will recognize ordinary income on the exercise. We will be entitled to a tax deduction equal to the ordinary income, if any, realized by the optionee.</w:t>
      </w:r>
    </w:p>
    <w:p>
      <w:pPr>
        <w:spacing w:after="0" w:line="117"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Restricted Stock. </w:t>
      </w:r>
      <w:r>
        <w:rPr>
          <w:rFonts w:ascii="Times New Roman" w:cs="Times New Roman" w:eastAsia="Times New Roman" w:hAnsi="Times New Roman"/>
          <w:sz w:val="12"/>
          <w:szCs w:val="12"/>
          <w:color w:val="auto"/>
        </w:rPr>
        <w:t>An individual to whom restricted stock is issued generally will not recognize taxable income upon such issuance, and we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generally will not then be entitled to a deduction, unless an election is made by the participant under Section 83(b) of the Code (“Section 83(b)”). However, when restrictions on shares of restricted stock lapse, such that the shares are no longer subject to a substantial risk of forfeiture, the individual generally will recognize ordinary income, and we generally will be entitled to a deduction for an amount equal to the excess of the fair market value of the shares at the date such restrictions lapse over the purchase price. If a timely election is made under Section 83(b) with respect to restricted stock, the participant generally will recognize ordinary income on the date of the issuance equal to the excess, if any, of the fair market value of the shares at that date over the purchase price of such shares, and we will be entitled to a deduction for the same amount.</w:t>
      </w:r>
    </w:p>
    <w:p>
      <w:pPr>
        <w:spacing w:after="0" w:line="126" w:lineRule="exact"/>
        <w:rPr>
          <w:sz w:val="20"/>
          <w:szCs w:val="20"/>
          <w:color w:val="auto"/>
        </w:rPr>
      </w:pPr>
    </w:p>
    <w:p>
      <w:pPr>
        <w:jc w:val="both"/>
        <w:ind w:left="1980" w:right="859" w:firstLine="294"/>
        <w:spacing w:after="0" w:line="302" w:lineRule="auto"/>
        <w:rPr>
          <w:sz w:val="20"/>
          <w:szCs w:val="20"/>
          <w:color w:val="auto"/>
        </w:rPr>
      </w:pPr>
      <w:r>
        <w:rPr>
          <w:rFonts w:ascii="Times New Roman" w:cs="Times New Roman" w:eastAsia="Times New Roman" w:hAnsi="Times New Roman"/>
          <w:sz w:val="11"/>
          <w:szCs w:val="11"/>
          <w:i w:val="1"/>
          <w:iCs w:val="1"/>
          <w:color w:val="auto"/>
        </w:rPr>
        <w:t>Stock Appreciation Rights</w:t>
      </w:r>
      <w:r>
        <w:rPr>
          <w:rFonts w:ascii="Times New Roman" w:cs="Times New Roman" w:eastAsia="Times New Roman" w:hAnsi="Times New Roman"/>
          <w:sz w:val="11"/>
          <w:szCs w:val="11"/>
          <w:color w:val="auto"/>
        </w:rPr>
        <w:t>. A participant will not be taxed upon the grant of a stock appreciation right. Upon the exercise of the stock appreciation</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right, the participant will recognize ordinary income equal to the amount of cash or the fair market value of the stock received upon exercise. At the time of exercise, we will be eligible for a tax deduction as a compensation expense equal to the amount that the participant recognizes as ordinary income.</w:t>
      </w:r>
    </w:p>
    <w:p>
      <w:pPr>
        <w:spacing w:after="0" w:line="99" w:lineRule="exact"/>
        <w:rPr>
          <w:sz w:val="20"/>
          <w:szCs w:val="20"/>
          <w:color w:val="auto"/>
        </w:rPr>
      </w:pPr>
    </w:p>
    <w:p>
      <w:pPr>
        <w:ind w:left="1980" w:right="85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Performance Awards and Other Stock Awards</w:t>
      </w:r>
      <w:r>
        <w:rPr>
          <w:rFonts w:ascii="Times New Roman" w:cs="Times New Roman" w:eastAsia="Times New Roman" w:hAnsi="Times New Roman"/>
          <w:sz w:val="12"/>
          <w:szCs w:val="12"/>
          <w:color w:val="auto"/>
        </w:rPr>
        <w:t>. The participant will have ordinary income upon receipt of stock or cash payable under performance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awards, dividend equivalents, restricted stock units and stock payments. We will be eligible for a tax deduction as a compensation expense equal to the amount of ordinary income recognized by the participant.</w:t>
      </w:r>
    </w:p>
    <w:p>
      <w:pPr>
        <w:spacing w:after="0" w:line="117" w:lineRule="exact"/>
        <w:rPr>
          <w:sz w:val="20"/>
          <w:szCs w:val="20"/>
          <w:color w:val="auto"/>
        </w:rPr>
      </w:pPr>
    </w:p>
    <w:p>
      <w:pPr>
        <w:jc w:val="both"/>
        <w:ind w:left="1980" w:right="979" w:firstLine="294"/>
        <w:spacing w:after="0" w:line="266" w:lineRule="auto"/>
        <w:rPr>
          <w:sz w:val="20"/>
          <w:szCs w:val="20"/>
          <w:color w:val="auto"/>
        </w:rPr>
      </w:pPr>
      <w:r>
        <w:rPr>
          <w:rFonts w:ascii="Times New Roman" w:cs="Times New Roman" w:eastAsia="Times New Roman" w:hAnsi="Times New Roman"/>
          <w:sz w:val="12"/>
          <w:szCs w:val="12"/>
          <w:i w:val="1"/>
          <w:iCs w:val="1"/>
          <w:color w:val="auto"/>
        </w:rPr>
        <w:t>Section 162(m) of the Code</w:t>
      </w:r>
      <w:r>
        <w:rPr>
          <w:rFonts w:ascii="Times New Roman" w:cs="Times New Roman" w:eastAsia="Times New Roman" w:hAnsi="Times New Roman"/>
          <w:sz w:val="12"/>
          <w:szCs w:val="12"/>
          <w:color w:val="auto"/>
        </w:rPr>
        <w:t>. Section 162(m) of the Code generally limits to $1.0 million the amount of compensation that we may deduct in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calendar year for certain current and former executive officers. For grants under the Equity Incentive Plan, we will not be able to take a deduction for any compensation in excess of $1.0 million that is paid to a covered officer.</w:t>
      </w:r>
    </w:p>
    <w:p>
      <w:pPr>
        <w:spacing w:after="0" w:line="117"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i w:val="1"/>
          <w:iCs w:val="1"/>
          <w:color w:val="auto"/>
        </w:rPr>
        <w:t>Requirements of Section 409A of the Code</w:t>
      </w:r>
      <w:r>
        <w:rPr>
          <w:rFonts w:ascii="Times New Roman" w:cs="Times New Roman" w:eastAsia="Times New Roman" w:hAnsi="Times New Roman"/>
          <w:sz w:val="12"/>
          <w:szCs w:val="12"/>
          <w:color w:val="auto"/>
        </w:rPr>
        <w:t>. Certain awards under the Equity Incentive Plan may be considered “nonqualified deferred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compensation” for purposes of Section 409A of the Code (“Section 409A”), which imposes certain requirements on compensation that is deemed under Section 409A to involve nonqualified deferred compensation. Among other things, the requirements relate to the timing of elections to defer, the timing of distributions and prohibitions on the acceleration of distributions. Failure to comply with these requirements (or an exception from such requirements) may result in the immediate taxation of all amounts deferred under the nonqualified deferred compensation plan for the taxable year and all preceding taxable years, by or for any participant with respect to whom the failure relates, the imposition of an additional 20% income tax on the participant for the amounts required to be included in gross income and the possible imposition of penalty interest on the unpaid tax. Generally, Section 409A does not apply to incentive awards that are paid at the time the award vests. Likewise, Section 409A typically does not apply to restricted stock. Section 409A may, however, apply to incentive awards the payment of which is delayed beyond the calendar year in which the award vests. Treasury regulations generally provide that the type of awards provided under the Equity Incentive Plan will not be considered nonqualified deferred compensation. However, to the extent that Section 409A</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225</w:t>
      </w:r>
    </w:p>
    <w:p>
      <w:pPr>
        <w:sectPr>
          <w:pgSz w:w="11900" w:h="16838" w:orient="portrait"/>
          <w:cols w:equalWidth="0" w:num="1">
            <w:col w:w="10159"/>
          </w:cols>
          <w:pgMar w:left="300" w:top="368"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applies to an award issued under the Equity Incentive Plan, the Equity Incentive Plan and all such awards will, to the extent practicable, be construed in accordance with Section 409A. Under the Equity Incentive Plan, the administrator has the discretion to grant or to unilaterally modify any award issued under the Equity Incentive Plan in a manner that conforms with the requirements of Section 409A with respect to deferred compensation or voids any participant election to the extent it would violate Section 409A. The administrator also has sole discretion to interpret the requirements of the Code, including Section 409A, for purposes of the Equity Incentive Plan and all awards issued under the Equity Incentive Plan.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2022 Employee Stock Purchase Plan</w:t>
      </w:r>
    </w:p>
    <w:p>
      <w:pPr>
        <w:spacing w:after="0" w:line="82"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On October 17, 2022, our Board adopted, subject to the approval by our stockholders, the ESPP. On November 9, 2022, our stockholders approved the ESPP. The ESPP became effective on November 9, 2022, the day immediately preceding the date on which the Closing occurred. As of the date of this prospectus, we have not commenced any offerings under the ESPP.</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Purpose</w:t>
      </w:r>
    </w:p>
    <w:p>
      <w:pPr>
        <w:spacing w:after="0" w:line="8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purpose of the ESPP is to secure and retain the services of new employees, to retain the services of existing employees, and to provide incentives for such individuals to exert maximum efforts toward our success and that of our related corporations. The ESPP includes two components. One component is designed to allow eligible U.S. employees to purchase our Common Stock in a manner that may qualify for favorable tax treatment under Section 423 of the Code (the “423 Component”) and accordingly, it will be construed in a manner that is consistent with the requirements of Section 423 of the Code. We intend (but make no undertaking or representation to maintain) the 423 Component to qualify as an employee stock purchase plan, as that term is defined in Section 423(b) of the Code. The other component will permit the grant of purchase rights that do not qualify for such favorable tax treatment (the “Non-423 Component”) in order to allow deviations necessary to permit participation by eligible employees who are foreign nationals or employed outside of the U.S. while complying with applicable foreign laws, and except as otherwise provided in the ESPP or determined by our Board, it will operate and be administered in the same manner as the 423 Component.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Share Reserve</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Initially, the maximum number of shares of our Common Stock that may be issued under the ESPP will not exceed 41,779 shares of our Common Stock. On January 1, 2023, the maximum number of shares of our Common Stock that may be issued under the ESPP was increased to 82,164 based on the following provisions of the ESPP. The ESPP provides that the number of shares of our Common Stock that will be reserved for issuance will automatically increase on January 1 of each year for a period of up to ten years, commencing on January 1, 2023 and ending on (and including) January 1, 2032, in an amount equal to the lesser of (i) 1% of the total number of shares of our Common Stock outstanding on December 31 of the immediately preceding calendar year; (ii) 52,223 shares of our Common Stock; and (iii) such number of shares of our Common Stock determined by our Board or the Compensation Committee of our Board prior to January 1 of a given year, provided however, that our Board may act prior to January 1 of a given calendar year to provide that there will be no increase for such calendar year or the increase for such year will be a lesser number of shares than the amount set forth in clauses (i) to (iii) above.</w:t>
      </w:r>
    </w:p>
    <w:p>
      <w:pPr>
        <w:spacing w:after="0" w:line="126"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For the avoidance of doubt, up to the maximum number of shares of our Common Stock reserved may be used to satisfy purchases of our Common Stock under the 423 Component and any remaining portion of such maximum number of shares may be used to satisfy the purchases of our Common Stock under the Non-423 Component.</w:t>
      </w:r>
    </w:p>
    <w:p>
      <w:pPr>
        <w:spacing w:after="0" w:line="119"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If any purchase right granted under the ESPP terminates without having been exercised in full, the shares of our Common Stock not purchased under such purchase right will again become available for issuance under the ESPP.</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226</w:t>
      </w:r>
    </w:p>
    <w:p>
      <w:pPr>
        <w:sectPr>
          <w:pgSz w:w="11900" w:h="16838" w:orient="portrait"/>
          <w:cols w:equalWidth="0" w:num="1">
            <w:col w:w="10159"/>
          </w:cols>
          <w:pgMar w:left="300" w:top="368"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259" w:firstLine="294"/>
        <w:spacing w:after="0" w:line="279" w:lineRule="auto"/>
        <w:rPr>
          <w:sz w:val="20"/>
          <w:szCs w:val="20"/>
          <w:color w:val="auto"/>
        </w:rPr>
      </w:pPr>
      <w:r>
        <w:rPr>
          <w:rFonts w:ascii="Times New Roman" w:cs="Times New Roman" w:eastAsia="Times New Roman" w:hAnsi="Times New Roman"/>
          <w:sz w:val="12"/>
          <w:szCs w:val="12"/>
          <w:color w:val="auto"/>
        </w:rPr>
        <w:t>The Common Stock purchasable under the ESPP will be shares of authorized but unissued or reacquired Common Stock, including shares repurchased by us on the open market.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Administration</w:t>
      </w:r>
    </w:p>
    <w:p>
      <w:pPr>
        <w:spacing w:after="0" w:line="82" w:lineRule="exact"/>
        <w:rPr>
          <w:sz w:val="20"/>
          <w:szCs w:val="20"/>
          <w:color w:val="auto"/>
        </w:rPr>
      </w:pPr>
    </w:p>
    <w:p>
      <w:pPr>
        <w:ind w:left="1980" w:right="859" w:firstLine="294"/>
        <w:spacing w:after="0" w:line="278" w:lineRule="auto"/>
        <w:rPr>
          <w:sz w:val="20"/>
          <w:szCs w:val="20"/>
          <w:color w:val="auto"/>
        </w:rPr>
      </w:pPr>
      <w:r>
        <w:rPr>
          <w:rFonts w:ascii="Times New Roman" w:cs="Times New Roman" w:eastAsia="Times New Roman" w:hAnsi="Times New Roman"/>
          <w:sz w:val="11"/>
          <w:szCs w:val="11"/>
          <w:color w:val="auto"/>
        </w:rPr>
        <w:t>Our Board administers the ESPP. Our Board may delegate some or all of the administration of the ESPP to a committee or committees of our Board. All references to our Board in summary of the ESPP will include a duly authorized committee of our Board except where the context dictates otherwise. Further, to the extent not prohibited by applicable law, our Board may, from time to time, delegate some or all of its authority under the ESPP to one or more of our officers or other persons or groups of persons as it deems necessary, appropriate or advisable under conditions or limitations that it may set at or after the time of the delegation. Our Board will have the authority to determine how and when purchase rights are granted and the provisions of each offering; to designate, from time to time, which of our related corporations will be eligible to participate in the 423 Component or the Non-423 Component, or which related corporations will be eligible to participate in each separate offering; to construe and interpret the ESPP and purchase rights thereunder, and to establish, amend and revoke rules and regulations for the ESPP’s administration; to settle all controversies regarding the ESPP and purchase rights granted thereunder; to amend, suspend or terminate the ESPP; to exercise such powers and to perform such acts as it deems necessary or expedient to promote the best interests of us and our related corporations and to carry out the intent of the ESPP to be treated as an employee stock purchase plan with respect to the 423 Component; and to adopt such rules, procedures and sub-plans as are necessary or appropriate to permit or facilitate participation in the ESPP by employees who are foreign nationals or employed or located outside the United States.</w:t>
      </w:r>
    </w:p>
    <w:p>
      <w:pPr>
        <w:spacing w:after="0" w:line="260" w:lineRule="exact"/>
        <w:rPr>
          <w:sz w:val="20"/>
          <w:szCs w:val="20"/>
          <w:color w:val="auto"/>
        </w:rPr>
      </w:pPr>
    </w:p>
    <w:p>
      <w:pPr>
        <w:ind w:left="1980" w:right="1119" w:firstLine="294"/>
        <w:spacing w:after="0" w:line="279" w:lineRule="auto"/>
        <w:rPr>
          <w:sz w:val="20"/>
          <w:szCs w:val="20"/>
          <w:color w:val="auto"/>
        </w:rPr>
      </w:pPr>
      <w:r>
        <w:rPr>
          <w:rFonts w:ascii="Times New Roman" w:cs="Times New Roman" w:eastAsia="Times New Roman" w:hAnsi="Times New Roman"/>
          <w:sz w:val="12"/>
          <w:szCs w:val="12"/>
          <w:color w:val="auto"/>
        </w:rPr>
        <w:t>All determinations, interpretations and constructions made by our Board in good faith will not be subject to review by any person and will be final, binding and conclusive on all persons.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Offerings</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Our Board may grant or provide for the grant of purchase rights to eligible employees under an offering (consisting of one or more purchase periods) on an offering date or offering dates selected by our Board. Each offering will be in the form and will contain those terms and conditions as our Board deems appropriate, and, with respect to the 423 Component, will comply with the requirements of Section 423(b)(5) of the Code. The provisions of separate offerings do not need to be identical, but each offering will include the period during which the offering will be effective, which period will not exceed 27 months beginning with the offering date, and the substance of the applicable provisions contained in the ESPP.</w:t>
      </w:r>
    </w:p>
    <w:p>
      <w:pPr>
        <w:spacing w:after="0" w:line="125"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If a participant has more than one purchase right outstanding under the ESPP, unless he or she otherwise indicates in forms delivered to us or a third party designee of ours: (i) each form will apply to all of his or her purchase rights under the ESPP,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25"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Our Board will have the discretion to structure an offering so that if the fair market value of a share of our Common Stock on the first trading day of a new purchase period within that offering is less than or equal to the fair market value of a share of our Common Stock on the first day of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Eligibility</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Generally, purchase rights may only be granted to employees, including executive officers, employed by us (or by any of our affiliates or related corporations as designated by our Board) on the first day of an offering if</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227</w:t>
      </w:r>
    </w:p>
    <w:p>
      <w:pPr>
        <w:sectPr>
          <w:pgSz w:w="11900" w:h="16838" w:orient="portrait"/>
          <w:cols w:equalWidth="0" w:num="1">
            <w:col w:w="10159"/>
          </w:cols>
          <w:pgMar w:left="300" w:top="368"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such employee has been employed by us or by one of our designated affiliates or related corporations for such continuous period preceding such date (not to exceed two years) as our Board may require. Our Board may (unless prohibited by applicable law) require that employees have to satisfy one or both of the following service requirements with respect to the 423 Component: (i) being customarily employed by us, or any of our related corporations or affiliates, for more than 20 hours per week and more than five months per calendar year; or (ii) such other criteria as our Board may determine consistent with Section 423 of the Code with respect to the 423 Component. Our Board may provide that each person who, during the course of an offering, first becomes an eligible employee will, on the date or dates specified in the offering which coincides with the day on which the person becomes an eligible employee or which occurs thereafter, receive a purchase right under that offering, and the purchase right will thereafter be deemed to be part of the offering with substantially identical characteristics. No employee will be eligible for the grant of any purchase rights under the ESPP if immediately after such rights are granted, such employee owns stock possessing five percent or more of the total combined voting power or value of all classes of our outstanding capital stock (or the stock of any related corporation) determined in accordance with the rules of Section 424(d) of the Code. As specified by Section 423(b)(8) of the Code, an eligible employee may be granted purchase rights only if such purchase rights, together with any other rights granted under all employee stock purchase plans of ours or any of our related corporations, do not permit such eligible employee’s rights to purchase our stock or the stock of any of our related corporations to accrue at a rate which, when aggregated, exceeds $25,000 (based on the fair market value per share of such common stock on the date that the purchase right is granted) for each calendar year such purchase rights are outstanding at any time. Our Board may also exclude from participation in the ESPP or any offering employees of ours, or of any of our related corporation, who are highly compensated employees, as within the meaning of Section 423(b)(4)(D) of the Code, or a subset of such highly compensated employees.</w:t>
      </w:r>
    </w:p>
    <w:p>
      <w:pPr>
        <w:spacing w:after="0" w:line="130" w:lineRule="exact"/>
        <w:rPr>
          <w:sz w:val="20"/>
          <w:szCs w:val="20"/>
          <w:color w:val="auto"/>
        </w:rPr>
      </w:pPr>
    </w:p>
    <w:p>
      <w:pPr>
        <w:ind w:left="1980" w:right="1119" w:firstLine="294"/>
        <w:spacing w:after="0" w:line="265" w:lineRule="auto"/>
        <w:rPr>
          <w:sz w:val="20"/>
          <w:szCs w:val="20"/>
          <w:color w:val="auto"/>
        </w:rPr>
      </w:pPr>
      <w:r>
        <w:rPr>
          <w:rFonts w:ascii="Times New Roman" w:cs="Times New Roman" w:eastAsia="Times New Roman" w:hAnsi="Times New Roman"/>
          <w:sz w:val="12"/>
          <w:szCs w:val="12"/>
          <w:color w:val="auto"/>
        </w:rPr>
        <w:t>Notwithstanding anything in the foregoing paragraph to the contrary, in the case of an offering under the Non-423 Component, an eligible employee (or a group of eligible employees) may be excluded from participation in the ESPP or an offering if our Board has determined, in its sole discretion, that participation of such eligible employee is not advisable or practical for any reason.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Purchase Rights; Purchase Price</w:t>
      </w:r>
    </w:p>
    <w:p>
      <w:pPr>
        <w:spacing w:after="0" w:line="82" w:lineRule="exact"/>
        <w:rPr>
          <w:sz w:val="20"/>
          <w:szCs w:val="20"/>
          <w:color w:val="auto"/>
        </w:rPr>
      </w:pPr>
    </w:p>
    <w:p>
      <w:pPr>
        <w:ind w:left="1980" w:right="859" w:firstLine="294"/>
        <w:spacing w:after="0" w:line="277" w:lineRule="auto"/>
        <w:rPr>
          <w:sz w:val="20"/>
          <w:szCs w:val="20"/>
          <w:color w:val="auto"/>
        </w:rPr>
      </w:pPr>
      <w:r>
        <w:rPr>
          <w:rFonts w:ascii="Times New Roman" w:cs="Times New Roman" w:eastAsia="Times New Roman" w:hAnsi="Times New Roman"/>
          <w:sz w:val="11"/>
          <w:szCs w:val="11"/>
          <w:color w:val="auto"/>
        </w:rPr>
        <w:t>On the first day of each offering, each eligible employee, pursuant to an offering made under the ESPP, will be granted a purchase right to purchase up to that number of shares of our Common Stock purchasable either with a percentage or with a maximum dollar amount, as designated by our Board, which will not exceed 15% of such employee’s earnings (as defined by our Board) during the period that begins on the first day of the offering (or such later date as our Board determines for a particular offering) and ends on the date stated in the offering, which date will be no later than the end of the offering. Our Board will establish one or more purchase dates during an offering on which purchase rights granted for that offering will be exercised and shares of Common Stock will be purchased in accordance with such offering. Each eligible employee may purchase of up to 285 shares of our Common Stock in an offering (or such lesser number of shares determined by our Board prior to the start of the offering). Our Board may also specify (i) a maximum number of shares of our Common Stock that may be purchased by any participant on any purchase date during an offering, (ii) a maximum aggregate number of shares of our Common Stock that may be purchased by all participants in an offering and/or (iii) a maximum aggregate number of shares of our Common Stock that may be purchased by all participants on any purchase date under an offering. If the aggregate number of shares of our Common Stock issuable upon exercise of purchase rights granted under the offering would exceed any such maximum aggregate number, then, in the absence of any action by our Board otherwise, a pro rata allocation of the shares of our Common Stock (rounded down to the nearest whole share) available, based on each participant’s accumulated contributions, will be made in as nearly a uniform manner as will be practicable and equitable.</w:t>
      </w:r>
    </w:p>
    <w:p>
      <w:pPr>
        <w:spacing w:after="0" w:line="264"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The purchase price of shares of our Common Stock acquired pursuant to purchase rights will not be less than the lesser of (i) 85% of the fair market value of a share of our Common Stock on the first day of an offering; or (ii) 85% of the fair market value of a share of our Common Stock on the date of purchase.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228</w:t>
      </w:r>
    </w:p>
    <w:p>
      <w:pPr>
        <w:sectPr>
          <w:pgSz w:w="11900" w:h="16838" w:orient="portrait"/>
          <w:cols w:equalWidth="0" w:num="1">
            <w:col w:w="10159"/>
          </w:cols>
          <w:pgMar w:left="300" w:top="368" w:right="1440"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Participation; Withdrawal; Termination</w:t>
      </w:r>
    </w:p>
    <w:p>
      <w:pPr>
        <w:spacing w:after="0" w:line="8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An eligible employee may elect to participate in an offering and authorize payroll deductions as the means of making contributions by completing and delivering to us or our designee, within the time specified in the offering, an enrollment form provided by us or our designee. The enrollment form will specify the amount of contributions not to exceed the maximum amount specified by our Board. Each participant’s contributions will be credited to a bookkeeping account for the participant under the ESPP and will be deposited with our general funds except where applicable law requires that contributions be deposited with a third party. If permitted in the offering, a participant may begin such contributions with the first payroll occurring on or after the first day of the applicable offering (or, in the case of a payroll date that occurs after the end of the prior offering but before the first day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payment by cash, check or wire transfer prior to a purchase date.</w:t>
      </w:r>
    </w:p>
    <w:p>
      <w:pPr>
        <w:spacing w:after="0" w:line="129"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During an offering, a participant may cease making contributions and withdraw from the offering by delivering to us or our designee a withdrawal form provided by us. We may impose a deadline before a purchase date for withdrawing. Upon such withdrawal, such participant’s purchase right in that offering will immediately terminate and we will distribute as soon as practicable to such participant all of his or her accumulated but unused contributions and such participant’s purchase right in that offering shall then terminate. A participant’s withdrawal from that offering will have no effect upon his or her eligibility to participate in any other offerings under the ESPP, but such participant will be required to deliver a new enrollment form to participate in subsequent offerings.</w:t>
      </w:r>
    </w:p>
    <w:p>
      <w:pPr>
        <w:spacing w:after="0" w:line="125" w:lineRule="exact"/>
        <w:rPr>
          <w:sz w:val="20"/>
          <w:szCs w:val="20"/>
          <w:color w:val="auto"/>
        </w:rPr>
      </w:pPr>
    </w:p>
    <w:p>
      <w:pPr>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Unless otherwise required by applicable law, purchase rights granted pursuant to any offering under the ESPP will terminate immediately if the participant either (i) is no longer an employee for any reason or for no reason (subject to any post-employment participation period required by applicable law) or (ii) is otherwise no longer eligible to participate. We will distribute the individual’s accumulated but unused contributions as soon as practicable to such individual.</w:t>
      </w:r>
    </w:p>
    <w:p>
      <w:pPr>
        <w:spacing w:after="0" w:line="12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Unless otherwise determined by our Board, a participant whose employment transfers or whose employment terminates with an immediate rehire (with no break in service) by or between us and one of our designated companies designated to participate in an offering (or between such designated companies) will not be treated as having terminated employment for purposes of participating in the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Our Board may establish different and additional rules governing transfers between separate offerings within the 423 Component and between offerings under the 423 Component and offerings under the Non-423 Component. Unless otherwise specified in the offering or as required by applicable law, we will have no obligation to pay interest on contributions.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Purchase of Shares</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On each purchase date, each participant’s accumulated contributions will be applied to the purchase of shares of our Common Stock, up to the maximum number of shares of our Common Stock permitted by the ESPP and the applicable offering, at the purchase price specified in the offering. Unless otherwise provided in the offering, if any amount of accumulated contributions remains in a participant’s account after the purchase of shares on the final purchase date of an offering, then such remaining amount will not roll over to the next offering and will instead be distributed in full to such participant after the final purchase date of such offering without interest (unless otherwise required by applicable law). No purchase rights may be exercised to any extent unless the shares of our Common Stock</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229</w:t>
      </w:r>
    </w:p>
    <w:p>
      <w:pPr>
        <w:sectPr>
          <w:pgSz w:w="11900" w:h="16838" w:orient="portrait"/>
          <w:cols w:equalWidth="0" w:num="1">
            <w:col w:w="10159"/>
          </w:cols>
          <w:pgMar w:left="300" w:top="368" w:right="1440"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to be issued upon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a purchase date the shares of our Common Stock are not so registered or the ESPP is not in such compliance, no purchase rights will be exercised on such purchase date, and the purchase date will be delayed until the shares of our Common Stock are subject to such an effective registration statement and the ESPP is in material compliance, except that the purchase date will in no event be more than 27 months from the first day of an offering. If, on the purchase date, as delayed to the maximum extent permissible, the shares of our Common Stock are not registered and the ESPP is not in material compliance with all applicable laws, as determined by us in our sole discretion, no purchase rights will be exercised and all accumulated but unused contributions will be distributed to the ESPP participants without interest (unless the payment of interest is otherwise required by applicable law).</w:t>
      </w:r>
    </w:p>
    <w:p>
      <w:pPr>
        <w:spacing w:after="0" w:line="128"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A participant will not be deemed to be the holder of, or to have any of the rights of a holder with respect to, shares of our Common Stock subject to purchase rights unless and until the participant’s shares of our Common Stock acquired upon exercise of purchase rights are recorded in our books (or the books of our transfer agent).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Changes to Capital Structure</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The ESPP provides that in the event of a change in our capital structure through actions such as a merger, consolidation, reorganization, recapitalization, reincorporation, stock dividend, dividend in property other than cash, large nonrecurring cash dividend, stock split, liquidating dividend, combination of shares, exchange of shares, change in corporate structure, or similar transaction, our Board will appropriately and proportionately adjust: (i) the class(es) and maximum number of securities subject to the ESPP; (ii) the class(es) and maximum number of securities by which the share reserve is to increase automatically each year; (iii) the class(es) and number of shares subject to, and purchase price applicable to, outstanding offerings and purchase rights; and (iv) the class(es) and number of securities that are subject to purchase limits under each ongoing offering. Our Board will make these adjustments, and its determination will be final, binding and conclusive.</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Corporate Transactions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ESPP provides that in the event of a corporate transaction (as defined below), any then-outstanding rights to purchase our Common Stock under the ESPP may be assumed, continued, or substituted for by any surviving or acquiring corporation (or its parent company). If the surviving or acquiring corporation (or its parent company) elects not to assume, continue, or substitute for such purchase rights, then (i) the participants’ accumulated payroll contributions will be used to purchase shares of our Common Stock (rounded down to the nearest whole share) within ten business days (or such other period specified by our Board) before such corporate transaction under the outstanding purchase rights, and such purchase rights will terminate immediately after such purchase, or (ii) our Board, in its discretion, may terminate outstanding offerings, cancel the outstanding purchase rights and refund the participants’ accumulated contributions.</w:t>
      </w:r>
    </w:p>
    <w:p>
      <w:pPr>
        <w:spacing w:after="0" w:line="126"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Under the ESPP, a “corporate transaction” is generally the consummation, in a single transaction or in a series of related transactions, of: (i) a sale or other disposition of all or substantially all, as determined by our Board,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Transferability</w:t>
      </w:r>
    </w:p>
    <w:p>
      <w:pPr>
        <w:spacing w:after="0" w:line="82"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During a participant’s lifetime, purchase rights will be exercisable only by a participant. Purchase rights are not transferable by a participant, except by will, by the laws of descent and distribution, or, if permitted by us, by a beneficiary designation.</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230</w:t>
      </w:r>
    </w:p>
    <w:p>
      <w:pPr>
        <w:sectPr>
          <w:pgSz w:w="11900" w:h="16838" w:orient="portrait"/>
          <w:cols w:equalWidth="0" w:num="1">
            <w:col w:w="10159"/>
          </w:cols>
          <w:pgMar w:left="300" w:top="368"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Tax Withholding</w:t>
      </w:r>
    </w:p>
    <w:p>
      <w:pPr>
        <w:spacing w:after="0" w:line="82"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Each participant must make arrangements, satisfactory to us and any applicable related corporation, to enable us or our related corporation to fulfill any withholding obligation for taxes arising out of or in relation to a participant’s participation in the ESPP. In our sole discretion and subject to applicable law, such withholding obligation may be satisfied in whole or in part by (i) withholding from the participant’s salary or any other cash payment due to the participant from us or any related corporation; (ii) withholding from the proceeds of the sale of shares of our Common Stock acquired under the ESPP, either through a voluntary sale or a mandatory sale arranged by us; or (iii) any other method deemed acceptable by our Board. We will not be required to issue any shares of our Common Stock under the ESPP until such obligations are satisfied.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Suspension or Termination</w:t>
      </w:r>
    </w:p>
    <w:p>
      <w:pPr>
        <w:spacing w:after="0" w:line="82"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Our Board will have the authority to amend, suspend or terminate the ESPP. Any benefits, privileges, entitlements and obligations under any outstanding purchase right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or (iii) as necessary to obtain or maintain favorable tax, listing, or regulatory treatment. Except with respect to certain changes in our capital structure, stockholder approval is required for any amendment to the ESPP if such approval is required by applicable law or listing requirements. No purchase rights may be granted under the ESPP while it is suspended or after it is terminated.</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2023 Inducement Plan</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January 17, 2023, the Compensation Committee of our Board adopted the Inducement Plan and it became effective on the date of its adoption.</w:t>
      </w:r>
    </w:p>
    <w:p>
      <w:pPr>
        <w:spacing w:after="0" w:line="15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is a summary of the material terms of the Inducement Plan.</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Purpose of the Inducement Plan</w:t>
      </w:r>
    </w:p>
    <w:p>
      <w:pPr>
        <w:spacing w:after="0" w:line="80"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purpose of the Inducement Plan is to advance our interests by providing a material inducement for individuals to join us as employees and to provide a means by which such persons may be given an opportunity to benefit from increases in value of our Common Stock through the granting of awards under the Inducement Plan.</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Awards and Eligibility</w:t>
      </w:r>
    </w:p>
    <w:p>
      <w:pPr>
        <w:spacing w:after="0" w:line="80"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Inducement Plan provides for the grant of NSOs, stock appreciation rights, restricted stock awards, restricted stock unit awards, and other forms of awards. We intend to grant awards pursuant to the Inducement Plan only to persons to whom we may issue shares of our Common Stock without stockholder approval under Section 5635 of the Nasdaq Listing Rules. The Inducement Plan provides that awards may be granted to a natural person to whom we or one of our subsidiaries makes an offer of employment, provided that (i) such person was not previously an employee or us or one of our affiliates, or the person is returning to employment with us or one of our subsidiaries following a bona-fide period of non-employment; and</w:t>
      </w:r>
    </w:p>
    <w:p>
      <w:pPr>
        <w:spacing w:after="0" w:line="1" w:lineRule="exact"/>
        <w:rPr>
          <w:sz w:val="20"/>
          <w:szCs w:val="20"/>
          <w:color w:val="auto"/>
        </w:rPr>
      </w:pPr>
    </w:p>
    <w:p>
      <w:pPr>
        <w:ind w:left="1980" w:right="1039" w:hanging="8"/>
        <w:spacing w:after="0" w:line="260" w:lineRule="auto"/>
        <w:tabs>
          <w:tab w:leader="none" w:pos="2157"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 of an award under the Inducement Plan is a material inducement to the person’s decision to enter into employment with us or one of our subsidiaries.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Authorized Shares</w:t>
      </w:r>
    </w:p>
    <w:p>
      <w:pPr>
        <w:spacing w:after="0" w:line="80"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An aggregate of 40,000 shares of our Common Stock have been reserved for issuance pursuant to awards granted under the Inducement Plan, subject to adjustment as necessary to implement any changes in our capital structure (as described below).</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231</w:t>
      </w:r>
    </w:p>
    <w:p>
      <w:pPr>
        <w:sectPr>
          <w:pgSz w:w="11900" w:h="16838" w:orient="portrait"/>
          <w:cols w:equalWidth="0" w:num="1">
            <w:col w:w="10159"/>
          </w:cols>
          <w:pgMar w:left="300" w:top="368"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Shares subject to awards that will be granted under the Inducement Plan that expire or terminate without being exercised in full will not reduce the number of shares available for issuance under the Inducement Plan. The settlement of any portion of an award in cash will not reduce the number of shares available for issuance under the Inducement Plan. Shares of Common Stock withheld under an award to satisfy the exercise, strike or purchase price of an award or to satisfy a tax withholding obligation will not reduce the number of shares that will be available for issuance under the Inducement Plan. With respect to a stock appreciation right, only shares of common stock that are issued upon settlement of the stock appreciation right will count towards reducing the number of shares available for issuance under the Inducement Plan. If any shares of our Common Stock issued pursuant to an award are forfeited back to or repurchased or reacquired by us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Inducement Plan.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Plan Administration</w:t>
      </w:r>
    </w:p>
    <w:p>
      <w:pPr>
        <w:spacing w:after="0" w:line="80"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Our Board will delegate administration of the Inducement Plan to a duly authorized committee of our Board (the “Committee”) and to the extent required by applicable law, including the Nasdaq Listing Rules, each member of such Committee will be an “independent director”, as defined in Section 5605(a)(2) of the Nasdaq Listing Rules. Under the Inducement Plan, the Committee will have the authority to determine: award recipients; how and when each award will be granted; the types of awards to be granted; the provisions of each award, including the period of exercisability and the vesting schedule applicable to an award; the number of shares of Common Stock or cash equivalent subject to each award; and the fair market value applicable to an award.</w:t>
      </w:r>
    </w:p>
    <w:p>
      <w:pPr>
        <w:spacing w:after="0" w:line="125"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Under the Inducement Plan, (i) the Committee will not, without stockholder approval, reduce the exercise or strike price of an option or stock appreciation right (other than in connection with a capitalization adjustment), and (ii) a participant’s rights under any award will not be materially adversely impaired by any amendment without the participant’s written consent.</w:t>
      </w:r>
    </w:p>
    <w:p>
      <w:pPr>
        <w:spacing w:after="0" w:line="1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will also designate a plan administrator to administer the day-to-day operations of the Inducement Plan.</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Stock Options</w:t>
      </w:r>
    </w:p>
    <w:p>
      <w:pPr>
        <w:spacing w:after="0" w:line="80" w:lineRule="exact"/>
        <w:rPr>
          <w:sz w:val="20"/>
          <w:szCs w:val="20"/>
          <w:color w:val="auto"/>
        </w:rPr>
      </w:pPr>
    </w:p>
    <w:p>
      <w:pPr>
        <w:ind w:left="1980" w:right="859" w:firstLine="294"/>
        <w:spacing w:after="0" w:line="291" w:lineRule="auto"/>
        <w:rPr>
          <w:sz w:val="20"/>
          <w:szCs w:val="20"/>
          <w:color w:val="auto"/>
        </w:rPr>
      </w:pPr>
      <w:r>
        <w:rPr>
          <w:rFonts w:ascii="Times New Roman" w:cs="Times New Roman" w:eastAsia="Times New Roman" w:hAnsi="Times New Roman"/>
          <w:sz w:val="11"/>
          <w:szCs w:val="11"/>
          <w:color w:val="auto"/>
        </w:rPr>
        <w:t>Options will be granted under stock option agreements adopted by the Committee and each option will be an NSO. The Committee will determine the exercise price for stock options, within the terms and conditions of the Inducement Plan, except the exercise price of a stock option will generally not be less than 100% of the fair market value of our Common Stock on the date of grant. Options granted under the Inducement Plan will vest at the rate specified in the stock option agreement as will be determined by the Committee. The terms and conditions of separate options need not be identical.</w:t>
      </w:r>
    </w:p>
    <w:p>
      <w:pPr>
        <w:spacing w:after="0" w:line="107"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No option will be exercisable after the expiration of ten years or a shorter period specified in the applicable award agreement.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An optionholder may not exercise an option at any time that the issuance of shares upon such exercise would violate applicable law. Unless provided otherwise in the optionholder’s stock</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232</w:t>
      </w:r>
    </w:p>
    <w:p>
      <w:pPr>
        <w:sectPr>
          <w:pgSz w:w="11900" w:h="16838" w:orient="portrait"/>
          <w:cols w:equalWidth="0" w:num="1">
            <w:col w:w="10159"/>
          </w:cols>
          <w:pgMar w:left="300" w:top="368"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option agreement or other written agreement between an optionholder and us, if an optionholder’s service relationship with us or any of our affiliates ceases for any reason other than for cause and, at any time during the last thirty days of the applicable post-termination exercise period: (i) the exercise of the optionholder’s option would be prohibited solely because the issuance of shares of common stock upon such exercise would violate applicable law, or (ii) the immediate sale of any shares of common stock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an option be exercised beyond the expiration of its term.</w:t>
      </w:r>
    </w:p>
    <w:p>
      <w:pPr>
        <w:spacing w:after="0" w:line="128" w:lineRule="exact"/>
        <w:rPr>
          <w:sz w:val="20"/>
          <w:szCs w:val="20"/>
          <w:color w:val="auto"/>
        </w:rPr>
      </w:pPr>
    </w:p>
    <w:p>
      <w:pPr>
        <w:ind w:left="1980" w:right="959" w:firstLine="294"/>
        <w:spacing w:after="0" w:line="260" w:lineRule="auto"/>
        <w:rPr>
          <w:sz w:val="20"/>
          <w:szCs w:val="20"/>
          <w:color w:val="auto"/>
        </w:rPr>
      </w:pPr>
      <w:r>
        <w:rPr>
          <w:rFonts w:ascii="Times New Roman" w:cs="Times New Roman" w:eastAsia="Times New Roman" w:hAnsi="Times New Roman"/>
          <w:sz w:val="12"/>
          <w:szCs w:val="12"/>
          <w:color w:val="auto"/>
        </w:rPr>
        <w:t>Acceptable consideration for the purchase of common stock issued upon the exercise of a stock option will be determined by the Committee and may include (i) cash or check, bank draft or money order payable to us; (ii) a broker-assisted cashless exercise; (iii) subject to certain conditions, the tender of shares of our Common Stock previously owned by the optionholder; (iv) a net exercise of the option; or (v) other legal consideration acceptable to the Committee.</w:t>
      </w:r>
    </w:p>
    <w:p>
      <w:pPr>
        <w:spacing w:after="0" w:line="122" w:lineRule="exact"/>
        <w:rPr>
          <w:sz w:val="20"/>
          <w:szCs w:val="20"/>
          <w:color w:val="auto"/>
        </w:rPr>
      </w:pPr>
    </w:p>
    <w:p>
      <w:pPr>
        <w:ind w:left="1980" w:right="839" w:firstLine="294"/>
        <w:spacing w:after="0" w:line="265" w:lineRule="auto"/>
        <w:rPr>
          <w:sz w:val="20"/>
          <w:szCs w:val="20"/>
          <w:color w:val="auto"/>
        </w:rPr>
      </w:pPr>
      <w:r>
        <w:rPr>
          <w:rFonts w:ascii="Times New Roman" w:cs="Times New Roman" w:eastAsia="Times New Roman" w:hAnsi="Times New Roman"/>
          <w:sz w:val="12"/>
          <w:szCs w:val="12"/>
          <w:color w:val="auto"/>
        </w:rPr>
        <w:t>Unless the Committee provides otherwise, options or stock appreciation rights generally will not be transferable except by will or the laws of descent and distribution. Subject to approval of the Committee or a duly authorized officer, an option may be transferred pursuant to a domestic relations order.</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Restricted Stock Unit Awards</w:t>
      </w:r>
    </w:p>
    <w:p>
      <w:pPr>
        <w:spacing w:after="0" w:line="80"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Subject to the terms of the Inducement Plan, each restricted stock unit award will have such terms and conditions as determined by the Committee. A restricted stock unit award represents a participant’s right to be issued on a future date the number of shares of our Common Stock that is equal to the number of restricted stock units subject to the award. A participant will not have voting or any other rights as a stockholder of ours with respect to any restricted stock unit award (unless and until shares are actually issued in settlement of a vested restricted stock unit award). A restricted stock unit award will be granted in consideration for a participant’s services to us or an affiliate, such that the participant will not be required to make any payment to us (other than such services) with respect to the grant or vesting of the restricted stock unit award, or the issuance of any shares of common stock pursuant to the restricted stock unit award. The Committee may determine that restricted stock unit awards may be granted in consideration for any form of legal consideration that may be acceptable to the Committee and permissible under applicable law. A restricted stock unit award may be settled by cash, delivery of stock (or any combination of our Common Stock and cash), or in any other form of consideration determined by the Committee and set forth in the restricted stock unit award agreement. At the time of grant, the Committee may impose such restrictions or conditions on the award of restricted stock units that delay delivery to a date following the vesting of the award. Additionally, dividend equivalents may be paid or credited in respect of shares of Common Stock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Restricted Stock Awards</w:t>
      </w:r>
    </w:p>
    <w:p>
      <w:pPr>
        <w:spacing w:after="0" w:line="80"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Restricted stock awards will be granted under restricted stock award agreements adopted by the Committee. A restricted stock award may be awarded in consideration for cash, check, bank draft or money order, past services to us or any of our affiliates, or any other form of legal consideration that may be acceptable to the Committee and permissible under applicable law. The Committee will determine the terms and conditions of restricted stock awards, including vesting and forfeiture terms. Dividends may be paid or credited with respect to shares subject to a restricted stock award, as determined by the Committee and specified in the applicable restricted stock award agreement.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233</w:t>
      </w:r>
    </w:p>
    <w:p>
      <w:pPr>
        <w:sectPr>
          <w:pgSz w:w="11900" w:h="16838" w:orient="portrait"/>
          <w:cols w:equalWidth="0" w:num="1">
            <w:col w:w="10159"/>
          </w:cols>
          <w:pgMar w:left="300" w:top="368" w:right="1440"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Stock Appreciation Rights</w:t>
      </w:r>
    </w:p>
    <w:p>
      <w:pPr>
        <w:spacing w:after="0" w:line="8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Stock appreciation rights will be granted under stock appreciation right agreements adopted by the Committee and denominated in shares of Common Stock equivalents. The terms of separate stock appreciation rights need not be identical. The Committee will determine the purchase price or strike price for a stock appreciation right, which generally will not be less than 100% of the fair market value of our Common Stock on the date of grant. A stock appreciation right granted under the Inducement Plan will vest at the rate specified in the stock appreciation right agreement as will be determined by the Committee. Stock appreciation rights may be settled in cash or shares of our Common Stock (or any combination of our Common Stock and cash) or in any other form of payment, as determined by the Committee and specified in the stock appreciation right agreement.</w:t>
      </w:r>
    </w:p>
    <w:p>
      <w:pPr>
        <w:spacing w:after="0" w:line="125" w:lineRule="exact"/>
        <w:rPr>
          <w:sz w:val="20"/>
          <w:szCs w:val="20"/>
          <w:color w:val="auto"/>
        </w:rPr>
      </w:pPr>
    </w:p>
    <w:p>
      <w:pPr>
        <w:ind w:left="1980" w:right="879" w:firstLine="294"/>
        <w:spacing w:after="0" w:line="276" w:lineRule="auto"/>
        <w:rPr>
          <w:sz w:val="20"/>
          <w:szCs w:val="20"/>
          <w:color w:val="auto"/>
        </w:rPr>
      </w:pPr>
      <w:r>
        <w:rPr>
          <w:rFonts w:ascii="Times New Roman" w:cs="Times New Roman" w:eastAsia="Times New Roman" w:hAnsi="Times New Roman"/>
          <w:sz w:val="11"/>
          <w:szCs w:val="11"/>
          <w:color w:val="auto"/>
        </w:rPr>
        <w:t>The Committee will determine the term of stock appreciation rights granted under the Inducement Plan, up to a maximum of ten years. If a participant’s service relationship with us or any of our affiliates ceases for any reason other than cause, disability, or death, the participant may generally exercise any vested stock appreciation right for a period of three months following the cessation of service. If a participant’s service relationship with us or any of our affiliates ceases due to death, or a participant dies within a certain period following cessation of service, the participant or a beneficiary may generally exercise any vested stock appreciation rights for a period of 18 months following the date of death. If a participant’s service relationship with us or any of our affiliates ceases due to disability, the participant may generally exercise any vested stock appreciation rights for a period</w:t>
      </w:r>
    </w:p>
    <w:p>
      <w:pPr>
        <w:spacing w:after="0" w:line="2" w:lineRule="exact"/>
        <w:rPr>
          <w:sz w:val="20"/>
          <w:szCs w:val="20"/>
          <w:color w:val="auto"/>
        </w:rPr>
      </w:pPr>
    </w:p>
    <w:p>
      <w:pPr>
        <w:ind w:left="1980" w:right="879"/>
        <w:spacing w:after="0" w:line="251" w:lineRule="auto"/>
        <w:rPr>
          <w:sz w:val="20"/>
          <w:szCs w:val="20"/>
          <w:color w:val="auto"/>
        </w:rPr>
      </w:pPr>
      <w:r>
        <w:rPr>
          <w:rFonts w:ascii="Times New Roman" w:cs="Times New Roman" w:eastAsia="Times New Roman" w:hAnsi="Times New Roman"/>
          <w:sz w:val="12"/>
          <w:szCs w:val="12"/>
          <w:color w:val="auto"/>
        </w:rPr>
        <w:t>of 12 months following the cessation of service. In the event of a termination for cause, stock appreciation rights generally terminate upon the termination date. A holder of a stock appreciation right may not exercise a stock appreciation right at any time that the issuance of shares upon such exercise would violate applicable law. Unless provided otherwise in the stock appreciation right agreement or other written agreement between the participant and us, if a participant’s service relationship with us or any of our affiliates ceases for any reason other than for cause and, at any time during the last thirty days of the applicable post-termination exercise period: (i) the exercise of the participant’s stock appreciation right would be prohibited solely because the issuance of shares upon such exercise would violate applicable law, or (ii) the immediate sale of any shares issued upon such exercise would violate our trading policy, then the applicable post-termination exercise period will be extended to the last day of the calendar month that begins after the date the award would otherwise expire, with an additional extension of the exercise period to the last day of the next calendar month to apply if any of the foregoing restrictions apply at any time during such extended exercise period. There is no limitation as to the maximum permitted number of extensions. However, in no event may a stock appreciation right be exercised beyond the expiration of its term.</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Other Stock Awards</w:t>
      </w:r>
    </w:p>
    <w:p>
      <w:pPr>
        <w:spacing w:after="0" w:line="80"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Committee will be permitted to grant other awards, based in whole or in part by reference to, or otherwise based on, our Common Stock, either alone or in addition to other awards. The Committee will have the sole and complete discretion to determine the persons to whom and the time or times at which other stock awards will be granted, the number of shares under the other stock award (or cash equivalent) and all other terms and conditions of such awards.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Changes to Capital Structure</w:t>
      </w:r>
    </w:p>
    <w:p>
      <w:pPr>
        <w:spacing w:after="0" w:line="80" w:lineRule="exact"/>
        <w:rPr>
          <w:sz w:val="20"/>
          <w:szCs w:val="20"/>
          <w:color w:val="auto"/>
        </w:rPr>
      </w:pPr>
    </w:p>
    <w:p>
      <w:pPr>
        <w:jc w:val="both"/>
        <w:ind w:left="1980" w:right="919" w:firstLine="294"/>
        <w:spacing w:after="0" w:line="300" w:lineRule="auto"/>
        <w:rPr>
          <w:sz w:val="20"/>
          <w:szCs w:val="20"/>
          <w:color w:val="auto"/>
        </w:rPr>
      </w:pPr>
      <w:r>
        <w:rPr>
          <w:rFonts w:ascii="Times New Roman" w:cs="Times New Roman" w:eastAsia="Times New Roman" w:hAnsi="Times New Roman"/>
          <w:sz w:val="11"/>
          <w:szCs w:val="11"/>
          <w:color w:val="auto"/>
        </w:rPr>
        <w:t>In the event there is a specified type of change in our capital structure, such as a stock split, reverse stock split, or recapitalization, the Committee will appropriately and proportionately adjust (i) the class(es) and maximum number of shares subject to the Inducement Plan; and (ii) the class(es) and number of shares and exercise price, strike price, or purchase price, if applicable, of all outstanding awards granted under the Inducement Plan.</w:t>
      </w:r>
    </w:p>
    <w:p>
      <w:pPr>
        <w:spacing w:after="0" w:line="1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Corporate Transactions</w:t>
      </w:r>
    </w:p>
    <w:p>
      <w:pPr>
        <w:spacing w:after="0" w:line="80"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 the event of a corporate transaction (as defined below), unless otherwise provided in a participant’s award agreement or other written agreement with us or one of our affiliates or unless otherwise expressly provided by the Committee at the time of grant, any awards outstanding under the Inducement Plan may be assumed,</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234</w:t>
      </w:r>
    </w:p>
    <w:p>
      <w:pPr>
        <w:sectPr>
          <w:pgSz w:w="11900" w:h="16838" w:orient="portrait"/>
          <w:cols w:equalWidth="0" w:num="1">
            <w:col w:w="10159"/>
          </w:cols>
          <w:pgMar w:left="300" w:top="368"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2" w:lineRule="auto"/>
        <w:rPr>
          <w:sz w:val="20"/>
          <w:szCs w:val="20"/>
          <w:color w:val="auto"/>
        </w:rPr>
      </w:pPr>
      <w:r>
        <w:rPr>
          <w:rFonts w:ascii="Times New Roman" w:cs="Times New Roman" w:eastAsia="Times New Roman" w:hAnsi="Times New Roman"/>
          <w:sz w:val="12"/>
          <w:szCs w:val="12"/>
          <w:color w:val="auto"/>
        </w:rPr>
        <w:t>continued or substituted for, in whole or in part, by any surviving or acquiring corporation (or its parent company), and any reacquisition or repurchase rights held by us with respect to our Common Stock issued pursuant to awards may be assigned to the successor (or its parent company). If the surviving or acquiring corporation (or its parent company) does not assume, continue or substitute for such awards, then (i) with respect to any such awards that are held by participants whose continuous service has not terminated prior to the effective time of the corporate transaction, or current participants, the vesting (and exercisability, if applicable) of such awards will be accelerated in full (or, in the case of performance awards with multiple vesting levels depending on the level of performance, unless provided otherwise in the applicable award agreement, vesting will accelerate at 100% of the target level) to a date prior to the effective time of the corporate transaction (contingent upon the effectiveness of the corporate transaction) as the Committee determines (or, if the Committee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 and (ii) any such awards that are held by persons other than current participants will terminate if not exercised (if applicable) prior to the occurrence of the corporate transaction, except that any reacquisition or repurchase rights held by us with respect to such awards will not terminate and may continue to be exercised notwithstanding the corporate transaction.</w:t>
      </w:r>
    </w:p>
    <w:p>
      <w:pPr>
        <w:spacing w:after="0" w:line="132" w:lineRule="exact"/>
        <w:rPr>
          <w:sz w:val="20"/>
          <w:szCs w:val="20"/>
          <w:color w:val="auto"/>
        </w:rPr>
      </w:pPr>
    </w:p>
    <w:p>
      <w:pPr>
        <w:ind w:left="1980" w:right="899" w:firstLine="294"/>
        <w:spacing w:after="0" w:line="280" w:lineRule="auto"/>
        <w:rPr>
          <w:sz w:val="20"/>
          <w:szCs w:val="20"/>
          <w:color w:val="auto"/>
        </w:rPr>
      </w:pPr>
      <w:r>
        <w:rPr>
          <w:rFonts w:ascii="Times New Roman" w:cs="Times New Roman" w:eastAsia="Times New Roman" w:hAnsi="Times New Roman"/>
          <w:sz w:val="11"/>
          <w:szCs w:val="11"/>
          <w:color w:val="auto"/>
        </w:rPr>
        <w:t>In the event an award will terminate if not exercised prior to the effective time of a corporate transaction, the Committee may provide, in its sole discretion, that the holder of such award may not exercise such award but instead will receive a payment, in such form as may be determined by the Committee, equal in value to the excess (if any) of (i) the value of the property the participant would have received upon the exercise of the award, over</w:t>
      </w:r>
    </w:p>
    <w:p>
      <w:pPr>
        <w:ind w:left="1980" w:right="1079" w:hanging="8"/>
        <w:spacing w:after="0" w:line="260" w:lineRule="auto"/>
        <w:tabs>
          <w:tab w:leader="none" w:pos="215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 share exercise price payable by such holder, if applicable. As a condition to the receipt of an award, a participant will be deemed to have agreed that the award will be subject to the terms of any agreement under the Inducement Plan governing a corporate transaction involving us.</w:t>
      </w:r>
    </w:p>
    <w:p>
      <w:pPr>
        <w:spacing w:after="0" w:line="122"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Under the Inducement Plan, a “corporate transaction” generally will be the consummation, in a single transaction or in a series of related transactions, of (i) a sale or other disposition of all or substantially all, as determined by the Committee, of the consolidated assets of us and our subsidiaries;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Transferability</w:t>
      </w:r>
    </w:p>
    <w:p>
      <w:pPr>
        <w:spacing w:after="0" w:line="80" w:lineRule="exact"/>
        <w:rPr>
          <w:sz w:val="20"/>
          <w:szCs w:val="20"/>
          <w:color w:val="auto"/>
        </w:rPr>
      </w:pPr>
    </w:p>
    <w:p>
      <w:pPr>
        <w:ind w:left="1980" w:right="1019" w:firstLine="294"/>
        <w:spacing w:after="0" w:line="257" w:lineRule="auto"/>
        <w:rPr>
          <w:sz w:val="20"/>
          <w:szCs w:val="20"/>
          <w:color w:val="auto"/>
        </w:rPr>
      </w:pPr>
      <w:r>
        <w:rPr>
          <w:rFonts w:ascii="Times New Roman" w:cs="Times New Roman" w:eastAsia="Times New Roman" w:hAnsi="Times New Roman"/>
          <w:sz w:val="12"/>
          <w:szCs w:val="12"/>
          <w:color w:val="auto"/>
        </w:rPr>
        <w:t>Except as expressly provided in the Inducement Plan or the form of award agreement, awards granted under the Inducement Plan may not be transferred or assigned by a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our trading policy and applicable law.</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Clawback/Recovery</w:t>
      </w:r>
    </w:p>
    <w:p>
      <w:pPr>
        <w:spacing w:after="0" w:line="80"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All awards granted under the Inducement Plan will be subject to recoupment in accordance with any clawback policy that we are required to adopt pursuant to the listing standards of any national securities exchange or association on which our securities are listed or as is otherwise required by the Dodd-Frank Act or other applicable law and any clawback policy that we otherwise adopt, to the extent applicable and permissible under applicable law. In addition, the Committee may impose such other clawback, recovery or recoupment provisions in an award agreement as the Committee determines necessary or appropriate, including but not limited to a reacquisition right in respect of previously acquired shares of Common Stock or other cash or property upon the occurrence of cause.</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235</w:t>
      </w:r>
    </w:p>
    <w:p>
      <w:pPr>
        <w:sectPr>
          <w:pgSz w:w="11900" w:h="16838" w:orient="portrait"/>
          <w:cols w:equalWidth="0" w:num="1">
            <w:col w:w="10159"/>
          </w:cols>
          <w:pgMar w:left="300" w:top="368" w:right="1440"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Amendment or Termination</w:t>
      </w:r>
    </w:p>
    <w:p>
      <w:pPr>
        <w:spacing w:after="0" w:line="80"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Committee may accelerate the time at which an award granted under the Inducement Plan may first be exercised or the time during which an award grant under the Inducement Plan or any part thereof will vest, notwithstanding the provisions in the award agreement stating the time at which it may first be exercised or the time during which it will vest. The Committee will have the authority to amend, suspend, or terminate the Inducement Plan at any time, provided that such action does not materially impair the existing rights of any participant without such participant’s written consent. No awards may be granted under the Inducement Plan while it is suspended or after it is terminated.</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82" w:lineRule="exact"/>
        <w:rPr>
          <w:sz w:val="20"/>
          <w:szCs w:val="20"/>
          <w:color w:val="auto"/>
        </w:rPr>
      </w:pPr>
    </w:p>
    <w:p>
      <w:pPr>
        <w:jc w:val="both"/>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As an emerging growth company, we are exempted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Act.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82"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The following table provides information regarding the total compensation that was earned by or paid to each of our non-employee directors during the year ended December 31, 2024.</w:t>
      </w:r>
    </w:p>
    <w:p>
      <w:pPr>
        <w:spacing w:after="0" w:line="10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920" w:type="dxa"/>
            <w:vAlign w:val="bottom"/>
            <w:gridSpan w:val="3"/>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7"/>
              </w:rPr>
              <w:t>Fees Earned</w:t>
            </w:r>
          </w:p>
        </w:tc>
        <w:tc>
          <w:tcPr>
            <w:tcW w:w="8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r>
              <w:rPr>
                <w:rFonts w:ascii="Times New Roman" w:cs="Times New Roman" w:eastAsia="Times New Roman" w:hAnsi="Times New Roman"/>
                <w:sz w:val="7"/>
                <w:szCs w:val="7"/>
                <w:b w:val="1"/>
                <w:bCs w:val="1"/>
                <w:color w:val="auto"/>
              </w:rPr>
              <w:t>(1)</w:t>
            </w:r>
          </w:p>
        </w:tc>
        <w:tc>
          <w:tcPr>
            <w:tcW w:w="920" w:type="dxa"/>
            <w:vAlign w:val="bottom"/>
            <w:gridSpan w:val="3"/>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4"/>
              </w:rPr>
              <w:t>or Paid in</w:t>
            </w: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5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7"/>
              </w:rPr>
              <w:t>Total ($)</w:t>
            </w:r>
          </w:p>
        </w:tc>
        <w:tc>
          <w:tcPr>
            <w:tcW w:w="0" w:type="dxa"/>
            <w:vAlign w:val="bottom"/>
          </w:tcPr>
          <w:p>
            <w:pPr>
              <w:spacing w:after="0"/>
              <w:rPr>
                <w:sz w:val="1"/>
                <w:szCs w:val="1"/>
                <w:color w:val="auto"/>
              </w:rPr>
            </w:pPr>
          </w:p>
        </w:tc>
      </w:tr>
      <w:tr>
        <w:trPr>
          <w:trHeight w:val="115"/>
        </w:trPr>
        <w:tc>
          <w:tcPr>
            <w:tcW w:w="3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Times New Roman" w:cs="Times New Roman" w:eastAsia="Times New Roman" w:hAnsi="Times New Roman"/>
                <w:sz w:val="10"/>
                <w:szCs w:val="10"/>
                <w:b w:val="1"/>
                <w:bCs w:val="1"/>
                <w:color w:val="auto"/>
                <w:w w:val="94"/>
              </w:rPr>
              <w:t>Cash ($)</w:t>
            </w:r>
          </w:p>
        </w:tc>
        <w:tc>
          <w:tcPr>
            <w:tcW w:w="9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Awards ($)</w:t>
            </w:r>
            <w:r>
              <w:rPr>
                <w:rFonts w:ascii="Times New Roman" w:cs="Times New Roman" w:eastAsia="Times New Roman" w:hAnsi="Times New Roman"/>
                <w:sz w:val="7"/>
                <w:szCs w:val="7"/>
                <w:b w:val="1"/>
                <w:bCs w:val="1"/>
                <w:color w:val="auto"/>
              </w:rPr>
              <w:t>(2)</w:t>
            </w:r>
          </w:p>
        </w:tc>
        <w:tc>
          <w:tcPr>
            <w:tcW w:w="11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Compensation ($)</w:t>
            </w: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2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i w:val="1"/>
                <w:iCs w:val="1"/>
                <w:color w:val="auto"/>
              </w:rPr>
              <w:t>Current Non-Employee Directors</w:t>
            </w: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Jay Chun, M.D., Ph.D.</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73,125</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42,770</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$ 115,895</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Dorman Followwill</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$ 170,545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131,400</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$ 301,945</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Yue Alexander Wu, Ph.D.</w:t>
            </w: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$ 127,500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42,770</w:t>
            </w:r>
          </w:p>
        </w:tc>
        <w:tc>
          <w:tcPr>
            <w:tcW w:w="1120" w:type="dxa"/>
            <w:vAlign w:val="bottom"/>
            <w:gridSpan w:val="2"/>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$ 170,270</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Annu Navani, M.D.</w:t>
            </w:r>
            <w:r>
              <w:rPr>
                <w:rFonts w:ascii="Times New Roman" w:cs="Times New Roman" w:eastAsia="Times New Roman" w:hAnsi="Times New Roman"/>
                <w:sz w:val="16"/>
                <w:szCs w:val="16"/>
                <w:color w:val="auto"/>
                <w:vertAlign w:val="superscript"/>
              </w:rPr>
              <w:t>(3)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239,225</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$ 239,225</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Former Non-Employee Director</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David Lemus</w:t>
            </w:r>
            <w:r>
              <w:rPr>
                <w:rFonts w:ascii="Times New Roman" w:cs="Times New Roman" w:eastAsia="Times New Roman" w:hAnsi="Times New Roman"/>
                <w:sz w:val="16"/>
                <w:szCs w:val="16"/>
                <w:color w:val="auto"/>
                <w:vertAlign w:val="superscript"/>
              </w:rPr>
              <w:t>(4)</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$ 120,000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88,630</w:t>
            </w:r>
          </w:p>
        </w:tc>
        <w:tc>
          <w:tcPr>
            <w:tcW w:w="11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— </w:t>
            </w:r>
          </w:p>
        </w:tc>
        <w:tc>
          <w:tcPr>
            <w:tcW w:w="5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$ 208,630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2260" w:right="879" w:hanging="288"/>
        <w:spacing w:after="0" w:line="256" w:lineRule="auto"/>
        <w:tabs>
          <w:tab w:leader="none" w:pos="22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Ji, our Executive Chairperson, and Mr. Shah, our Chief Executive Officer and President, are not included in this table, as each of them was our employee and therefore receives no compensation for his service as a director. Dr. Ji’s and Mr. Shah’s compensation as named executive officers are included in the section titled “</w:t>
      </w:r>
      <w:r>
        <w:rPr>
          <w:rFonts w:ascii="Times New Roman" w:cs="Times New Roman" w:eastAsia="Times New Roman" w:hAnsi="Times New Roman"/>
          <w:sz w:val="12"/>
          <w:szCs w:val="12"/>
          <w:i w:val="1"/>
          <w:iCs w:val="1"/>
          <w:color w:val="auto"/>
        </w:rPr>
        <w:t>Executive and Director Compensation — Summary Compensation Table</w:t>
      </w:r>
      <w:r>
        <w:rPr>
          <w:rFonts w:ascii="Times New Roman" w:cs="Times New Roman" w:eastAsia="Times New Roman" w:hAnsi="Times New Roman"/>
          <w:sz w:val="12"/>
          <w:szCs w:val="12"/>
          <w:color w:val="auto"/>
        </w:rPr>
        <w:t>” above.</w:t>
      </w:r>
    </w:p>
    <w:p>
      <w:pPr>
        <w:spacing w:after="0" w:line="1" w:lineRule="exact"/>
        <w:rPr>
          <w:rFonts w:ascii="Times New Roman" w:cs="Times New Roman" w:eastAsia="Times New Roman" w:hAnsi="Times New Roman"/>
          <w:sz w:val="12"/>
          <w:szCs w:val="12"/>
          <w:color w:val="auto"/>
        </w:rPr>
      </w:pPr>
    </w:p>
    <w:p>
      <w:pPr>
        <w:ind w:left="2260" w:right="999" w:hanging="288"/>
        <w:spacing w:after="0" w:line="250" w:lineRule="auto"/>
        <w:tabs>
          <w:tab w:leader="none" w:pos="22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2024, each of our current non-employee directors held options to purchase the following number of shares of our Common Stock: Dr. Chun: 2,857; Mr. Followwill: 5,685; Dr. Wu: 2,857; and Dr. Navani: 7,142.</w:t>
      </w:r>
    </w:p>
    <w:p>
      <w:pPr>
        <w:ind w:left="2260" w:hanging="288"/>
        <w:spacing w:after="0"/>
        <w:tabs>
          <w:tab w:leader="none" w:pos="22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Navani was appointed to our Board on July 21, 2024.</w:t>
      </w:r>
    </w:p>
    <w:p>
      <w:pPr>
        <w:spacing w:after="0" w:line="6" w:lineRule="exact"/>
        <w:rPr>
          <w:rFonts w:ascii="Times New Roman" w:cs="Times New Roman" w:eastAsia="Times New Roman" w:hAnsi="Times New Roman"/>
          <w:sz w:val="12"/>
          <w:szCs w:val="12"/>
          <w:color w:val="auto"/>
        </w:rPr>
      </w:pPr>
    </w:p>
    <w:p>
      <w:pPr>
        <w:ind w:left="2260" w:right="1039" w:hanging="288"/>
        <w:spacing w:after="0" w:line="260" w:lineRule="auto"/>
        <w:tabs>
          <w:tab w:leader="none" w:pos="2260"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Lemus resigned from our Board effective November 27, 2024. As of December 31, 2024, Lemus held options to purchase 71 shares of our Common Stock.</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236</w:t>
      </w:r>
    </w:p>
    <w:p>
      <w:pPr>
        <w:sectPr>
          <w:pgSz w:w="11900" w:h="16838" w:orient="portrait"/>
          <w:cols w:equalWidth="0" w:num="1">
            <w:col w:w="10159"/>
          </w:cols>
          <w:pgMar w:left="300" w:top="368" w:right="1440"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Non-Employee Director Compensation</w:t>
      </w:r>
    </w:p>
    <w:p>
      <w:pPr>
        <w:spacing w:after="0" w:line="78" w:lineRule="exact"/>
        <w:rPr>
          <w:sz w:val="20"/>
          <w:szCs w:val="20"/>
          <w:color w:val="auto"/>
        </w:rPr>
      </w:pPr>
    </w:p>
    <w:p>
      <w:pPr>
        <w:ind w:left="1980" w:right="1139" w:firstLine="294"/>
        <w:spacing w:after="0" w:line="279" w:lineRule="auto"/>
        <w:rPr>
          <w:sz w:val="20"/>
          <w:szCs w:val="20"/>
          <w:color w:val="auto"/>
        </w:rPr>
      </w:pPr>
      <w:r>
        <w:rPr>
          <w:rFonts w:ascii="Times New Roman" w:cs="Times New Roman" w:eastAsia="Times New Roman" w:hAnsi="Times New Roman"/>
          <w:sz w:val="12"/>
          <w:szCs w:val="12"/>
          <w:color w:val="auto"/>
        </w:rPr>
        <w:t>Pursuant to our Non-Employee Director Compensation Policy for the compensation of our non-employee directors, during 2024, each of our non-employee directors received annual retainers, subject to proration, for service on our Board and its committees as follows:</w:t>
      </w:r>
    </w:p>
    <w:p>
      <w:pPr>
        <w:spacing w:after="0" w:line="124"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520" w:type="dxa"/>
            <w:vAlign w:val="bottom"/>
          </w:tcPr>
          <w:p>
            <w:pPr>
              <w:spacing w:after="0"/>
              <w:rPr>
                <w:sz w:val="20"/>
                <w:szCs w:val="20"/>
                <w:color w:val="auto"/>
              </w:rPr>
            </w:pPr>
            <w:r>
              <w:rPr>
                <w:rFonts w:ascii="Times New Roman" w:cs="Times New Roman" w:eastAsia="Times New Roman" w:hAnsi="Times New Roman"/>
                <w:sz w:val="10"/>
                <w:szCs w:val="10"/>
                <w:color w:val="auto"/>
              </w:rPr>
              <w:t>Annual Cash Compensation</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Amount</w:t>
            </w:r>
          </w:p>
        </w:tc>
      </w:tr>
      <w:tr>
        <w:trPr>
          <w:trHeight w:val="133"/>
        </w:trPr>
        <w:tc>
          <w:tcPr>
            <w:tcW w:w="4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Board Members</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$ 82,500</w:t>
            </w:r>
          </w:p>
        </w:tc>
        <w:tc>
          <w:tcPr>
            <w:tcW w:w="40" w:type="dxa"/>
            <w:vAlign w:val="bottom"/>
            <w:tcBorders>
              <w:top w:val="single" w:sz="8" w:color="CCEEFF"/>
            </w:tcBorders>
            <w:shd w:val="clear" w:color="auto" w:fill="CCEEFF"/>
          </w:tcPr>
          <w:p>
            <w:pPr>
              <w:spacing w:after="0"/>
              <w:rPr>
                <w:sz w:val="11"/>
                <w:szCs w:val="11"/>
                <w:color w:val="auto"/>
              </w:rPr>
            </w:pPr>
          </w:p>
        </w:tc>
      </w:tr>
      <w:tr>
        <w:trPr>
          <w:trHeight w:val="133"/>
        </w:trPr>
        <w:tc>
          <w:tcPr>
            <w:tcW w:w="4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Chairs of the Audit Committee, Compensation Committee, Nominating and Corporate</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4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Governance Committee and Commercialization and Transaction Committee</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5"/>
              </w:rPr>
              <w:t>$ 37,500</w:t>
            </w:r>
          </w:p>
        </w:tc>
      </w:tr>
      <w:tr>
        <w:trPr>
          <w:trHeight w:val="133"/>
        </w:trPr>
        <w:tc>
          <w:tcPr>
            <w:tcW w:w="4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Members of the Audit Committee, Compensation Committee, Nominating and</w:t>
            </w: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Corporate Governance Committee and Commercialization and Transaction</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Committee</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$ 15,000</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0"/>
                <w:szCs w:val="10"/>
                <w:color w:val="auto"/>
              </w:rPr>
              <w:t>Equity Compensation</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Number</w:t>
            </w:r>
          </w:p>
        </w:tc>
      </w:tr>
      <w:tr>
        <w:trPr>
          <w:trHeight w:val="133"/>
        </w:trPr>
        <w:tc>
          <w:tcPr>
            <w:tcW w:w="4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Initial Stock Options</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7,142</w:t>
            </w:r>
          </w:p>
        </w:tc>
        <w:tc>
          <w:tcPr>
            <w:tcW w:w="40" w:type="dxa"/>
            <w:vAlign w:val="bottom"/>
            <w:tcBorders>
              <w:top w:val="single" w:sz="8" w:color="CCEEFF"/>
            </w:tcBorders>
            <w:shd w:val="clear" w:color="auto" w:fill="CCEEFF"/>
          </w:tcPr>
          <w:p>
            <w:pPr>
              <w:spacing w:after="0"/>
              <w:rPr>
                <w:sz w:val="11"/>
                <w:szCs w:val="11"/>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Annual Stock Options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2,857</w:t>
            </w:r>
          </w:p>
        </w:tc>
      </w:tr>
    </w:tbl>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All annual cash compensation amounts for our non-employee directors are payable in equal quarterly installments in arrears, following the end of each quarter in which the service occurred, pro-rated for any partial months of service. The equity compensation paid to our non-employee directors will vest monthly over a period of 48 months from the date of grant with respect to the initial stock option grants and over a period of 12 months from the date of grant with respect to the annual stock option grants, in each case, subject to continued service through each vesting date. Additionally, we will reimburse each outside director for reasonable travel expenses related to such director’s attendance at Board and committee meetings.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Employee directors receive no additional compensation for their service as a director.</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237</w:t>
      </w:r>
    </w:p>
    <w:p>
      <w:pPr>
        <w:sectPr>
          <w:pgSz w:w="11900" w:h="16838" w:orient="portrait"/>
          <w:cols w:equalWidth="0" w:num="1">
            <w:col w:w="10159"/>
          </w:cols>
          <w:pgMar w:left="300" w:top="368"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2"/>
          <w:szCs w:val="12"/>
          <w:b w:val="1"/>
          <w:bCs w:val="1"/>
          <w:color w:val="auto"/>
        </w:rPr>
        <w:t>CERTAIN RELATIONSHIPS AND RELATED PARTY TRANSACTIONS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following is a summary of transactions since January 1, 2023 and any currently proposed transactions to which the Company was or is to be a participant in which the amount involved exceeded or will exceed $120,000 or one percent of the average of the Company’s total assets as of December 31, 2024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sections of this prospectus titled “</w:t>
      </w:r>
      <w:r>
        <w:rPr>
          <w:rFonts w:ascii="Times New Roman" w:cs="Times New Roman" w:eastAsia="Times New Roman" w:hAnsi="Times New Roman"/>
          <w:sz w:val="12"/>
          <w:szCs w:val="12"/>
          <w:i w:val="1"/>
          <w:iCs w:val="1"/>
          <w:color w:val="auto"/>
        </w:rPr>
        <w:t>Executive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Director Compensation</w:t>
      </w:r>
      <w:r>
        <w:rPr>
          <w:rFonts w:ascii="Times New Roman" w:cs="Times New Roman" w:eastAsia="Times New Roman" w:hAnsi="Times New Roman"/>
          <w:sz w:val="12"/>
          <w:szCs w:val="12"/>
          <w:color w:val="auto"/>
        </w:rPr>
        <w: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Stockholder Agreement with Sorrento</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September 12, 2022, Vickers entered into the Stockholder Agreement with Sorrento (the “Stockholder Agreement”).</w:t>
      </w:r>
    </w:p>
    <w:p>
      <w:pPr>
        <w:spacing w:after="0" w:line="150"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Pursuant to the terms of the Stockholder Agreement, from and after the Effective Time, and for so long as Sorrento together with its affiliates, subsidiaries, successors and assigns (other than us and our subsidiaries) (the “Sorrento Group”) beneficially owns any shares of Series A Preferred Stock, among other things, (i) Sorrento had the right, but not the obligation, to designate each director to be nominated, elected or appointed to our Board (each, a “Stockholder Designee” and collectively, the “Stockholder Designees”), regardless of whether such Stockholder Designee is to be elected to our Board at a meeting of stockholders called for the purpose of electing directors (or by consent in lieu of meeting) or appointed by our Board in order to fill any vacancy created by the departure of any director or increase in the authorized number of members of our Board or the size of our Board and (ii) we were required to take all actions reasonably necessary, and not otherwise prohibited by applicable law, to cause each Stockholder Designee to be so nominated, elected or appointed to our Board as more fully described in the Stockholder Agreement. Notwithstanding the foregoing, the parties previously agreed that our Board will continue to satisfy all applicable stock exchange requirements applicable to directors, including with respect to director independence. Sorrento also had the right to designate a replacement director for any Stockholder Designee that has been removed from our Board and the right to appoint a representative of Sorrento to attend all meetings of the committees of the Board.</w:t>
      </w:r>
    </w:p>
    <w:p>
      <w:pPr>
        <w:spacing w:after="0" w:line="128" w:lineRule="exact"/>
        <w:rPr>
          <w:sz w:val="20"/>
          <w:szCs w:val="20"/>
          <w:color w:val="auto"/>
        </w:rPr>
      </w:pPr>
    </w:p>
    <w:p>
      <w:pPr>
        <w:ind w:left="1980" w:right="839" w:firstLine="294"/>
        <w:spacing w:after="0" w:line="252" w:lineRule="auto"/>
        <w:rPr>
          <w:sz w:val="20"/>
          <w:szCs w:val="20"/>
          <w:color w:val="auto"/>
        </w:rPr>
      </w:pPr>
      <w:r>
        <w:rPr>
          <w:rFonts w:ascii="Times New Roman" w:cs="Times New Roman" w:eastAsia="Times New Roman" w:hAnsi="Times New Roman"/>
          <w:sz w:val="12"/>
          <w:szCs w:val="12"/>
          <w:color w:val="auto"/>
        </w:rPr>
        <w:t>The Stockholder Agreement also provided that we shall not, and shall cause our subsidiaries not to, among others, without the prior written consent of Sorrento: (i) amend, alter, modify or repeal (whether by merger, consolidation, by operation of law or otherwise) any provisions of the Certificate of Incorporation (including the Certificate of Designations of Series A Preferred Stock, filed with the Secretary of State of the State of Delaware on November 10, 2022 (the “Series A Certificate of Designations”)) or our Bylaws that increase or decrease the authorized number of directors constituting our Board; (ii) take any action that would have the effect of increasing or decreasing the number of directors constituting our Board; (iii) amend, alter, modify or repeal (whether by merger, consolidation, reclassification, by operation of law or otherwise) any provisions of the respective charters (and any related organizational documents) of any of the committees of our Board; (iv) file any voluntary petition under any applicable federal or state bankruptcy or insolvency law on behalf of us or any of our subsidiaries; (v) (A) incur or permit any of our subsidiaries to incur any indebtedness in an aggregate principal amount in excess of $10,000,000) (with “principal amount” for purposes of this definition to include undrawn committed or available amounts) or (B) enter into, modify, amend or renew (or permit any of our subsidiaries enter into, modify, amend or renew) any contract or other agreement in respect of indebtedness in an aggregate principal amount in excess of $10,000,000 (with “principal amount” for purposes of this definition to include undrawn committed or available amounts); (vi) consummate or otherwise enter into any other contract or agreement to effect any change of control, joint venture or corporate reorganization by the Company or any of our subsidiaries; (vii) declare or pay any dividend or distribution on our Common Stock, other Junior Security (as defined below) or Parity Security (as defined below); or (viii) purchase, redeem or otherwise acquire for consideration by us, directly or indirectly, any Common Stock, other Junior Security or Parity Security (except as necessary to effect (A) a reclassification of any Junior Security for or into other Junior Securities, (B) a</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238</w:t>
      </w:r>
    </w:p>
    <w:p>
      <w:pPr>
        <w:sectPr>
          <w:pgSz w:w="11900" w:h="16838" w:orient="portrait"/>
          <w:cols w:equalWidth="0" w:num="1">
            <w:col w:w="10159"/>
          </w:cols>
          <w:pgMar w:left="300" w:top="368"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reclassification of any Parity Security for or into other Parity Securities with the same or lesser aggregate liquidation preference, (C) a reclassification of any Parity Security into a Junior Security, (D) the exchange or conversion of any Junior Security for or into another Junior Security, (E) the exchange or conversion of any Parity Security for or into another Parity Security with the same or lesser per share liquidation amount, (F) the exchange or conversion of any Parity Security for or into any Junior Security or (G) the settlement of incentive equity awards (including any applicable withholdings and the net exercise of options) in accordance with the terms thereof).</w:t>
      </w:r>
    </w:p>
    <w:p>
      <w:pPr>
        <w:spacing w:after="0" w:line="125"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Series A Preferred Stock ranks (i) senior to all of our Common Stock, and to all other classes or series of our capital stock, except for any such other class or series, the terms of which expressly provide that it ranks on parity with the Series A Preferred Stock as to dividend rights and rights on liquidation, dissolution or winding-up of the Company (“Junior Securities”); and (ii) on parity with each class or series of our capital stock, created specifically ranking by its terms on parity with the Series A Preferred Stock as to dividend rights and rights on liquidation, dissolution or winding-up of the Company (“Parity Securities”).</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After a hearing before the Bankruptcy Court on September 12, 2023, the Bankruptcy Court entered a final order approving, among other things, the termination of the Stockholder Agreement, upon the closing of the Equity Repurchase Transaction (as defined below). Accordingly, the Stockholder Agreement terminated on September 21, 2023.</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Intercompany Dividend</w:t>
      </w:r>
    </w:p>
    <w:p>
      <w:pPr>
        <w:spacing w:after="0" w:line="8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On July 4, 2023, Scilex Pharma distributed $20,000,000 to Legacy Scilex (via a dividend) and Legacy Scilex distributed $20,000,000 to Scilex (via a dividend).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Junior Debtor-in-Possession Financing with Sorrento</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Background</w:t>
      </w:r>
    </w:p>
    <w:p>
      <w:pPr>
        <w:spacing w:after="0" w:line="80"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Our former controlling stockholder, Sorrento, together with its wholly owned direct subsidiary, Scintilla Pharmaceuticals, Inc. (together with Sorrento, the “Debtors”), commenced voluntary proceedings under Chapter 11 of the United States Bankruptcy Code (the “Bankruptcy Code”) in the Bankruptcy Court.</w:t>
      </w:r>
    </w:p>
    <w:p>
      <w:pPr>
        <w:spacing w:after="0" w:line="1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After a hearing before the Bankruptcy Court on March 29, 2023, the Bankruptcy Court entered a final order approving</w:t>
      </w:r>
    </w:p>
    <w:p>
      <w:pPr>
        <w:spacing w:after="0" w:line="17" w:lineRule="exact"/>
        <w:rPr>
          <w:sz w:val="20"/>
          <w:szCs w:val="20"/>
          <w:color w:val="auto"/>
        </w:rPr>
      </w:pPr>
    </w:p>
    <w:p>
      <w:pPr>
        <w:ind w:left="1980" w:right="899"/>
        <w:spacing w:after="0" w:line="253" w:lineRule="auto"/>
        <w:rPr>
          <w:sz w:val="20"/>
          <w:szCs w:val="20"/>
          <w:color w:val="auto"/>
        </w:rPr>
      </w:pPr>
      <w:r>
        <w:rPr>
          <w:rFonts w:ascii="Times New Roman" w:cs="Times New Roman" w:eastAsia="Times New Roman" w:hAnsi="Times New Roman"/>
          <w:sz w:val="12"/>
          <w:szCs w:val="12"/>
          <w:color w:val="auto"/>
        </w:rPr>
        <w:t>a non-amortizing super-priority senior secured term loan facility in an aggregate principal amount not to exceed $75,000,000 in term loan commitments (the “Senior DIP Facility”), provided to the Debtors by JMB Capital Partners Lending, LLC (the “Senior DIP Lender”), on a final basis. The Debtors then negotiated definitive financing documentation, including a Senior Secured, Super-Priority Debtor-in-Possession Loan and Security Agreement and other documents evidencing the Senior DIP Facility. At the time of the entry of the Interim DIP Order (as defined below), the Debtors’ liquidity was projected to last only until July 7, 2023. The Senior DIP Facility matured on July 31, 2023 and was not repaid on such date.</w:t>
      </w:r>
    </w:p>
    <w:p>
      <w:pPr>
        <w:spacing w:after="0" w:line="12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 xml:space="preserve">On June 30, 2023, the Debtors filed the Debtors’ </w:t>
      </w:r>
      <w:r>
        <w:rPr>
          <w:rFonts w:ascii="Times New Roman" w:cs="Times New Roman" w:eastAsia="Times New Roman" w:hAnsi="Times New Roman"/>
          <w:sz w:val="12"/>
          <w:szCs w:val="12"/>
          <w:i w:val="1"/>
          <w:iCs w:val="1"/>
          <w:color w:val="auto"/>
        </w:rPr>
        <w:t>Emergency Motion for Entry of Interim and Final Orders (I) Authorizing the Debtors to</w:t>
      </w:r>
    </w:p>
    <w:p>
      <w:pPr>
        <w:spacing w:after="0" w:line="19" w:lineRule="exact"/>
        <w:rPr>
          <w:sz w:val="20"/>
          <w:szCs w:val="20"/>
          <w:color w:val="auto"/>
        </w:rPr>
      </w:pPr>
    </w:p>
    <w:p>
      <w:pPr>
        <w:ind w:left="1980" w:right="899" w:hanging="8"/>
        <w:spacing w:after="0" w:line="255" w:lineRule="auto"/>
        <w:tabs>
          <w:tab w:leader="none" w:pos="2163" w:val="left"/>
        </w:tabs>
        <w:numPr>
          <w:ilvl w:val="0"/>
          <w:numId w:val="11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 xml:space="preserve">Obtain Junior Secured Superpriority Postpetition Financing and (B) Use Cash Collateral, (II) Granting Liens and Providing Claims with Superpriority Administrative Expense Status, (III) Modifying the Automatic Stay, (IV) Scheduling a Final Hearing, and (V) Granting Related Relief </w:t>
      </w:r>
      <w:r>
        <w:rPr>
          <w:rFonts w:ascii="Times New Roman" w:cs="Times New Roman" w:eastAsia="Times New Roman" w:hAnsi="Times New Roman"/>
          <w:sz w:val="12"/>
          <w:szCs w:val="12"/>
          <w:color w:val="auto"/>
        </w:rPr>
        <w:t>(the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“DIP Motion”), seeking the Bankruptcy Court’s approval of the Junior DIP Facility (as defined below) and certain related relief.</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Terms of the Junior DIP Facility</w:t>
      </w:r>
    </w:p>
    <w:p>
      <w:pPr>
        <w:spacing w:after="0" w:line="80" w:lineRule="exact"/>
        <w:rPr>
          <w:sz w:val="20"/>
          <w:szCs w:val="20"/>
          <w:color w:val="auto"/>
        </w:rPr>
      </w:pPr>
    </w:p>
    <w:p>
      <w:pPr>
        <w:ind w:left="1980" w:right="899" w:firstLine="294"/>
        <w:spacing w:after="0" w:line="279" w:lineRule="auto"/>
        <w:rPr>
          <w:sz w:val="20"/>
          <w:szCs w:val="20"/>
          <w:color w:val="auto"/>
        </w:rPr>
      </w:pPr>
      <w:r>
        <w:rPr>
          <w:rFonts w:ascii="Times New Roman" w:cs="Times New Roman" w:eastAsia="Times New Roman" w:hAnsi="Times New Roman"/>
          <w:sz w:val="12"/>
          <w:szCs w:val="12"/>
          <w:color w:val="auto"/>
        </w:rPr>
        <w:t>On July 5, 2023, the Company and the Debtors executed that certain Debtor-in-Possession Term Loan Facility Summary of Terms and Conditions (the “Junior DIP Term Sheet”), pursuant to which the Company (or</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239</w:t>
      </w:r>
    </w:p>
    <w:p>
      <w:pPr>
        <w:sectPr>
          <w:pgSz w:w="11900" w:h="16838" w:orient="portrait"/>
          <w:cols w:equalWidth="0" w:num="1">
            <w:col w:w="10159"/>
          </w:cols>
          <w:pgMar w:left="300" w:top="368"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its designees or its assignees) agreed to provide the Debtors with a non-amortizing super-priority junior secured term loan facility in an aggregate principal amount not to exceed the sum of (i) $20,000,000 (the “Base Amount”), plus (ii) the amount of the commitment fee and the funding fee, each equal to 1% of the Base Amount, plus (iii) the amount of the DIP Lender Holdback (as defined in the Interim DIP Order) (the “Junior DIP Facility”), subject to the terms and conditions set forth in the Junior DIP Term Sheet. The Junior DIP Term Sheet granted to the Company a right of first refusal to provide any debtor-in-possession financing during the course of the Chapter 11 Cases to the Debtors occurring after the date of the Interim DIP Order until the Chapter 11 Cases were concluded.</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interest rate under the Junior DIP Facility was 12.00% per annum payable in kind on the first day of each month in arrears and on the DIP Termination Date (as defined in the Junior DIP Term Sheet). Upon the occurrence and during the continuance of an event of default as defined in the Junior DIP Term Sheet, the interest rate on outstanding DIP Loans (as defined in the Junior DIP Term Sheet) would increase by 2.00% per annum (payable in kind). The commitment fee and the funding fee described above became payable upon the funding of the DIP Loans (as defined in the Junior DIP Term Sheet), in each case as set forth in the Junior DIP Term Sheet. Upon repayment or satisfaction of the DIP Loans (as defined in the Junior DIP Term Sheet) in whole or in part, the Debtors were to pay to the Company in cash an exit fee equal to 2.00% of the aggregate principal amount of the Junior DIP Facility on the date of the Draw (as defined below). The Junior DIP Facility terms state that it was required to be paid in full in cash under any Chapter 11 plan of reorganization.</w:t>
      </w:r>
    </w:p>
    <w:p>
      <w:pPr>
        <w:spacing w:after="0" w:line="128" w:lineRule="exact"/>
        <w:rPr>
          <w:sz w:val="20"/>
          <w:szCs w:val="20"/>
          <w:color w:val="auto"/>
        </w:rPr>
      </w:pPr>
    </w:p>
    <w:p>
      <w:pPr>
        <w:jc w:val="both"/>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interest rate return on the Senior DIP Lender was 14.0% on an annual basis. Based on the terms of the Junior DIP Facility and the Senior DIP Facility including the fees associated therewith, respectively, we believe that the annualized returns to the Senior DIP Lender exceeded the returns to the Junior DIP Lender as a result of the differences in the following between the Senior DIP Facility and the Junior DIP Facility,</w:t>
      </w:r>
    </w:p>
    <w:p>
      <w:pPr>
        <w:spacing w:after="0" w:line="1" w:lineRule="exact"/>
        <w:rPr>
          <w:sz w:val="20"/>
          <w:szCs w:val="20"/>
          <w:color w:val="auto"/>
        </w:rPr>
      </w:pPr>
    </w:p>
    <w:p>
      <w:pPr>
        <w:ind w:left="1980" w:right="899"/>
        <w:spacing w:after="0" w:line="306" w:lineRule="auto"/>
        <w:rPr>
          <w:sz w:val="20"/>
          <w:szCs w:val="20"/>
          <w:color w:val="auto"/>
        </w:rPr>
      </w:pPr>
      <w:r>
        <w:rPr>
          <w:rFonts w:ascii="Times New Roman" w:cs="Times New Roman" w:eastAsia="Times New Roman" w:hAnsi="Times New Roman"/>
          <w:sz w:val="11"/>
          <w:szCs w:val="11"/>
          <w:color w:val="auto"/>
        </w:rPr>
        <w:t>respectively: (i) non-default annualized interest rate of 14.0% as compared to 12.0%; (ii) maturity term of five months as compared to three months; (iii) a commitment fee of 2.5% as compared to 1.0%; (iv) a funding fee of 2.5% as compared to 1.0%; and (v) an exit fee of 7.0% as compared to 2.0%.</w:t>
      </w:r>
    </w:p>
    <w:p>
      <w:pPr>
        <w:spacing w:after="0" w:line="99"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Junior DIP Facility was set to mature on the earliest of: (i) September 30, 2023; (ii) the effective date of any Chapter 11 plan of reorganization with respect to the Debtors; (iii) the consummation of any sale or other disposition of all or substantially all of the assets of the Debtors pursuant to section 363 of the Bankruptcy Code; (iv) the date of the acceleration of the DIP Loans and the termination of the DIP Commitments in accordance with the DIP Documents (each as defined in the Junior DIP Term Sheet); and (v) dismissal of the Chapter 11 Cases or conversion of the Chapter 11 Cases into cases under Chapter 7 of the Bankruptcy Code.</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Junior DIP Facility afforded us certain valuable protections. First, the Junior DIP Facility was secured by liens on and security interests in substantially all assets of Sorrento, other than certain excluded assets as described more fully in the Interim DIP Order, including (i) a first-priority security interest in and continuing lien on all proceeds of the DIP Facility in the DIP Accounts, and the Junior DIP Lender Holdback (each as defined in the Interim DIP Order) and (ii) subject to certain terms and exclusions, a second-priority security interest in and continuing lien on substantially all other assets, in each case, whether then owned or existing or thereafter acquired, created or arising and wherever located other than certain excluded assets as described in the Interim DIP Order. The Junior DIP Facility was also granted super priority administrative expense priority ahead of certain other administrative expenses in Chapter 11 and ahead of pre-petition unsecured claims, which means it had to be paid in full, in cash in order for the Debtors to emerge from bankruptcy under a Chapter 11 Plan, unless otherwise agreed to by us. This priority status gave us a voice in Sorrento’s plan to emerge from Chapter 11.</w:t>
      </w:r>
    </w:p>
    <w:p>
      <w:pPr>
        <w:spacing w:after="0" w:line="126"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Pursuant to the terms of that certain intercreditor and subordination agreement, dated as of September 21, 2023, entered into by and among the Senior DIP Lender and the Company (the “Intercreditor and Subordination Agreement”), the Debtors’ obligations to the Company under the Junior DIP Facility were subordinated to the obligations of the Debtors to Senior DIP Lender on the terms and conditions set forth therein.</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240</w:t>
      </w:r>
    </w:p>
    <w:p>
      <w:pPr>
        <w:sectPr>
          <w:pgSz w:w="11900" w:h="16838" w:orient="portrait"/>
          <w:cols w:equalWidth="0" w:num="1">
            <w:col w:w="10159"/>
          </w:cols>
          <w:pgMar w:left="300" w:top="368"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firstLine="294"/>
        <w:spacing w:after="0" w:line="260" w:lineRule="auto"/>
        <w:rPr>
          <w:sz w:val="20"/>
          <w:szCs w:val="20"/>
          <w:color w:val="auto"/>
        </w:rPr>
      </w:pPr>
      <w:r>
        <w:rPr>
          <w:rFonts w:ascii="Times New Roman" w:cs="Times New Roman" w:eastAsia="Times New Roman" w:hAnsi="Times New Roman"/>
          <w:sz w:val="12"/>
          <w:szCs w:val="12"/>
          <w:color w:val="auto"/>
        </w:rPr>
        <w:t>On July 5, 2023, at a hearing before the Bankruptcy Court, the Bankruptcy Court entered an interim order (the “Interim DIP Order”) approving the Junior DIP Facility among the Debtors (as borrowers) and the Company (as lender) on an interim basis. Upon entry of the Interim DIP Order and satisfaction of all applicable conditions precedent, as set forth in the Junior DIP Term Sheet, the Debtors were authorized to make a single draw under the Junior DIP Facility (the “Draw”) to be funded by the Company as the lender under the Junior DIP Facility.</w:t>
      </w:r>
    </w:p>
    <w:p>
      <w:pPr>
        <w:spacing w:after="0" w:line="122" w:lineRule="exact"/>
        <w:rPr>
          <w:sz w:val="20"/>
          <w:szCs w:val="20"/>
          <w:color w:val="auto"/>
        </w:rPr>
      </w:pPr>
    </w:p>
    <w:p>
      <w:pPr>
        <w:ind w:left="1980" w:right="839" w:firstLine="294"/>
        <w:spacing w:after="0" w:line="300" w:lineRule="auto"/>
        <w:rPr>
          <w:sz w:val="20"/>
          <w:szCs w:val="20"/>
          <w:color w:val="auto"/>
        </w:rPr>
      </w:pPr>
      <w:r>
        <w:rPr>
          <w:rFonts w:ascii="Times New Roman" w:cs="Times New Roman" w:eastAsia="Times New Roman" w:hAnsi="Times New Roman"/>
          <w:sz w:val="11"/>
          <w:szCs w:val="11"/>
          <w:color w:val="auto"/>
        </w:rPr>
        <w:t>The Bankruptcy Court entered the final order approving the Junior DIP Facility on July 27, 2023. Other definitive financing documentation was then negotiated, including a Junior Secured, Super Priority Debtor-in-Possession Loan and Security Agreement, which was entered into on July 28, 2023 between the Company and the Debtors (the “Junior DIP Loan Agreement”), which agreement memorialized the terms of the Junior DIP Term Sheet.</w:t>
      </w:r>
    </w:p>
    <w:p>
      <w:pPr>
        <w:spacing w:after="0" w:line="102"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1"/>
          <w:szCs w:val="11"/>
          <w:color w:val="auto"/>
        </w:rPr>
        <w:t>After a hearing before the Bankruptcy Court on August 7, 2023, the Bankruptcy Court on August 7, 2023, entered a final order (the “Replacement DIP Order”) approving a non-amortizing super-priority debtor-in-possession term loan facility in an aggregate principal amount of $100,000,000 (the “Replacement DIP Facility”) provided to the Debtors by Oramed on a final basis. The Replacement DIP Facility was to be used to, among other things, refinance the existing Senior DIP Facility. The Replacement DIP Facility included certain milestones for the sale of the Company’s equity interests owned by the Debtors. The lender under the Replacement DIP Facility was permitted to use the loan to credit bid for the collateral securing the Replacement DIP Facility (including the equity interests of the Company), subject to the terms therein. The Replacement DIP Order provided that the liens securing the Junior DIP Facility were junior to the liens securing the Replacement DIP Facility and the Company was not permitted to exercise certain remedies until the payment in full of the Replacement DIP Facility (all as set forth in the Replacement DIP Order). Though junior to the Replacement DIP Facility, the Company would still have been treated as a secured creditor with priority over other claimants in the Chapter 11 Cases.</w:t>
      </w:r>
    </w:p>
    <w:p>
      <w:pPr>
        <w:spacing w:after="0" w:line="117"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We funded the Junior DIP Facility with cash on hand, including from a portion of the net proceeds from the eCapital Credit Agreement that were distributed to us by our wholly owned subsidiary, Scilex Pharma. As noted below, the Junior DIP Facility was terminated on September 21, 2023, pursuant to the Pay-Off Letter (as defined below).</w:t>
      </w:r>
    </w:p>
    <w:p>
      <w:pPr>
        <w:spacing w:after="0" w:line="119" w:lineRule="exact"/>
        <w:rPr>
          <w:sz w:val="20"/>
          <w:szCs w:val="20"/>
          <w:color w:val="auto"/>
        </w:rPr>
      </w:pPr>
    </w:p>
    <w:p>
      <w:pPr>
        <w:jc w:val="both"/>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The above description of the Junior DIP Facility is not complete and is qualified in its entirety by reference to the Junior DIP Term Sheet, the Junior DIP Loan Agreement and the Intercreditor and Subordination Agreement, each of which are filed as an exhibit to the Current Report on Form 8-K, filed with the SEC on July 7, 2023.</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Purchase Agreement with Sorrento</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the Oramed Closing Date, we entered into, and consummated the transactions contemplated by, the Scilex-Oramed SPA. Pursuant to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Scilex-Oramed SPA, among other things, on September 21, 2023, we (i) issued to Oramed (A) the Oramed Note due 18 months from the date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issuance in the principal amount of $101,875,000, (B) the Penny Warrants to purchase up to an aggregate of 13,000,000 shares of Common Stock, with</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 exercise price of $0.01 per share and certain restrictions on exercisability, and (ii) caused the Transferred Warrants to purchase up to an aggregate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114,286 shares of Common Stock, with an exercise price of $402.50 per whole share, that we acquired from Sorrento pursuant to the Sorrento SPA to be</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transferred to Oramed. Pursuant to the terms and conditions contained in the Scilex-Oramed SPA, we also agreed to reimburse Oramed for up to</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$2,910,000 for its legal and other advisor costs, fees and expenses incurred by Oramed in connection with the Sorrento SPA, the Senior DIP Facility,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Scilex-Oramed SPA and certain other transaction documents, $1,910,000 of which was paid on the Oramed Closing Date, and $1,000,000 of which was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included in the initial principal amount of the Oramed Note.</w:t>
      </w:r>
    </w:p>
    <w:p>
      <w:pPr>
        <w:spacing w:after="0" w:line="139"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On September 21, 2023, in connection with the Scilex-Oramed SPA, we and Sorrento entered into and consummated the Equity Repurchase Transaction contemplated by the Sorrento SPA, pursuant to which, among</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241</w:t>
      </w:r>
    </w:p>
    <w:p>
      <w:pPr>
        <w:sectPr>
          <w:pgSz w:w="11900" w:h="16838" w:orient="portrait"/>
          <w:cols w:equalWidth="0" w:num="1">
            <w:col w:w="10159"/>
          </w:cols>
          <w:pgMar w:left="300" w:top="368"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19"/>
        <w:spacing w:after="0" w:line="255" w:lineRule="auto"/>
        <w:rPr>
          <w:sz w:val="20"/>
          <w:szCs w:val="20"/>
          <w:color w:val="auto"/>
        </w:rPr>
      </w:pPr>
      <w:r>
        <w:rPr>
          <w:rFonts w:ascii="Times New Roman" w:cs="Times New Roman" w:eastAsia="Times New Roman" w:hAnsi="Times New Roman"/>
          <w:sz w:val="12"/>
          <w:szCs w:val="12"/>
          <w:color w:val="auto"/>
        </w:rPr>
        <w:t>other things, we purchased from Sorrento (i) 1,716,245 shares of Common Stock, (ii) 29,057,097 shares of Series A Preferred Stock, and (iii) warrants exercisable for 128,304 shares of Common Stock, each with an exercise price of $402.50 per whole share ((i) through (iii) collectively, the “Purchased Securities”). The aggregate consideration for the Purchased Securities was (i) $100,000,000 (the “DIP Amount”), which such amount is satisfied by the Company’s assumption of the Debtors’ outstanding obligations under the Senior DIP Facility (the “Oramed DIP Assumption”), (ii) a credit bid,</w:t>
      </w:r>
    </w:p>
    <w:p>
      <w:pPr>
        <w:ind w:left="1980" w:right="859"/>
        <w:spacing w:after="0" w:line="278" w:lineRule="auto"/>
        <w:rPr>
          <w:sz w:val="20"/>
          <w:szCs w:val="20"/>
          <w:color w:val="auto"/>
        </w:rPr>
      </w:pPr>
      <w:r>
        <w:rPr>
          <w:rFonts w:ascii="Times New Roman" w:cs="Times New Roman" w:eastAsia="Times New Roman" w:hAnsi="Times New Roman"/>
          <w:sz w:val="11"/>
          <w:szCs w:val="11"/>
          <w:color w:val="auto"/>
        </w:rPr>
        <w:t>on a dollar-for-dollar basis, pursuant to Section 363(k) of the Bankruptcy Code, in respect of any and all amounts of principal and accrued but unpaid interest outstanding, and any other obligations of the Debtors, in each case, under the Junior DIP Facility as of September 21, 2023 (the “Credit Bid Amount”), (iii) $10,000,000 in cash (the “Cash Payment”) and (iv) the assumption and assignment of certain obligations of Sorrento for legal fees and expenses in the approximate amount of $12.25 million (the “Legal Fee Assumption” and, together with the DIP Amount, the Credit Bid Amount and the Cash Payment, the “Purchase Price”). Following the sale of the Purchased Securities, Sorrento retained 54,777 shares of Common Stock in abeyance for the benefit of certain holders of warrants to purchase shares of common stock of Sorrento who may be entitled to receive shares of Common Stock pursuant to the terms of the applicable warrants as a result of the previously declared and announced dividend of shares of Common Stock by Sorrento.</w:t>
      </w:r>
    </w:p>
    <w:p>
      <w:pPr>
        <w:spacing w:after="0" w:line="115"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The above description of the Scilex-Oramed SPA is not complete and is qualified in its entirety by reference to the full text of the Scilex-Oramed SPA, a copy of which is filed as an exhibit to the registration statement of which this prospectus forms a part.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Oramed DIP Assumption and Assignment Agreement</w:t>
      </w:r>
    </w:p>
    <w:p>
      <w:pPr>
        <w:spacing w:after="0" w:line="8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In connection with the Oramed DIP Assumption, on September 21, 2023, we entered into an assignment, assumption and release agreement (the “DIP Assignment Agreement”) with the Debtors. Pursuant to the DIP Assignment Agreement, the Debtors assigned and transferred to us all of their rights, title and interest and duties, liabilities and obligations under that certain Senior Secured, Super-Priority Debtor-In-Possession Loan and Security Agreement entered into by the Debtors and Oramed on August 9, 2023, to provide the Senior DIP Facility. On September 21, 2023, the Debtors’ aggregate outstanding obligation under the Senior DIP Facility was $101,875,000, comprised of $100,000,000 of principal, $875,000 accrued and unpaid interest and $1,000,000 in fees and expenses payable under the Senior DIP Facility.</w:t>
      </w:r>
    </w:p>
    <w:p>
      <w:pPr>
        <w:spacing w:after="0" w:line="125"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The above description of the DIP Assignment Agreement is not complete and is qualified in its entirety by reference to the full text of the DIP Assignment Agreement, a copy of which is filed as an exhibit to the registration statement of which this prospectus forms a part.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Credit Bid Pay-Off Letter</w:t>
      </w:r>
    </w:p>
    <w:p>
      <w:pPr>
        <w:spacing w:after="0" w:line="82"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Pursuant to the Sorrento SPA, in connection with acquiring the Purchased Securities, we made a credit bid, on a dollar-for-dollar basis, pursuant to Section 363(k) of the Bankruptcy Code, in respect of the obligations of the Debtors under the Junior DIP Loan Agreement, accrued and outstanding as of September 21, 2023 for the Credit Bid Amount. As noted above, the Credit Bid Amount is part of the Purchase Price for the Purchased Securities. On September 21, 2023, we entered into a letter agreement (the “Pay-Off Letter”) with the Debtors, pursuant to which, upon Closing (as defined in the Sorrento SPA), the Junior DIP Loan Agreement, that certain Intellectual Property Security Agreement, dated as of July 28, 2023, by the Debtors in our favor, any other Loan Document (as defined in the Junior DIP Loan Agreement) and any other notes, security agreements, mortgages, pledge agreements, guarantees or other agreements, documents, certificates or instruments related thereto automatically terminated, and all obligations thereunder were paid and discharged in full.</w:t>
      </w:r>
    </w:p>
    <w:p>
      <w:pPr>
        <w:spacing w:after="0" w:line="128"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above description of the Pay-Off Letter is not complete and is qualified in its entirety by reference to the full text of the Pay-Off Letter, a copy of which is filed as an exhibit to the registration statement of which this prospectus forms a part.</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242</w:t>
      </w:r>
    </w:p>
    <w:p>
      <w:pPr>
        <w:sectPr>
          <w:pgSz w:w="11900" w:h="16838" w:orient="portrait"/>
          <w:cols w:equalWidth="0" w:num="1">
            <w:col w:w="10159"/>
          </w:cols>
          <w:pgMar w:left="300" w:top="368"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Legal Fee Assumption Letter Agreement</w:t>
      </w:r>
    </w:p>
    <w:p>
      <w:pPr>
        <w:spacing w:after="0" w:line="8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In connection with the Legal Fee Assumption in accordance with the Sorrento SPA, we and Sorrento entered into a letter agreement on September 21, 2023, pursuant to which, among other things, we agreed to assume all of Sorrento’s obligations for certain legal fees and expenses in the aggregate amount of approximately $12.25 million.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Subsidiary Guarantee</w:t>
      </w:r>
    </w:p>
    <w:p>
      <w:pPr>
        <w:spacing w:after="0" w:line="82"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On September 21, 2023, in connection with the Scilex-Oramed SPA, we and each of our subsidiaries (collectively, the “Guarantors”) entered into a subsidiary guarantee (the “Subsidiary Guarantee”) with Oramed (together with its successors and permitted assigns, the “Holder”) and the Agent, as the collateral agent for the holder of the Oramed Note, pursuant to which, the Guarantors have agreed to guarantee and act as surety for payment of the Oramed Note and any additional notes issued by us after the closing date of the transactions contemplated by the Scilex-Oramed SPA in full or partial substitution of the Oramed Note (the “Additional Notes”).</w:t>
      </w:r>
    </w:p>
    <w:p>
      <w:pPr>
        <w:spacing w:after="0" w:line="123" w:lineRule="exact"/>
        <w:rPr>
          <w:sz w:val="20"/>
          <w:szCs w:val="20"/>
          <w:color w:val="auto"/>
        </w:rPr>
      </w:pPr>
    </w:p>
    <w:p>
      <w:pPr>
        <w:jc w:val="both"/>
        <w:ind w:left="1980" w:right="859" w:firstLine="294"/>
        <w:spacing w:after="0" w:line="266" w:lineRule="auto"/>
        <w:rPr>
          <w:sz w:val="20"/>
          <w:szCs w:val="20"/>
          <w:color w:val="auto"/>
        </w:rPr>
      </w:pPr>
      <w:r>
        <w:rPr>
          <w:rFonts w:ascii="Times New Roman" w:cs="Times New Roman" w:eastAsia="Times New Roman" w:hAnsi="Times New Roman"/>
          <w:sz w:val="12"/>
          <w:szCs w:val="12"/>
          <w:color w:val="auto"/>
        </w:rPr>
        <w:t>In connection with the refinancing disclosed above under “</w:t>
      </w:r>
      <w:r>
        <w:rPr>
          <w:rFonts w:ascii="Times New Roman" w:cs="Times New Roman" w:eastAsia="Times New Roman" w:hAnsi="Times New Roman"/>
          <w:sz w:val="12"/>
          <w:szCs w:val="12"/>
          <w:i w:val="1"/>
          <w:iCs w:val="1"/>
          <w:color w:val="auto"/>
        </w:rPr>
        <w:t>Tranche B Securities Purchase Agreement</w:t>
      </w:r>
      <w:r>
        <w:rPr>
          <w:rFonts w:ascii="Times New Roman" w:cs="Times New Roman" w:eastAsia="Times New Roman" w:hAnsi="Times New Roman"/>
          <w:sz w:val="12"/>
          <w:szCs w:val="12"/>
          <w:color w:val="auto"/>
        </w:rPr>
        <w:t>”, our Company, the Guarantors, Oramed and the Agent agreed to amend the Subsidiary Guarantee by entering into the Subsidiary Guarantee Amendment (the “Subsidiary Guarantee Amendment”), dated October 8, 2024, to reflect the refinancing arrangement as set out below.</w:t>
      </w:r>
    </w:p>
    <w:p>
      <w:pPr>
        <w:spacing w:after="0" w:line="119"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Subsidiary Guarantee and the Subsidiary Guarantee Amendment do not purport to be complete and are qualified in their entirety by reference to the full text of the Subsidiary Guarantee and the Subsidiary Guarantee Amendment, a copy of each of which is filed as an exhibit to our Current Report on Form 8-K filed on September 26, 2023 and October 8, 2024, respectively.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Amended and Restated Security Agreement</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On September 21, 2023, we and the Guarantors entered into a security agreement (the “Security Agreement”) with the Holder and the Agent, pursuant to which we and the Guarantors granted to the Agent (on behalf of and for the benefit of the holder of the Oramed Note and any Additional Notes) a security interest in all or substantially all of the property of our Company and each Guarantor, respectively, to secure the prompt payment, performance and discharge in full of all of our Company’s obligations under the Oramed Note and Additional Notes and the Guarantors’ obligations under the Subsidiary Guarantee, subject to certain customary limitations. The Security Agreement contains certain customary representations, warranties and covenants regarding the collateral thereunder, in each case as more fully set forth in the Security Agreement.</w:t>
      </w:r>
    </w:p>
    <w:p>
      <w:pPr>
        <w:spacing w:after="0" w:line="125"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connection with the refinancing, we, the Guarantors, Oramed and the Agent agreed to amend and restate the Security Agreement by entering into the Amended and Restated Security Agreement (the “Amended and Restated Security Agreement”), dated October 8, 2024, to grant to the Agent (on behalf of and for the benefit of the holder of the Oramed Note, any Additional Notes and the Notes) a security interest in all or substantially all of the property of our Company and each Guarantor, respectively, to secure the prompt payment, performance and discharge in full of all of our Company’s obligations under the Notes in addition to the obligations under the Oramed Note, the Additional Notes and the Guarantors’ obligations under the Subsidiary Guarantee, which had previously been secured under the Security Agreement, subject to certain customary limitations.</w:t>
      </w:r>
    </w:p>
    <w:p>
      <w:pPr>
        <w:spacing w:after="0" w:line="125" w:lineRule="exact"/>
        <w:rPr>
          <w:sz w:val="20"/>
          <w:szCs w:val="20"/>
          <w:color w:val="auto"/>
        </w:rPr>
      </w:pPr>
    </w:p>
    <w:p>
      <w:pPr>
        <w:ind w:left="1980" w:right="899" w:firstLine="294"/>
        <w:spacing w:after="0" w:line="327" w:lineRule="auto"/>
        <w:rPr>
          <w:sz w:val="20"/>
          <w:szCs w:val="20"/>
          <w:color w:val="auto"/>
        </w:rPr>
      </w:pPr>
      <w:r>
        <w:rPr>
          <w:rFonts w:ascii="Times New Roman" w:cs="Times New Roman" w:eastAsia="Times New Roman" w:hAnsi="Times New Roman"/>
          <w:sz w:val="11"/>
          <w:szCs w:val="11"/>
          <w:color w:val="auto"/>
        </w:rPr>
        <w:t>Pursuant to the Amended and Restated Security Agreement, Semnur will be excluded as a Guarantor after the consummation of the business combination contemplated by that certain agreement and plan of merger between Semnur, Denali Capital Acquisition Corp. and Denali Merger Sub Inc.</w:t>
      </w:r>
    </w:p>
    <w:p>
      <w:pPr>
        <w:spacing w:after="0" w:line="87" w:lineRule="exact"/>
        <w:rPr>
          <w:sz w:val="20"/>
          <w:szCs w:val="20"/>
          <w:color w:val="auto"/>
        </w:rPr>
      </w:pPr>
    </w:p>
    <w:p>
      <w:pPr>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summary of the Amended and Restated Security Agreement does not purport to be complete and is qualified in its entirety by reference to the full text of the Amended and Restated Security Agreement, a copy of which is filed as an exhibit to our Current Report on Form 8-K filed on October 8, 2024.</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243</w:t>
      </w:r>
    </w:p>
    <w:p>
      <w:pPr>
        <w:sectPr>
          <w:pgSz w:w="11900" w:h="16838" w:orient="portrait"/>
          <w:cols w:equalWidth="0" w:num="1">
            <w:col w:w="10159"/>
          </w:cols>
          <w:pgMar w:left="300" w:top="368" w:right="1440"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ABL Subordination Agreement</w:t>
      </w:r>
    </w:p>
    <w:p>
      <w:pPr>
        <w:spacing w:after="0" w:line="82" w:lineRule="exact"/>
        <w:rPr>
          <w:sz w:val="20"/>
          <w:szCs w:val="20"/>
          <w:color w:val="auto"/>
        </w:rPr>
      </w:pPr>
    </w:p>
    <w:p>
      <w:pPr>
        <w:ind w:left="1980" w:right="959" w:firstLine="294"/>
        <w:spacing w:after="0" w:line="256" w:lineRule="auto"/>
        <w:rPr>
          <w:sz w:val="20"/>
          <w:szCs w:val="20"/>
          <w:color w:val="auto"/>
        </w:rPr>
      </w:pPr>
      <w:r>
        <w:rPr>
          <w:rFonts w:ascii="Times New Roman" w:cs="Times New Roman" w:eastAsia="Times New Roman" w:hAnsi="Times New Roman"/>
          <w:sz w:val="12"/>
          <w:szCs w:val="12"/>
          <w:color w:val="auto"/>
        </w:rPr>
        <w:t>On September 21, 2023, Scilex Pharma entered into a subordination agreement (the “ABL Subordination Agreement”) with eCapital Healthcare Corp. (the “ABL Lender”) and the Agent. Pursuant to the ABL Subordination Agreement, the parties agreed that ABL Lender’s rights and interests under that the eCapital Credit Agreement previously entered into between Scilex Pharma and ABL Lender will be secured by first priority liens on certain collateral (the “ABL Priority Collateral”) and the Agent’s rights and interests under the Subsidiary Guarantee shall be secured by first priority liens on certain other collateral and second priority liens on the ABL Priority Collateral. Among other customary interlender terms, the ABL Subordination Agreement requires that the Facility Cap (as defined in the eCapital Credit Agreement) shall not exceed $30,000,000.</w:t>
      </w:r>
    </w:p>
    <w:p>
      <w:pPr>
        <w:spacing w:after="0" w:line="125" w:lineRule="exact"/>
        <w:rPr>
          <w:sz w:val="20"/>
          <w:szCs w:val="20"/>
          <w:color w:val="auto"/>
        </w:rPr>
      </w:pPr>
    </w:p>
    <w:p>
      <w:pPr>
        <w:jc w:val="both"/>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On October 8, 2024, Scilex Pharma paid off the outstanding amount of all obligations and indebtedness of Scilex Pharma owing to the ABL Lender under the eCapital Credit Agreement. Accordingly, the eCapital Credit Agreement, the related Loan Documents (as defined in the eCapital Credit Agreement) and the ABL Subordination Agreement were terminated, canceled and are of no further force and effect.</w:t>
      </w:r>
    </w:p>
    <w:p>
      <w:pPr>
        <w:spacing w:after="0" w:line="119"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above description of the ABL Subordination Agreement is not complete and is qualified in its entirety by reference to the full text of the ABL Subordination Agreement, a copy of which is filed as an exhibit to our Current Report on Form 8-K filed on September 26, 2023.</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Tranche B Securities Purchase Agreement</w:t>
      </w:r>
    </w:p>
    <w:p>
      <w:pPr>
        <w:spacing w:after="0" w:line="82"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On October 7, 2024, we entered into the Tranche B Securities Purchase Agreement with the Tranche B Noteholders, to refinance a portion of the Oramed Note and pay off certain other indebtedness of the Company.</w:t>
      </w:r>
    </w:p>
    <w:p>
      <w:pPr>
        <w:spacing w:after="0" w:line="111"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Pursuant to the Tranche B Securities Purchase Agreement, we agreed to issue and sell, in a registered offering by the Company directly to the Buyers, (i) the Tranche B Notes in the aggregate principal amount of $50,000,000, which Tranche B Notes are convertible into shares of Common Stock and (ii) the October 2024 Noteholder Warrants to purchase up to 214,284 shares of Common Stock.</w:t>
      </w:r>
    </w:p>
    <w:p>
      <w:pPr>
        <w:spacing w:after="0" w:line="119"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Under the Tranche B Securities Purchase Agreement, we agreed that so long as any Tranche B Notes remain outstanding, we and each of our subsidiaries will not effect or enter into an agreement to effect any issuance of shares of Common Stock or Common Stock equivalents involving a variable rate transaction; provided that the foregoing restriction will not apply to our prior at-the-market offering program, which has been terminated as of March 5, 2025.</w:t>
      </w:r>
    </w:p>
    <w:p>
      <w:pPr>
        <w:spacing w:after="0" w:line="12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Pursuant to the terms and conditions contained in the Tranche B Securities Purchase Agreement, we also agreed to reimburse the Investors for all</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reasonable costs and expenses incurred by it or its affiliates in connection with the Tranche B Securities Purchase Agreement, the Tranche B Notes,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October 2024 Noteholder Warrants, the ZTlido Royalty Purchase Agreement (as defined below) and certain other transaction documents, and an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aggregate amount of $950,000 non-accountable legal fees of outside counsel and special finance and collateral counsel, which shall be withheld by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Investors from its purchase price at the closing of the transaction, less $20,000 previously paid by us. We were also responsible for the payment of 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$2,000,000 fee to the placement agent in addition to the payment of any placement agent’s reasonable fees, financial advisory fees relating to or arising</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out of the transactions contemplated by the Tranche B Securities Purchase Agreement. In addition, in conjunction with and pursuant to the Tranche B</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Letter Agreement, we were also responsible for the payment of legal fees of outside counsel for Oramed relating to or arising out of the transactions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contemplated by the Tranche B Securities Purchase Agreement and the payment date extensions described under the Tranche B Letter Agreement. We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were also responsible for the payment of any fees of the Agent and the legal fees incurred thereby relating to or arising out of the transactions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contemplated by the Tranche B Securities Purchase Agreement.</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244</w:t>
      </w:r>
    </w:p>
    <w:p>
      <w:pPr>
        <w:sectPr>
          <w:pgSz w:w="11900" w:h="16838" w:orient="portrait"/>
          <w:cols w:equalWidth="0" w:num="1">
            <w:col w:w="10159"/>
          </w:cols>
          <w:pgMar w:left="300" w:top="368" w:right="1440"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summary of the Tranche B Securities Purchase Agreement does not purport to be complete and is qualified in its entirety by reference to the full text of the Tranche B Securities Purchase Agreement, a copy of which is filed as an exhibit to our Current Report on Form 8-K filed on October 8,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to Scilex-Oramed SPA</w:t>
      </w:r>
    </w:p>
    <w:p>
      <w:pPr>
        <w:spacing w:after="0" w:line="8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In connection with the execution of the Tranche B Securities Purchase Agreement, on October 8, 2024, we entered into Amendment No. 1 to Securities Purchase Agreement (the “Amendment No. 1 to Scilex-Oramed SPA”) with Oramed and the Agent. The Amendment No. 1 to Scilex-Oramed SPA was entered into to account for the issuance of the Tranche B Notes and the execution of certain related documents including the ZTlido Subordination Agreement (as defined below) and an agreement among the holders of the Tranche B Notes addressing the allocation of various rights and obligations as among the holders of the Tranche B Notes and the Oramed Note.</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summary of the Amendment No. 1 to Scilex-Oramed SPA does not purport to be complete and is qualified in its entirety by reference to the full text of the Amendment No. 1 to Scilex-Oramed SPA, a copy of which is filed as an exhibit to our Current Report on Form 8-K filed on October 8,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Senior Convertible Notes</w:t>
      </w:r>
    </w:p>
    <w:p>
      <w:pPr>
        <w:spacing w:after="0" w:line="82" w:lineRule="exact"/>
        <w:rPr>
          <w:sz w:val="20"/>
          <w:szCs w:val="20"/>
          <w:color w:val="auto"/>
        </w:rPr>
      </w:pPr>
    </w:p>
    <w:p>
      <w:pPr>
        <w:ind w:left="1980" w:right="839" w:firstLine="294"/>
        <w:spacing w:after="0" w:line="256" w:lineRule="auto"/>
        <w:rPr>
          <w:sz w:val="20"/>
          <w:szCs w:val="20"/>
          <w:color w:val="auto"/>
        </w:rPr>
      </w:pPr>
      <w:r>
        <w:rPr>
          <w:rFonts w:ascii="Times New Roman" w:cs="Times New Roman" w:eastAsia="Times New Roman" w:hAnsi="Times New Roman"/>
          <w:sz w:val="12"/>
          <w:szCs w:val="12"/>
          <w:color w:val="auto"/>
        </w:rPr>
        <w:t>The aggregate principal balance of the Tranche B Notes is $50,000,000. The aggregate purchase price for the Tranche B Notes and the related warrants (described below) is $45,000,000. The Tranche B Notes have an original issue discount of 10.0%. We received in exchange for the issuance of the Tranche B Notes to the Investors an aggregate amount in cash equal to $22,500,000, excluding fees and expenses (as noted above) from the Investors. We received from Oramed in consideration for the Note issued to Oramed an exchange and reduction of the principal balance under Oramed Note of an equivalent amount. The Tranche B Notes bear interest at a rate of 5.5% per annum, payable in arrears on the first trading day of each calendar quarter, beginning January 2, 2025, payable, at our option, either in cash or in shares of Common Stock, subject to certain conditions.</w:t>
      </w:r>
    </w:p>
    <w:p>
      <w:pPr>
        <w:spacing w:after="0" w:line="125"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Unless earlier converted or redeemed, the Tranche B Notes mature on the two-year anniversary of the issuance date (the “Maturity Date”), subject to extension at the option of the holder in certain circumstances as provided in the Note. All amounts due under the Note are convertible at any time, in whole or in part, and subject to certain beneficial ownership limitations, at the option of the holder into shares of Common Stock at a current conversion price equal to $36.40 per share, subject to adjustment as described in the Tranche B Notes. The Tranche B Notes are our senior secured obligation (alongside and in certain circumstances described herein subordinate to, the Oramed Note) and rank senior to the right to payment of the holders of our unsecured debt, except as described herein.</w:t>
      </w:r>
    </w:p>
    <w:p>
      <w:pPr>
        <w:spacing w:after="0" w:line="125"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At any time after issuance, all amounts due under the Tranche B Notes are convertible, in whole or in part, at the holder’s option, into Common Stock at the current conversion price of $36.40 per share (the “Conversion Price”), which is subject to (i) proportional adjustment upon the occurrence of any stock split, stock dividend, stock combination and/or similar transactions; and (ii) full-ratchet adjustment (down to the Conversion Price Floor (as defined below)) in connection with a subsequent offering at a per share price less than the fixed conversion price then in effect. The Conversion Price cannot be lower than $36.40 per share (as adjusted for stock splits, stock dividends, stock combinations, recapitalizations and similar events, the “Conversion Price Floor”) unless shareholder approval is obtained to allow the Tranche B Notes to convert at a price lower than the Conversion Price Floor in accordance with the Nasdaq listing rules. We are under no obligation to seek or obtain such shareholder approval.</w:t>
      </w:r>
    </w:p>
    <w:p>
      <w:pPr>
        <w:spacing w:after="0" w:line="126"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Tranche B Notes held by an individual holder of the Tranche B Notes may not be converted into shares of Common Stock to the extent such conversion would result in holder (together with certain related parties of holder) would beneficially own in excess of 4.99% (the “Maximum Percentage”) of shares of the Common Stock</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245</w:t>
      </w:r>
    </w:p>
    <w:p>
      <w:pPr>
        <w:sectPr>
          <w:pgSz w:w="11900" w:h="16838" w:orient="portrait"/>
          <w:cols w:equalWidth="0" w:num="1">
            <w:col w:w="10159"/>
          </w:cols>
          <w:pgMar w:left="300" w:top="368"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1039"/>
        <w:spacing w:after="0" w:line="265" w:lineRule="auto"/>
        <w:rPr>
          <w:sz w:val="20"/>
          <w:szCs w:val="20"/>
          <w:color w:val="auto"/>
        </w:rPr>
      </w:pPr>
      <w:r>
        <w:rPr>
          <w:rFonts w:ascii="Times New Roman" w:cs="Times New Roman" w:eastAsia="Times New Roman" w:hAnsi="Times New Roman"/>
          <w:sz w:val="12"/>
          <w:szCs w:val="12"/>
          <w:color w:val="auto"/>
        </w:rPr>
        <w:t>outstanding immediately after giving effect to such conversion. The Maximum Percentage with respect to a holder and certain related parties may be raised or lowered to any other percentage not in excess of 9.99%, at the option of the holder, except that any increase will only be effective upon 61 days’ prior notice to us.</w:t>
      </w:r>
    </w:p>
    <w:p>
      <w:pPr>
        <w:spacing w:after="0" w:line="119" w:lineRule="exact"/>
        <w:rPr>
          <w:sz w:val="20"/>
          <w:szCs w:val="20"/>
          <w:color w:val="auto"/>
        </w:rPr>
      </w:pPr>
    </w:p>
    <w:p>
      <w:pPr>
        <w:jc w:val="both"/>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have the right (assuming no failure of certain specific conditions relating to our equity) to redeem in cash all, but not less than all, the amount then outstanding under the Tranche B Notes at a 35% redemption premium to the greater of (i) the amount then outstanding under the Tranche B Notes to be redeemed, and (ii) the equity value of Common Stock underlying such Tranche B Notes. We have a mandatory obligation to redeem the Tranche B Notes upon an event of default bankruptcy.</w:t>
      </w:r>
    </w:p>
    <w:p>
      <w:pPr>
        <w:spacing w:after="0" w:line="122" w:lineRule="exact"/>
        <w:rPr>
          <w:sz w:val="20"/>
          <w:szCs w:val="20"/>
          <w:color w:val="auto"/>
        </w:rPr>
      </w:pPr>
    </w:p>
    <w:p>
      <w:pPr>
        <w:ind w:left="1980" w:right="1079" w:firstLine="294"/>
        <w:spacing w:after="0" w:line="265" w:lineRule="auto"/>
        <w:rPr>
          <w:sz w:val="20"/>
          <w:szCs w:val="20"/>
          <w:color w:val="auto"/>
        </w:rPr>
      </w:pPr>
      <w:r>
        <w:rPr>
          <w:rFonts w:ascii="Times New Roman" w:cs="Times New Roman" w:eastAsia="Times New Roman" w:hAnsi="Times New Roman"/>
          <w:sz w:val="12"/>
          <w:szCs w:val="12"/>
          <w:color w:val="auto"/>
        </w:rPr>
        <w:t>The Tranche B Notes are subject to redemption by our Company at the election of a holder in certain circumstances as more fully described therein, including, among other events, a change of control of our Company, a subsequent placement of certain securities of our Company, and asset sales by our Company.</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Tranche B Notes contain affirmative and negative covenants binding on our Company and our subsidiaries which restrict, among other things, our Company and our subsidiaries from incurring indebtedness or liens, redeeming securities, repaying certain indebtedness or declaring or paying any cash dividend or distribution, selling or disposing of any assets or rights of our Company and our subsidiaries, entering into or being a party to any transactions with any affiliates, incurring or guaranteeing any indebtedness or permitting the acceleration of any indebtedness, in each case as more fully set forth in, and subject to certain qualifications, exceptions, and “baskets” set forth in the Oramed Note. In addition, at the request of the holder, not more frequently than once per fiscal year, we will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w:t>
      </w:r>
    </w:p>
    <w:p>
      <w:pPr>
        <w:spacing w:after="0" w:line="128"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The Tranche B Notes contain certain customary events of default, including, without limitation, a cross-default to other specified indebtedness or any other indebtedness involving an obligation of $5,000,000 or more. The interest rate of the Tranche B Notes automatically increases to 15.0% per annum (the “Default Rate”) upon the occurrence and continuance of an event of default. We are also required to pay a late charge of 15.0% on any amount of principal or other amounts that are not paid when due (solely to the extent such amounts are not then accruing interest at the Default Rate).</w:t>
      </w:r>
    </w:p>
    <w:p>
      <w:pPr>
        <w:spacing w:after="0" w:line="122" w:lineRule="exact"/>
        <w:rPr>
          <w:sz w:val="20"/>
          <w:szCs w:val="20"/>
          <w:color w:val="auto"/>
        </w:rPr>
      </w:pPr>
    </w:p>
    <w:p>
      <w:pPr>
        <w:ind w:left="1980" w:right="979" w:firstLine="294"/>
        <w:spacing w:after="0" w:line="257" w:lineRule="auto"/>
        <w:rPr>
          <w:sz w:val="20"/>
          <w:szCs w:val="20"/>
          <w:color w:val="auto"/>
        </w:rPr>
      </w:pPr>
      <w:r>
        <w:rPr>
          <w:rFonts w:ascii="Times New Roman" w:cs="Times New Roman" w:eastAsia="Times New Roman" w:hAnsi="Times New Roman"/>
          <w:sz w:val="12"/>
          <w:szCs w:val="12"/>
          <w:color w:val="auto"/>
        </w:rPr>
        <w:t>The Tranche B Notes prohibit our Company from entering into specified fundamental transactions unless the successor entity assumes all of our obligations under the Tranche B Notes under a written agreement approved by 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As noted above, the holders of the Tranche B Notes have certain redemption rights upon a fundamental transaction constituting a change of control.</w:t>
      </w:r>
    </w:p>
    <w:p>
      <w:pPr>
        <w:spacing w:after="0" w:line="125"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In connection with any amortization, certain redemptions or other repayment of the Tranche B Notes, we will also pay an amount equal to the amount of additional interest that would accrue under such Tranche B Notes at the interest rate then in effect assuming that the amount so converted, redeemed, amortized or otherwise repaid on such date of determination instead remained outstanding through and including the Maturity Date of such Tranche B Notes.</w:t>
      </w:r>
    </w:p>
    <w:p>
      <w:pPr>
        <w:spacing w:after="0" w:line="12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foregoing summary of the Tranche B Notes does not purport to be complete and is qualified in its entirety by reference to the full text of the Tranche B Notes, the form of which is filed as an exhibit to our Current Report on Form 8-K filed on October 8, 2024.</w:t>
      </w:r>
    </w:p>
    <w:p>
      <w:pPr>
        <w:spacing w:after="0" w:line="18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October 2024 Noteholder Warrants</w:t>
      </w:r>
    </w:p>
    <w:p>
      <w:pPr>
        <w:spacing w:after="0" w:line="80"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The October 2024 Noteholder Warrants are exercisable immediately from the date of issuance and expire five years from the issuance date. The October 2024 Noteholder Warrants issued to the Investors are initially</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246</w:t>
      </w:r>
    </w:p>
    <w:p>
      <w:pPr>
        <w:sectPr>
          <w:pgSz w:w="11900" w:h="16838" w:orient="portrait"/>
          <w:cols w:equalWidth="0" w:num="1">
            <w:col w:w="10159"/>
          </w:cols>
          <w:pgMar w:left="300" w:top="368"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exercisable for 107,142 shares of Common Stock in the aggregate. The October 2024 Noteholder Warrants issued to Oramed are initially exercisable for 107,142 shares of Common Stock.</w:t>
      </w:r>
    </w:p>
    <w:p>
      <w:pPr>
        <w:spacing w:after="0" w:line="111" w:lineRule="exact"/>
        <w:rPr>
          <w:sz w:val="20"/>
          <w:szCs w:val="20"/>
          <w:color w:val="auto"/>
        </w:rPr>
      </w:pPr>
    </w:p>
    <w:p>
      <w:pPr>
        <w:ind w:left="1980" w:right="1019" w:firstLine="294"/>
        <w:spacing w:after="0" w:line="254" w:lineRule="auto"/>
        <w:rPr>
          <w:sz w:val="20"/>
          <w:szCs w:val="20"/>
          <w:color w:val="auto"/>
        </w:rPr>
      </w:pPr>
      <w:r>
        <w:rPr>
          <w:rFonts w:ascii="Times New Roman" w:cs="Times New Roman" w:eastAsia="Times New Roman" w:hAnsi="Times New Roman"/>
          <w:sz w:val="12"/>
          <w:szCs w:val="12"/>
          <w:color w:val="auto"/>
        </w:rPr>
        <w:t>The October 2024 Noteholder Warrants are exercisable for cash at a current exercise price equal to $36.40 per share of Common Stock (the “Exercise Price”). The Exercise Price is subject to adjustment for any stock split, stock dividend, stock combination, recapitalization or similar event. The Exercise Price is also subject to full-ratchet adjustment (down to the Exercise Price Floor (as defined below)) in connection with a subsequent offering at a per share price less than the exercise price then in effect. The Exercise Price cannot be lower than the Exercise Price Floor, unless shareholder approval is obtained to allow the October 2024 Noteholder Warrants to be exercised at a price lower than the Exercise Price Floor in accordance with the Nasdaq listing rules. We are under no obligation to seek or obtain such shareholder approval. If at the time of exercise of the October 2024 Noteholder Warrants, there is no effective registration statement registering the shares of Common Stock underlying the October 2024 Noteholder Warrants, such warrants may be exercised on a cashless basis pursuant to their terms.</w:t>
      </w:r>
    </w:p>
    <w:p>
      <w:pPr>
        <w:spacing w:after="0" w:line="128"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A holder shall not have the right to exercise any portion of an October 2024 Noteholder Warrant to the extent that, after giving effect to such conversion, the holder (together with certain related parties) would beneficially own in excess of the Maximum Percentage of shares of Common Stock outstanding immediately after giving effect to such conversion. The Maximum Percentage may be raised or lowered to any other percentage not in excess of 9.99%, at the option of the holder, except that any increase will only be effective upon 61 days’ prior notice to us.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Times New Roman" w:cs="Times New Roman" w:eastAsia="Times New Roman" w:hAnsi="Times New Roman"/>
          <w:sz w:val="12"/>
          <w:szCs w:val="12"/>
          <w:color w:val="auto"/>
        </w:rPr>
        <w:t>The October 2024 Noteholder Warrants prohibit our Company from entering into specified fundamental transactions unless the successor entity (subject to certain exceptions) assumes all of our Company’s obligations under the October 2024 Noteholder Warrants under a written agreement before the transaction is completed. Upon specified corporate events, an October 2024 Noteholder Warrant holder will thereafter have the right to receive upon an exercise such shares, securities, cash, assets or any other property whatsoever which the holder would have been entitled to receive upon the happening of the applicable corporate event had the October 2024 Noteholder Warrant been exercised immediately prior to the applicable corporate event. When there is a transaction involving specified changes of control, holders of October 2024 Noteholder Warrants will have the right to force our Company to repurchase such holder’s October 2024 Noteholder Warrant for a purchase price in cash equal to the Black Scholes value, as calculated under the October 2024 Noteholder Warrants, of the then unexercised portion of the October 2024 Noteholder Warrant.</w:t>
      </w:r>
    </w:p>
    <w:p>
      <w:pPr>
        <w:spacing w:after="0" w:line="128" w:lineRule="exact"/>
        <w:rPr>
          <w:sz w:val="20"/>
          <w:szCs w:val="20"/>
          <w:color w:val="auto"/>
        </w:rPr>
      </w:pPr>
    </w:p>
    <w:p>
      <w:pPr>
        <w:jc w:val="both"/>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summary of the October 2024 Noteholder Warrants does not purport to be complete and is qualified in its entirety by reference to the full text of the October 2024 Noteholder Warrants, the form of which is filed as an exhibit to our Current Report on Form 8-K filed on October 8,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Royalty Purchase Agreement</w:t>
      </w:r>
    </w:p>
    <w:p>
      <w:pPr>
        <w:spacing w:after="0" w:line="82" w:lineRule="exact"/>
        <w:rPr>
          <w:sz w:val="20"/>
          <w:szCs w:val="20"/>
          <w:color w:val="auto"/>
        </w:rPr>
      </w:pPr>
    </w:p>
    <w:p>
      <w:pPr>
        <w:ind w:left="1980" w:right="919" w:firstLine="294"/>
        <w:spacing w:after="0" w:line="278" w:lineRule="auto"/>
        <w:rPr>
          <w:sz w:val="20"/>
          <w:szCs w:val="20"/>
          <w:color w:val="auto"/>
        </w:rPr>
      </w:pPr>
      <w:r>
        <w:rPr>
          <w:rFonts w:ascii="Times New Roman" w:cs="Times New Roman" w:eastAsia="Times New Roman" w:hAnsi="Times New Roman"/>
          <w:sz w:val="11"/>
          <w:szCs w:val="11"/>
          <w:color w:val="auto"/>
        </w:rPr>
        <w:t>In connection with the closing of the transactions contemplated by the Tranche B Securities Purchase Agreement, but as a distinct and separate matter, on October 8, 2024, we and Scilex Pharma entered into the ZTlido Royalty Purchase Agreement with the ZTlido Royalty Investors and Oramed (together, the “ZTlido RPA Purchasers”). Pursuant to the ZTlido Royalty Purchase Agreement, Scilex Pharma sold to the ZTlido RPA Purchasers the right to receive 8% of all aggregate net sales worldwide (the “Purchased Receivables”) with respect to ZTlido (lidocaine topical system)</w:t>
      </w:r>
    </w:p>
    <w:p>
      <w:pPr>
        <w:spacing w:after="0" w:line="1"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1.8%, SP-103 (lidocaine topical system) 5.4%, and any related, improved, successor, replacement or varying dosage forms of the foregoing (the “ZTlido Covered Products”).</w:t>
      </w:r>
    </w:p>
    <w:p>
      <w:pPr>
        <w:spacing w:after="0" w:line="12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In full consideration for the sale, transfer, conveyance and granting of the Purchased Receivables, and subject to the terms and conditions set forth in the ZTlido Royalty Purchase Agreement, the aggregate purchase price for the Purchased Receivables was $5,000,000 (net of expenses of the ZTlido RPA Purchasers). The ZTlido RPA Purchasers paid to Scilex Pharma an aggregate amount equal to $2,500,000 minus the expenses of the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247</w:t>
      </w:r>
    </w:p>
    <w:p>
      <w:pPr>
        <w:sectPr>
          <w:pgSz w:w="11900" w:h="16838" w:orient="portrait"/>
          <w:cols w:equalWidth="0" w:num="1">
            <w:col w:w="10159"/>
          </w:cols>
          <w:pgMar w:left="300" w:top="368" w:right="1440"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ZTlido RPA Purchasers, and Oramed paid to Scilex Pharma an amount equal to $2,500,000 minus Oramed’s expenses (collectively, the amount so paid by the ZTlido RPA Purchasers, the “RPA Closing Payment”). Oramed’s portion of the purchase price was paid by exchanging a portion of the outstanding principal balance under the Oramed Note equivalent to its portion of the RPA Closing Payment, which amount extinguished and reduced $2,500,000 of the outstanding balance under the Oramed Note.</w:t>
      </w:r>
    </w:p>
    <w:p>
      <w:pPr>
        <w:spacing w:after="0" w:line="12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ZTlido Royalty Purchase Agreement terminates six months following receipt by the ZTlido RPA Purchasers of all payments of the Purchased Receivables to which each ZTlido RPA Purchaser is entitled hereunder during the period commencing on the date of the closing of the transactions contemplated thereby and expiring on the tenth anniversary of such closing date.</w:t>
      </w:r>
    </w:p>
    <w:p>
      <w:pPr>
        <w:spacing w:after="0" w:line="119"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We subsequently amended the ZTlido Royalty Purchase Agreement on February 28, 2025, pursuant to the ZTlido Royalty Amendment with the Scilex Pharma and the ZTlido RPA Purchasers. Pursuant to the ZTlido Royalty Amendment, we and Scilex Pharma may assign our respective rights or delegate our respective obligations under the ZTlido Royalty Purchase Agreement without the prior written consent of the ZTlido RPA Purchasers if we receive a commitment, contingent upon an asset purchase of ZTlido Covered Products (as defined in the ZTlido Royalty Purchase Agreement), that would allow us to pay in full all obligations owed under the Debt Instruments (as defined therein), provided that such purchaser of ZTlido Covered Products agrees to assume all of the obligations of our company and Scilex Pharma under the ZTlido Royalty Purchase Agreement.</w:t>
      </w:r>
    </w:p>
    <w:p>
      <w:pPr>
        <w:spacing w:after="0" w:line="125" w:lineRule="exact"/>
        <w:rPr>
          <w:sz w:val="20"/>
          <w:szCs w:val="20"/>
          <w:color w:val="auto"/>
        </w:rPr>
      </w:pPr>
    </w:p>
    <w:p>
      <w:pPr>
        <w:jc w:val="both"/>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ZTlido Royalty Purchase Agreement and the ZTlido Royalty Amendment do not purport to be complete and are qualified in their entirety by reference to the full text of the ZTlido Royalty Purchase Agreement and the ZTlido Royalty Amendment, a copy of each of which is filed as an exhibit to our Current Report on Form 8-K filed on October 8, 2024 and March 3, 2025, respectively.</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Royalty Security Agreement</w:t>
      </w:r>
    </w:p>
    <w:p>
      <w:pPr>
        <w:spacing w:after="0" w:line="8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Pursuant to the terms of the ZTlido Royalty Purchase Agreement, Scilex Pharma entered into a Security Agreement with the collateral agent (as identified therein) for the benefit of the ZTlido RPA Purchasers, dated as of October 8, 2024 (the “ZTlido Royalty Security Agreement”).</w:t>
      </w:r>
    </w:p>
    <w:p>
      <w:pPr>
        <w:spacing w:after="0" w:line="111"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Under the ZTlido Royalty Security Agreement, our Company’s and Scilex Pharma’s due performance and payment under the ZTlido Royalty Purchase Agreement is secured by certain collateral, including a collection account and certain material contracts, intellectual property rights and the regulatory approvals, in each case related to the ZTlido Covered Products.</w:t>
      </w:r>
    </w:p>
    <w:p>
      <w:pPr>
        <w:spacing w:after="0" w:line="119"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summary of the ZTlido Royalty Security Agreement does not purport to be complete and is qualified in its entirety by reference to the full text of the ZTlido Royalty Security Agreement, a copy of which is filed as an exhibit to our Current Report on Form 8-K filed on October 8, 2024.</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Subordination Agreement</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In connection with the ZTlido Royalty Purchase Agreement and ZTlido Royalty Security Agreement, Scilex Pharma entered into that certain ZTlido Subordination Agreement, dated as of October 8, 2024 (the “ZTlido Subordination Agreement”), by and among Scilex Pharma, the ZTlido RPA Purchasers and the Note Agent. The parties agreed that all obligations, liabilities and indebtedness under the ZTlido Royalty Purchase Agreement will be secured by first priority liens on the collaterals under the ZTlido Royalty Security Agreement (the “Royalty Collateral”), and all obligations under the Amended and Restated Security Agreement (as defined therein) will be secured by the Royalty Collateral and second priority liens on the collaterals under the ZTlido Royalty Security Agreement.</w:t>
      </w:r>
    </w:p>
    <w:p>
      <w:pPr>
        <w:spacing w:after="0" w:line="125"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foregoing summary of the ZTlido Subordination Agreement does not purport to be complete and is qualified in its entirety by reference to the full text of the ZTlido Subordination Agreement, a copy of which is filed as an exhibit to our Current Report on Form 8-K filed on October 8, 2024.</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248</w:t>
      </w:r>
    </w:p>
    <w:p>
      <w:pPr>
        <w:sectPr>
          <w:pgSz w:w="11900" w:h="16838" w:orient="portrait"/>
          <w:cols w:equalWidth="0" w:num="1">
            <w:col w:w="10159"/>
          </w:cols>
          <w:pgMar w:left="300" w:top="368" w:right="1440"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Oramed Note Consent and Amendment</w:t>
      </w:r>
    </w:p>
    <w:p>
      <w:pPr>
        <w:spacing w:after="0" w:line="8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In connection with the refinancing, we entered into a Consent and Amendment for the Oramed Note (the “Consent and Amendment”), dated as of October 8, 2024 with Oramed. Pursuant to the Consent and Amendment, we and Oramed consent to (i) our Company’s (and, to the extent applicable, our subsidiaries’) entry into and performance of the Tranche B Securities Purchase Agreement, the issuance of the Tranche B Notes and the October 2024 Noteholder Warrants and performance of the terms thereof, the entry into and performance of the ZTlido Royalty Purchase Agreement and other related amendment documents and the consummation of the refinancing, and (ii) the payment of all transaction fees and expenses related to the refinancing transactions. Oramed further agreed that the proceeds of the refinancing transactions utilized to repay the Oramed Note shall not constitute a voluntary prepayment, and no Make-Whole Amount (as defined in the Oramed Note) or other premium shall be payable with respect thereto.</w:t>
      </w:r>
    </w:p>
    <w:p>
      <w:pPr>
        <w:spacing w:after="0" w:line="126"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The foregoing summary of the Consent and Amendment does not purport to be complete and is qualified in its entirety by reference to the full text of the Consent and Amendment, a copy of which is filed as an exhibit to our Current Report on Form 8-K filed on October 8, 2024.</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Deferral and Consent under Tranche B Senior Secured Convertible Note</w:t>
      </w:r>
    </w:p>
    <w:p>
      <w:pPr>
        <w:spacing w:after="0" w:line="82" w:lineRule="exact"/>
        <w:rPr>
          <w:sz w:val="20"/>
          <w:szCs w:val="20"/>
          <w:color w:val="auto"/>
        </w:rPr>
      </w:pPr>
    </w:p>
    <w:p>
      <w:pPr>
        <w:ind w:left="1980" w:right="939" w:firstLine="294"/>
        <w:spacing w:after="0" w:line="300" w:lineRule="auto"/>
        <w:rPr>
          <w:sz w:val="20"/>
          <w:szCs w:val="20"/>
          <w:color w:val="auto"/>
        </w:rPr>
      </w:pPr>
      <w:r>
        <w:rPr>
          <w:rFonts w:ascii="Times New Roman" w:cs="Times New Roman" w:eastAsia="Times New Roman" w:hAnsi="Times New Roman"/>
          <w:sz w:val="11"/>
          <w:szCs w:val="11"/>
          <w:color w:val="auto"/>
        </w:rPr>
        <w:t>Pursuant to the Notes, commencing on January 2, 2025 (the “First Amortization Payment Date”), we are required to make the First Amortization Payment to redeem in cash such portion of the principal amount of the Notes equal to the Holder Pro Rata Amount (as defined in the Notes) of each Tranche B Noteholder of $6,250,000 per fiscal quarter at a redemption price equal to 100% of such Amortization Amount (as defined in the Notes).</w:t>
      </w:r>
    </w:p>
    <w:p>
      <w:pPr>
        <w:spacing w:after="0" w:line="102" w:lineRule="exact"/>
        <w:rPr>
          <w:sz w:val="20"/>
          <w:szCs w:val="20"/>
          <w:color w:val="auto"/>
        </w:rPr>
      </w:pPr>
    </w:p>
    <w:p>
      <w:pPr>
        <w:ind w:left="1980" w:right="899" w:firstLine="294"/>
        <w:spacing w:after="0" w:line="255" w:lineRule="auto"/>
        <w:rPr>
          <w:sz w:val="20"/>
          <w:szCs w:val="20"/>
          <w:color w:val="auto"/>
        </w:rPr>
      </w:pPr>
      <w:r>
        <w:rPr>
          <w:rFonts w:ascii="Times New Roman" w:cs="Times New Roman" w:eastAsia="Times New Roman" w:hAnsi="Times New Roman"/>
          <w:sz w:val="12"/>
          <w:szCs w:val="12"/>
          <w:color w:val="auto"/>
        </w:rPr>
        <w:t>On January 2, 2025, we entered into the Tranche B Consents pursuant to which the Tranche B Noteholders agreed to defer our obligation to make the First Amortization Payment until January 31, 2025. In consideration of such deferral, and to limit the Tranche B Noteholders’ right to exercise certain secured creditor remedies (including recourse against the assets of SCLX JV as a grantor under the Security Agreement (as defined in the Tranche B Consents)), SCLX JV delivered to the Tranche B Noteholders (or their designee) by deposit/withdrawal at custodian with the Depository Trust Company an aggregate of 142,855 shares of Common Stock (as defined in, and contemplated pursuant to, the Term Sheet) held by SCLX JV, of which 71,428 shares were delivered to Oramed, 20,571 shares were delivered to BPY Limited, 36,571 shares were delivered to Nomis Bay Ltd, and 14,285 shares were delivered to 3i, LP.</w:t>
      </w:r>
    </w:p>
    <w:p>
      <w:pPr>
        <w:spacing w:after="0" w:line="12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In addition, pursuant to the Tranche B Consents, effective as of the latest of (i) the time of execution and delivery of the Tranche B Consents,</w:t>
      </w:r>
    </w:p>
    <w:p>
      <w:pPr>
        <w:spacing w:after="0" w:line="17" w:lineRule="exact"/>
        <w:rPr>
          <w:sz w:val="20"/>
          <w:szCs w:val="20"/>
          <w:color w:val="auto"/>
        </w:rPr>
      </w:pPr>
    </w:p>
    <w:p>
      <w:pPr>
        <w:ind w:left="1980" w:right="919" w:hanging="8"/>
        <w:spacing w:after="0" w:line="253" w:lineRule="auto"/>
        <w:tabs>
          <w:tab w:leader="none" w:pos="2157"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of the delivery of the Scilex Shares and (iii) the time of grant of the Royalty and Exclusive Rights (each as defined in, and contemplated pursuant to, the Term Sheet), the Tranche B Noteholders agreed to further defer our obligation to make the First Amortization Payment until October 8, 2026, provided that, as contemplated in the Term Sheet, we pay an aggregate of $1.1 million in respect of a portion of the First Amortization Payment and related make-whole interest (which amount has been paid).</w:t>
      </w:r>
    </w:p>
    <w:p>
      <w:pPr>
        <w:spacing w:after="0" w:line="127"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foregoing summaries of the Tranche B Consents do not purport to be complete and are qualified in their entirety by reference to the full text of the Tranche B Consents, a copy of each of which is filed as an exhibit to our Current Report on Form 8-K filed on January 3, 2025.</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to the Oramed Note</w:t>
      </w:r>
    </w:p>
    <w:p>
      <w:pPr>
        <w:spacing w:after="0" w:line="82" w:lineRule="exact"/>
        <w:rPr>
          <w:sz w:val="20"/>
          <w:szCs w:val="20"/>
          <w:color w:val="auto"/>
        </w:rPr>
      </w:pPr>
    </w:p>
    <w:p>
      <w:pPr>
        <w:jc w:val="both"/>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On January 21, 2025, we entered into the Oramed Amendment, pursuant to which, among other things, Oramed agreed to extend the Maturity Date under and as set forth in the Oramed Note from March 21, 2025 to December 31, 2025. In consideration of such extension, SCLX JV agreed to deliver to Oramed an aggregate of 92,857 shares of Common Stock held by SCLX JV.</w:t>
      </w:r>
    </w:p>
    <w:p>
      <w:pPr>
        <w:spacing w:after="0" w:line="119"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The foregoing summary of the Oramed Amendment does not purport to be complete and is qualified in its entirety by reference to the full text of the Oramed Amendment, a copy of which is filed as an exhibit to our Current Report on Form 8-K filed on January 22, 2025.</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249</w:t>
      </w:r>
    </w:p>
    <w:p>
      <w:pPr>
        <w:sectPr>
          <w:pgSz w:w="11900" w:h="16838" w:orient="portrait"/>
          <w:cols w:equalWidth="0" w:num="1">
            <w:col w:w="10159"/>
          </w:cols>
          <w:pgMar w:left="300" w:top="368" w:right="1440"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Rest of World License Agreement</w:t>
      </w:r>
    </w:p>
    <w:p>
      <w:pPr>
        <w:spacing w:after="0" w:line="8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On the Lido Effective Date, Scilex Pharma entered into the Lido License Agreement with the Licensee with respect to services, compositions, products, dosages and formulations comprising lidocaine that have been or are later developed by or on behalf of Scilex Pharma, including the product and any future product defined as a “Product” under Scilex Pharma’s existing (i) Product Development Agreement, dated as of May 11, 2011, with Oishi and Itochu, as amended, and (ii) the associated Commercial Supply Agreement, dated February 16, 2017, between Scilex Pharma, Oishi and Itochu, as amended, which include the Lido Product.</w:t>
      </w:r>
    </w:p>
    <w:p>
      <w:pPr>
        <w:spacing w:after="0" w:line="125" w:lineRule="exact"/>
        <w:rPr>
          <w:sz w:val="20"/>
          <w:szCs w:val="20"/>
          <w:color w:val="auto"/>
        </w:rPr>
      </w:pPr>
    </w:p>
    <w:p>
      <w:pPr>
        <w:ind w:left="1980" w:right="879" w:firstLine="294"/>
        <w:spacing w:after="0" w:line="276" w:lineRule="auto"/>
        <w:rPr>
          <w:sz w:val="20"/>
          <w:szCs w:val="20"/>
          <w:color w:val="auto"/>
        </w:rPr>
      </w:pPr>
      <w:r>
        <w:rPr>
          <w:rFonts w:ascii="Times New Roman" w:cs="Times New Roman" w:eastAsia="Times New Roman" w:hAnsi="Times New Roman"/>
          <w:sz w:val="11"/>
          <w:szCs w:val="11"/>
          <w:color w:val="auto"/>
        </w:rPr>
        <w:t>Under the Lido License Agreement, Scilex Pharma granted to the Licensee during the Lido License Term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outside of the United States and in the Lido Licensee Territory. The Licensee granted to Scilex Pharma a non-exclusive, non-transferable, right and license under the Licensee Non-Blocking Patents (as defined therein) (i) in the Licensor Territory (as defined therein), to develop, manufacture, obtain and maintain regulatory approvals for, commercialize and otherwise exploit Lido Product for commercialization of Lido Products in the Licensor Territory in the Field (each as defined therein), and</w:t>
      </w:r>
    </w:p>
    <w:p>
      <w:pPr>
        <w:spacing w:after="0" w:line="1" w:lineRule="exact"/>
        <w:rPr>
          <w:sz w:val="20"/>
          <w:szCs w:val="20"/>
          <w:color w:val="auto"/>
        </w:rPr>
      </w:pPr>
    </w:p>
    <w:p>
      <w:pPr>
        <w:ind w:left="1980" w:right="919" w:hanging="8"/>
        <w:spacing w:after="0" w:line="255" w:lineRule="auto"/>
        <w:tabs>
          <w:tab w:leader="none" w:pos="2157"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worldwide, to develop and manufacture Lido Product for commercialization in the Licensor Territory in the Field (each as defined therein). Each of the Licensee and Scilex Pharma will receive 50% of the Net Revenue (as defined therein) generated, and the Licensee shall effect the foregoing by paying to Scilex Pharma its share of the Net Revenue on a quarterly basis.</w:t>
      </w:r>
    </w:p>
    <w:p>
      <w:pPr>
        <w:spacing w:after="0" w:line="125"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Pursuant to the Lido License Agreement, the Licensee shall (i) use commercially reasonable efforts to obtain and maintain regulatory approval for the Lido Product in at least one Major Market Country (as defined therein) within 18 months after the Lido Effective Date, and (ii) commit $200,000, or its equivalent in kind, annually towards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 (as defined therein).</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Promptly after the Lido Effective Date, Scilex Pharma is required to (i) facilitate an introduction between Oishi, Itochu, and the Licensee, and</w:t>
      </w:r>
    </w:p>
    <w:p>
      <w:pPr>
        <w:spacing w:after="0" w:line="17" w:lineRule="exact"/>
        <w:rPr>
          <w:sz w:val="20"/>
          <w:szCs w:val="20"/>
          <w:color w:val="auto"/>
        </w:rPr>
      </w:pPr>
    </w:p>
    <w:p>
      <w:pPr>
        <w:ind w:left="1980" w:right="879" w:hanging="8"/>
        <w:spacing w:after="0" w:line="255" w:lineRule="auto"/>
        <w:tabs>
          <w:tab w:leader="none" w:pos="2157"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reasonable efforts to cause each of Oishi and Itochu to accept a direct engagement with the Licensee for the manufacturing or supply of the Lido Product in finished dosage form. In addition, Scilex Pharma agreed to appoint the Licensee as its exclusive distributor of the Lido Product in the Licensee Territory during the Lido License Term.</w:t>
      </w:r>
    </w:p>
    <w:p>
      <w:pPr>
        <w:spacing w:after="0" w:line="125"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The Lido License Term commences on the Lido Effective Date and continues until expiration of the last to expire Licensed Patents (as defined therein), unless earlier terminated.</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Parent Guarantee for Lido License Agreement</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February 22, 2025, in connection with Lido License Agreement, we entered into the Parent Guarantee with the Licensee, pursuant to which we agreed to guarantee the due and proper performance of Scilex Pharma’s obligations under the Lido License Agreement on the terms and conditions set forth in the Parent Guarantee. Pursuant to the terms of the Parent Guarantee, we shall provide the Licensee with written notice of any Change of Control (as defined therein) of Scilex Pharma within five business days after the consummation of such Change of Control, and the Parent Guarantee and the guarantee obligations shall automatically terminate upon the consummation of such Change of Control.</w:t>
      </w:r>
    </w:p>
    <w:p>
      <w:pPr>
        <w:spacing w:after="0" w:line="125" w:lineRule="exact"/>
        <w:rPr>
          <w:sz w:val="20"/>
          <w:szCs w:val="20"/>
          <w:color w:val="auto"/>
        </w:rPr>
      </w:pPr>
    </w:p>
    <w:p>
      <w:pPr>
        <w:jc w:val="both"/>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Lido License Agreement and the Parent Guarantee do not purport to be complete and are qualified in their entirety by reference to the full text of the Lido License Agreement and the Parent Guarantee, a copy of each of which is filed as an exhibit to our Current Report on Form 8-K filed on February 27, 2025.</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250</w:t>
      </w:r>
    </w:p>
    <w:p>
      <w:pPr>
        <w:sectPr>
          <w:pgSz w:w="11900" w:h="16838" w:orient="portrait"/>
          <w:cols w:equalWidth="0" w:num="1">
            <w:col w:w="10159"/>
          </w:cols>
          <w:pgMar w:left="300" w:top="368" w:right="1440"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Gloperba-Elyxyb Royalty Purchase Agreement</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As contemplated by the Term Sheet in respect of the Royalty and Exclusive Rights described therein, on February 28, 2025 (the “Closing Date”), we entered into the Gloperba-Elyxyb Royalty Purchase Agreement with Scilex Pharma and the Gloperba-Elyxyb RPA Purchasers. Pursuant to the Gloperba-Elyxyb Royalty Purchase Agreement, Scilex Pharma sold to the Gloperba-Elyxyb RPA Purchasers the Gloperba-Elyxyb Purchased Receivables with respect to the Gloperba-Elyxyb Covered Products.</w:t>
      </w:r>
    </w:p>
    <w:p>
      <w:pPr>
        <w:spacing w:after="0" w:line="12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In consideration of the Further Deferral and representing the “grant of the Royalty and Exclusive Rights” (as defined in the Term Sheet), during the period commencing on the Closing Date and expiring on the tenth anniversary of the Closing Date (the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Gloperba and Elyxyb Covered Product Revenue Payments (each as defined in the Gloperba-Elyxyb Royalty Purchase Agreement) for each calendar quarter (commencing with the calendar quarter beginning January 1, 2025) promptly, but in any event no later than 60 calendar days after the end of each calendar quarter.</w:t>
      </w:r>
    </w:p>
    <w:p>
      <w:pPr>
        <w:spacing w:after="0" w:line="126"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The Gloperba-Elyxyb Royalty Purchase Agreement shall terminate six months following receipt by the Gloperba-Elyxyb RPA Purchasers of all payments of the Gloperba-Elyxyb Purchased Receivables to which each Gloperba-Elyxyb RPA Purchaser is entitled during the Payment Term.</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Gloperba-Elyxyb Royalty Security Agreement</w:t>
      </w:r>
    </w:p>
    <w:p>
      <w:pPr>
        <w:spacing w:after="0" w:line="82"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Pursuant to the terms of the Gloperba-Elyxyb Royalty Purchase Agreement, we entered into the Gloperba-Elyxyb Royalty Security Agreement with Scilex Pharma and the collateral agent (as identified therein) for the benefit of the Gloperba-Elyxyb RPA Purchasers, dated as of February 28, 2025.</w:t>
      </w:r>
    </w:p>
    <w:p>
      <w:pPr>
        <w:spacing w:after="0" w:line="119"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Under the Gloperba-Elyxyb Royalty Security Agreement, each of our and Scilex Pharma’s due performance and payment under the Gloperba-Elyxyb Royalty Purchase Agreement is secured by certain collateral, including a collection account and certain material contracts, intellectual property rights and regulatory approvals, in each case related to the Gloperba-Elyxyb Covered Products.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Gloperba-Elyxyb Subordination Agreement</w:t>
      </w:r>
    </w:p>
    <w:p>
      <w:pPr>
        <w:spacing w:after="0" w:line="8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In connection with the Gloperba-Elyxyb Royalty Purchase Agreement and the Gloperba-Elyxyb Royalty Security Agreement, we entered into the Gloperba-Elyxyb Subordination Agreement, by and among us, Scilex Pharma, the Gloperba-Elyxyb RPA Purchasers and the Note Agent. Pursuant to the Gloperba and Elyxyb Subordination Agreement, the parties agreed that all obligations, liabilities and indebtedness under the Gloperba-Elyxyb Royalty Purchase Agreement are secured by the Gloperba-Elyxyb Royalty Collateral and the Note Agent’s lien on the Gloperba-Elyxyb Royalty Collateral is subordinated and becomes a second priority lien.</w:t>
      </w:r>
    </w:p>
    <w:p>
      <w:pPr>
        <w:spacing w:after="0" w:line="125" w:lineRule="exact"/>
        <w:rPr>
          <w:sz w:val="20"/>
          <w:szCs w:val="20"/>
          <w:color w:val="auto"/>
        </w:rPr>
      </w:pPr>
    </w:p>
    <w:p>
      <w:pPr>
        <w:ind w:left="1980" w:right="119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Gloperba-Elyxyb Royalty Purchase Agreement, the Gloperba-Elyxyb Royalty Security Agreement and the Gloperba-Elyxyb Subordination Agreement do not purport to be complete and are qualified in their entirety by reference to the full text of such agreements, a copy of each of which is filed as an exhibit to our Current Report on Form 8-K filed on March 3, 2025.</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 Rest of World License Agreement</w:t>
      </w:r>
    </w:p>
    <w:p>
      <w:pPr>
        <w:spacing w:after="0" w:line="82" w:lineRule="exact"/>
        <w:rPr>
          <w:sz w:val="20"/>
          <w:szCs w:val="20"/>
          <w:color w:val="auto"/>
        </w:rPr>
      </w:pPr>
    </w:p>
    <w:p>
      <w:pPr>
        <w:ind w:left="1980" w:right="959" w:firstLine="294"/>
        <w:spacing w:after="0" w:line="300" w:lineRule="auto"/>
        <w:rPr>
          <w:sz w:val="20"/>
          <w:szCs w:val="20"/>
          <w:color w:val="auto"/>
        </w:rPr>
      </w:pPr>
      <w:r>
        <w:rPr>
          <w:rFonts w:ascii="Times New Roman" w:cs="Times New Roman" w:eastAsia="Times New Roman" w:hAnsi="Times New Roman"/>
          <w:sz w:val="11"/>
          <w:szCs w:val="11"/>
          <w:color w:val="auto"/>
        </w:rPr>
        <w:t>On the Effective Date, we entered into the Gloperba License Agreement with Scilex Pharma and the Licensee with respect to (i) services, compositions, products, dosages and formulations comprising Gloperba that have been or are later developed by or on behalf of us, including the product and any future product defined as a “Licensed Product” under the Romeg License Agreement, as amended by that certain First Amendment to</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251</w:t>
      </w:r>
    </w:p>
    <w:p>
      <w:pPr>
        <w:sectPr>
          <w:pgSz w:w="11900" w:h="16838" w:orient="portrait"/>
          <w:cols w:equalWidth="0" w:num="1">
            <w:col w:w="10159"/>
          </w:cols>
          <w:pgMar w:left="300" w:top="368" w:right="1440"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License and Commercialization Agreement, dated January 16, 2025, by and between Romeg and us, as may be further amended or restated from time to time, and (ii) any related, improved, successor or replacement forms of any such product Controlled (as defined therein) by us ((i) and (ii) collectively, the “Gloperba Product”).</w:t>
      </w:r>
    </w:p>
    <w:p>
      <w:pPr>
        <w:spacing w:after="0" w:line="119" w:lineRule="exact"/>
        <w:rPr>
          <w:sz w:val="20"/>
          <w:szCs w:val="20"/>
          <w:color w:val="auto"/>
        </w:rPr>
      </w:pPr>
    </w:p>
    <w:p>
      <w:pPr>
        <w:ind w:left="1980" w:right="899" w:firstLine="294"/>
        <w:spacing w:after="0" w:line="253" w:lineRule="auto"/>
        <w:rPr>
          <w:sz w:val="20"/>
          <w:szCs w:val="20"/>
          <w:color w:val="auto"/>
        </w:rPr>
      </w:pPr>
      <w:r>
        <w:rPr>
          <w:rFonts w:ascii="Times New Roman" w:cs="Times New Roman" w:eastAsia="Times New Roman" w:hAnsi="Times New Roman"/>
          <w:sz w:val="12"/>
          <w:szCs w:val="12"/>
          <w:color w:val="auto"/>
        </w:rPr>
        <w:t>Under the Gloperba License Agreement, we granted to the Licensee during the Gloperba License Term a worldwide, exclusive, non-transferable (except in connection with a permitted assignment of the Gloperba License Agreement) right, license and interest in, to, and under all Product Rights Controlled (each as defined therein) by us to develop, manufacture, obtain and maintain regulatory approvals for, commercialize and otherwise exploit all Gloperba Products, in all cases solely for commercialization of the Gloperba Products outside of the United States in the Field (as defined therein). The Licensee granted to us a non-exclusive, non-transferable (except in connection with a permitted assignment of the Gloperba License Agreement), right and license under the Licensee Non-Blocking Patents (as defined therein) (i) in the United States, to develop, manufacture, obtain and maintain regulatory approvals for, commercialize and otherwise exploit Gloperba Product for commercialization of Gloperba Products in the United States in the Field (as defined therein), and (ii) worldwide, to develop and manufacture Gloperba Product for commercialization in the United States in the Field (as defined therein). Each of the Licensee and we will receive 50% of the Net Revenue (as defined therein) generated based on Licensee’s sale of the Gloperba Products, and the Licensee shall effect the foregoing by paying to us an amount required for us to receive its share of the Net Revenue on a quarterly basis.</w:t>
      </w:r>
    </w:p>
    <w:p>
      <w:pPr>
        <w:spacing w:after="0" w:line="128" w:lineRule="exact"/>
        <w:rPr>
          <w:sz w:val="20"/>
          <w:szCs w:val="20"/>
          <w:color w:val="auto"/>
        </w:rPr>
      </w:pPr>
    </w:p>
    <w:p>
      <w:pPr>
        <w:ind w:left="1980" w:right="939" w:firstLine="294"/>
        <w:spacing w:after="0" w:line="279" w:lineRule="auto"/>
        <w:rPr>
          <w:sz w:val="20"/>
          <w:szCs w:val="20"/>
          <w:color w:val="auto"/>
        </w:rPr>
      </w:pPr>
      <w:r>
        <w:rPr>
          <w:rFonts w:ascii="Times New Roman" w:cs="Times New Roman" w:eastAsia="Times New Roman" w:hAnsi="Times New Roman"/>
          <w:sz w:val="12"/>
          <w:szCs w:val="12"/>
          <w:color w:val="auto"/>
        </w:rPr>
        <w:t>Pursuant to the Gloperba License Agreement, the Licensee shall obtain and maintain regulatory approval for the Gloperba Product outside of the United States in accordance with its own business judgment and in its sole and absolute discretion.</w:t>
      </w:r>
    </w:p>
    <w:p>
      <w:pPr>
        <w:spacing w:after="0" w:line="111"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Promptly after the Effective Date, we are required to (i) facilitate an introduction between the Licensee and the Gloperba CMO as of the Effective Date, and (ii) use reasonable efforts to cause such Gloperba CMO to accept a direct engagement with the Licensee for the manufacturing or supply of the Gloperba Product in finished dosage form. In addition, we agreed to appoint the Licensee as its exclusive distributor of the Gloperba Product in the entire world other than the United States during the Gloperba License Term.</w:t>
      </w:r>
    </w:p>
    <w:p>
      <w:pPr>
        <w:spacing w:after="0" w:line="122" w:lineRule="exact"/>
        <w:rPr>
          <w:sz w:val="20"/>
          <w:szCs w:val="20"/>
          <w:color w:val="auto"/>
        </w:rPr>
      </w:pPr>
    </w:p>
    <w:p>
      <w:pPr>
        <w:ind w:left="1980" w:right="1079" w:firstLine="294"/>
        <w:spacing w:after="0" w:line="279" w:lineRule="auto"/>
        <w:rPr>
          <w:sz w:val="20"/>
          <w:szCs w:val="20"/>
          <w:color w:val="auto"/>
        </w:rPr>
      </w:pPr>
      <w:r>
        <w:rPr>
          <w:rFonts w:ascii="Times New Roman" w:cs="Times New Roman" w:eastAsia="Times New Roman" w:hAnsi="Times New Roman"/>
          <w:sz w:val="12"/>
          <w:szCs w:val="12"/>
          <w:color w:val="auto"/>
        </w:rPr>
        <w:t>The Gloperba License Term commences on the Effective Date and continues until expiration of the last to expire Licensed Patents (as defined therein), unless earlier terminated.</w:t>
      </w:r>
    </w:p>
    <w:p>
      <w:pPr>
        <w:spacing w:after="0" w:line="111"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The foregoing summary of the Gloperba License Agreement does not purport to be complete and is qualified in its entirety by reference to the full text of the Gloperba License Agreement, a copy of which is filed as an exhibit to our Current Report on Form 8-K filed on March 3, 2025.</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Executive Officer and Director Compensation</w:t>
      </w:r>
    </w:p>
    <w:p>
      <w:pPr>
        <w:spacing w:after="0" w:line="82" w:lineRule="exact"/>
        <w:rPr>
          <w:sz w:val="20"/>
          <w:szCs w:val="20"/>
          <w:color w:val="auto"/>
        </w:rPr>
      </w:pPr>
    </w:p>
    <w:p>
      <w:pPr>
        <w:ind w:left="1980" w:right="1019" w:firstLine="294"/>
        <w:spacing w:after="0" w:line="279" w:lineRule="auto"/>
        <w:rPr>
          <w:sz w:val="20"/>
          <w:szCs w:val="20"/>
          <w:color w:val="auto"/>
        </w:rPr>
      </w:pPr>
      <w:r>
        <w:rPr>
          <w:rFonts w:ascii="Times New Roman" w:cs="Times New Roman" w:eastAsia="Times New Roman" w:hAnsi="Times New Roman"/>
          <w:sz w:val="12"/>
          <w:szCs w:val="12"/>
          <w:color w:val="auto"/>
        </w:rPr>
        <w:t>Please see the sections titled “Executive and Director Compensation” for information regarding the compensation of our executive officers and non-employee directors.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Employment Agreements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We have entered into offer letter agreements with our named executive officers, other than Dr. Ji and Mr. Ma, that, among other things, provide for certain compensatory benefits. In addition, we have also entered into severance and change of control agreements with our named executive officers which provide for severance payments upon certain terminations of employment as well as in connection with a change of control of the Company. For descriptions of such agreements, see the section titled “Executive and Director Compensation.”</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Limitation of Liability and Indemnification of Officers and Directors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Please see the section titled “Board of Directors and Corporate Governance — Limitation of Liability and Indemnification of Directors and</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Officers” for information regarding our arrangements to provide indemnification to our officers and directors.</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252</w:t>
      </w:r>
    </w:p>
    <w:p>
      <w:pPr>
        <w:sectPr>
          <w:pgSz w:w="11900" w:h="16838" w:orient="portrait"/>
          <w:cols w:equalWidth="0" w:num="1">
            <w:col w:w="10159"/>
          </w:cols>
          <w:pgMar w:left="300" w:top="368"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Related Person Transaction Policy</w:t>
      </w:r>
    </w:p>
    <w:p>
      <w:pPr>
        <w:spacing w:after="0" w:line="82" w:lineRule="exact"/>
        <w:rPr>
          <w:sz w:val="20"/>
          <w:szCs w:val="20"/>
          <w:color w:val="auto"/>
        </w:rPr>
      </w:pPr>
    </w:p>
    <w:p>
      <w:pPr>
        <w:ind w:left="1980" w:right="939" w:firstLine="294"/>
        <w:spacing w:after="0" w:line="256" w:lineRule="auto"/>
        <w:rPr>
          <w:sz w:val="20"/>
          <w:szCs w:val="20"/>
          <w:color w:val="auto"/>
        </w:rPr>
      </w:pPr>
      <w:r>
        <w:rPr>
          <w:rFonts w:ascii="Times New Roman" w:cs="Times New Roman" w:eastAsia="Times New Roman" w:hAnsi="Times New Roman"/>
          <w:sz w:val="12"/>
          <w:szCs w:val="12"/>
          <w:color w:val="auto"/>
        </w:rPr>
        <w:t>We have adopted a related person transaction policy that sets forth our procedures for the identification, review, consideration and approval or ratification of related person transactions. For purposes of our policy, a related 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and any of their respective immediate family members and any entity owned or controlled by such persons.</w:t>
      </w:r>
    </w:p>
    <w:p>
      <w:pPr>
        <w:spacing w:after="0" w:line="125" w:lineRule="exact"/>
        <w:rPr>
          <w:sz w:val="20"/>
          <w:szCs w:val="20"/>
          <w:color w:val="auto"/>
        </w:rPr>
      </w:pPr>
    </w:p>
    <w:p>
      <w:pPr>
        <w:ind w:left="1980" w:right="959" w:firstLine="294"/>
        <w:spacing w:after="0" w:line="278" w:lineRule="auto"/>
        <w:rPr>
          <w:sz w:val="20"/>
          <w:szCs w:val="20"/>
          <w:color w:val="auto"/>
        </w:rPr>
      </w:pPr>
      <w:r>
        <w:rPr>
          <w:rFonts w:ascii="Times New Roman" w:cs="Times New Roman" w:eastAsia="Times New Roman" w:hAnsi="Times New Roman"/>
          <w:sz w:val="11"/>
          <w:szCs w:val="11"/>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related-person transactions and to effectuate the terms of the policy. In addition, under our code of conduct and ethics, our employees and directors have an affirmative responsibility to disclose any transaction or relationship that reasonably could be expected to give rise to a conflict of interest. In considering related person transactions, our Audit Committee, or other independent body of our Board, will take into account the relevant available facts and circumstances including, but not limited to:</w:t>
      </w:r>
    </w:p>
    <w:p>
      <w:pPr>
        <w:spacing w:after="0" w:line="53" w:lineRule="exact"/>
        <w:rPr>
          <w:sz w:val="20"/>
          <w:szCs w:val="20"/>
          <w:color w:val="auto"/>
        </w:rPr>
      </w:pPr>
    </w:p>
    <w:p>
      <w:pPr>
        <w:ind w:left="2620" w:hanging="288"/>
        <w:spacing w:after="0"/>
        <w:tabs>
          <w:tab w:leader="none" w:pos="26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risks, costs and benefits to us;</w:t>
      </w:r>
    </w:p>
    <w:p>
      <w:pPr>
        <w:spacing w:after="0" w:line="87" w:lineRule="exact"/>
        <w:rPr>
          <w:rFonts w:ascii="Times New Roman" w:cs="Times New Roman" w:eastAsia="Times New Roman" w:hAnsi="Times New Roman"/>
          <w:sz w:val="12"/>
          <w:szCs w:val="12"/>
          <w:color w:val="auto"/>
        </w:rPr>
      </w:pPr>
    </w:p>
    <w:p>
      <w:pPr>
        <w:ind w:left="2620" w:right="1139" w:hanging="288"/>
        <w:spacing w:after="0" w:line="279" w:lineRule="auto"/>
        <w:tabs>
          <w:tab w:leader="none" w:pos="26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on a director’s independence in the event that the related person is a director, immediate family member of a director or an entity with which a director is affiliated;</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sources for comparable services or products;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available to or from, as the case may be, unrelated third parties or to or from employees generally.</w:t>
      </w:r>
    </w:p>
    <w:p>
      <w:pPr>
        <w:spacing w:after="0" w:line="150" w:lineRule="exact"/>
        <w:rPr>
          <w:sz w:val="20"/>
          <w:szCs w:val="20"/>
          <w:color w:val="auto"/>
        </w:rPr>
      </w:pPr>
    </w:p>
    <w:p>
      <w:pPr>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our best interests and those of our stockholders, as our Audit Committee, or other independent body of our Board, determines in the good faith exercise of our discretion.</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253</w:t>
      </w:r>
    </w:p>
    <w:p>
      <w:pPr>
        <w:sectPr>
          <w:pgSz w:w="11900" w:h="16838" w:orient="portrait"/>
          <w:cols w:equalWidth="0" w:num="1">
            <w:col w:w="10159"/>
          </w:cols>
          <w:pgMar w:left="300" w:top="368" w:right="1440"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PRINCIPAL SECURITYHOLDERS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following table sets forth information regarding the beneficial ownership of our Common Stock as of March 31, 2025 by:</w:t>
      </w:r>
    </w:p>
    <w:p>
      <w:pPr>
        <w:spacing w:after="0" w:line="87" w:lineRule="exact"/>
        <w:rPr>
          <w:sz w:val="20"/>
          <w:szCs w:val="20"/>
          <w:color w:val="auto"/>
        </w:rPr>
      </w:pPr>
    </w:p>
    <w:p>
      <w:pPr>
        <w:ind w:left="2620" w:hanging="288"/>
        <w:spacing w:after="0"/>
        <w:tabs>
          <w:tab w:leader="none" w:pos="262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or “group” known to be the beneficial owner of more than 5% of our outstanding Common Stock;</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named executive officers and directors;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executive officers and directors as a group.</w:t>
      </w:r>
    </w:p>
    <w:p>
      <w:pPr>
        <w:spacing w:after="0" w:line="150"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Shares subject to options and warrants that are currently exercisable or exercisable within 60 days of March 31, 2025 are considered outstanding and beneficially owned by the person holding such options or warrants for the purpose of computing the percentage ownership of that person, but are not treated as outstanding for the purpose of computing the percentage ownership of any other person.</w:t>
      </w:r>
    </w:p>
    <w:p>
      <w:pPr>
        <w:spacing w:after="0" w:line="125" w:lineRule="exact"/>
        <w:rPr>
          <w:sz w:val="20"/>
          <w:szCs w:val="20"/>
          <w:color w:val="auto"/>
        </w:rPr>
      </w:pPr>
    </w:p>
    <w:p>
      <w:pPr>
        <w:jc w:val="both"/>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The beneficial ownership of our Common Stock is based on 6,951,671 shares of such common stock outstanding as of March 31, 2025. Voting power is based on 6,951,671 shares of Common Stock and 29,057,097 shares of Series A Preferred Stock outstanding as of March 31, 2025, with the Series A Preferred Stock entitled to an aggregate of 922,447 votes as a result of adjustments to the deemed conversion price of such preferred stock in accordance with the terms of the Series A Certificate of Designations. Shares of Series A Preferred Stock are held solely by SCLX JV.</w:t>
      </w:r>
    </w:p>
    <w:p>
      <w:pPr>
        <w:spacing w:after="0" w:line="122" w:lineRule="exact"/>
        <w:rPr>
          <w:sz w:val="20"/>
          <w:szCs w:val="20"/>
          <w:color w:val="auto"/>
        </w:rPr>
      </w:pPr>
    </w:p>
    <w:p>
      <w:pPr>
        <w:ind w:left="1980" w:right="919" w:firstLine="294"/>
        <w:spacing w:after="0" w:line="279" w:lineRule="auto"/>
        <w:rPr>
          <w:sz w:val="20"/>
          <w:szCs w:val="20"/>
          <w:color w:val="auto"/>
        </w:rPr>
      </w:pPr>
      <w:r>
        <w:rPr>
          <w:rFonts w:ascii="Times New Roman" w:cs="Times New Roman" w:eastAsia="Times New Roman" w:hAnsi="Times New Roman"/>
          <w:sz w:val="12"/>
          <w:szCs w:val="12"/>
          <w:color w:val="auto"/>
        </w:rPr>
        <w:t>Unless otherwise indicated, we believe, based on information available to us, that all persons and entities named in the table have sole voting and investment power with respect to all shares shown as beneficially owned by them.</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160" w:type="dxa"/>
            <w:vAlign w:val="bottom"/>
            <w:tcBorders>
              <w:bottom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Pr>
          <w:p>
            <w:pPr>
              <w:spacing w:after="0"/>
              <w:rPr>
                <w:sz w:val="10"/>
                <w:szCs w:val="1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Series A Preferred Stock</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60" w:type="dxa"/>
            <w:vAlign w:val="bottom"/>
          </w:tcPr>
          <w:p>
            <w:pPr>
              <w:spacing w:after="0"/>
              <w:rPr>
                <w:sz w:val="6"/>
                <w:szCs w:val="6"/>
                <w:color w:val="auto"/>
              </w:rPr>
            </w:pPr>
          </w:p>
        </w:tc>
        <w:tc>
          <w:tcPr>
            <w:tcW w:w="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Shares of</w:t>
            </w: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tcPr>
          <w:p>
            <w:pPr>
              <w:jc w:val="center"/>
              <w:ind w:right="100"/>
              <w:spacing w:after="0" w:line="72" w:lineRule="exact"/>
              <w:rPr>
                <w:sz w:val="20"/>
                <w:szCs w:val="20"/>
                <w:color w:val="auto"/>
              </w:rPr>
            </w:pPr>
            <w:r>
              <w:rPr>
                <w:rFonts w:ascii="Times New Roman" w:cs="Times New Roman" w:eastAsia="Times New Roman" w:hAnsi="Times New Roman"/>
                <w:sz w:val="8"/>
                <w:szCs w:val="8"/>
                <w:b w:val="1"/>
                <w:bCs w:val="1"/>
                <w:color w:val="auto"/>
              </w:rPr>
              <w:t>Shares of</w:t>
            </w:r>
          </w:p>
        </w:tc>
        <w:tc>
          <w:tcPr>
            <w:tcW w:w="6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 of</w:t>
            </w: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 of</w:t>
            </w:r>
          </w:p>
        </w:tc>
        <w:tc>
          <w:tcPr>
            <w:tcW w:w="6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6"/>
              </w:rPr>
              <w:t>Series A</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580" w:type="dxa"/>
            <w:vAlign w:val="bottom"/>
            <w:gridSpan w:val="2"/>
            <w:vMerge w:val="continue"/>
          </w:tcPr>
          <w:p>
            <w:pPr>
              <w:spacing w:after="0"/>
              <w:rPr>
                <w:sz w:val="8"/>
                <w:szCs w:val="8"/>
                <w:color w:val="auto"/>
              </w:rPr>
            </w:pPr>
          </w:p>
        </w:tc>
        <w:tc>
          <w:tcPr>
            <w:tcW w:w="6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6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87"/>
              </w:rPr>
              <w:t>Total</w:t>
            </w: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 of</w:t>
            </w: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7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rPr>
              <w:t>Stock</w:t>
            </w:r>
          </w:p>
        </w:tc>
        <w:tc>
          <w:tcPr>
            <w:tcW w:w="5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6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6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6"/>
              </w:rPr>
              <w:t>Series A</w:t>
            </w:r>
          </w:p>
        </w:tc>
        <w:tc>
          <w:tcPr>
            <w:tcW w:w="4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Address of Beneficial Owner</w:t>
            </w:r>
            <w:r>
              <w:rPr>
                <w:rFonts w:ascii="Times New Roman" w:cs="Times New Roman" w:eastAsia="Times New Roman" w:hAnsi="Times New Roman"/>
                <w:sz w:val="7"/>
                <w:szCs w:val="7"/>
                <w:b w:val="1"/>
                <w:bCs w:val="1"/>
                <w:color w:val="auto"/>
              </w:rPr>
              <w:t>(1)</w:t>
            </w:r>
          </w:p>
        </w:tc>
        <w:tc>
          <w:tcPr>
            <w:tcW w:w="78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58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6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Preferred</w:t>
            </w:r>
          </w:p>
        </w:tc>
        <w:tc>
          <w:tcPr>
            <w:tcW w:w="44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260" w:type="dxa"/>
            <w:vAlign w:val="bottom"/>
            <w:vMerge w:val="continue"/>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1"/>
              </w:rPr>
              <w:t>Owned</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Owned</w:t>
            </w: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Vote</w:t>
            </w:r>
          </w:p>
        </w:tc>
        <w:tc>
          <w:tcPr>
            <w:tcW w:w="0" w:type="dxa"/>
            <w:vAlign w:val="bottom"/>
          </w:tcPr>
          <w:p>
            <w:pPr>
              <w:spacing w:after="0"/>
              <w:rPr>
                <w:sz w:val="1"/>
                <w:szCs w:val="1"/>
                <w:color w:val="auto"/>
              </w:rPr>
            </w:pPr>
          </w:p>
        </w:tc>
      </w:tr>
      <w:tr>
        <w:trPr>
          <w:trHeight w:val="124"/>
        </w:trPr>
        <w:tc>
          <w:tcPr>
            <w:tcW w:w="42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i w:val="1"/>
                <w:iCs w:val="1"/>
                <w:color w:val="auto"/>
              </w:rPr>
              <w:t>Directors and Named Executive Officers</w:t>
            </w: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Jaisim Shah</w:t>
            </w:r>
            <w:r>
              <w:rPr>
                <w:rFonts w:ascii="Times New Roman" w:cs="Times New Roman" w:eastAsia="Times New Roman" w:hAnsi="Times New Roman"/>
                <w:sz w:val="16"/>
                <w:szCs w:val="16"/>
                <w:color w:val="auto"/>
                <w:vertAlign w:val="superscript"/>
              </w:rPr>
              <w:t>(2)</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316,342</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4.36%</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3.87%</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Henry Ji, Ph.D.</w:t>
            </w:r>
            <w:r>
              <w:rPr>
                <w:rFonts w:ascii="Times New Roman" w:cs="Times New Roman" w:eastAsia="Times New Roman" w:hAnsi="Times New Roman"/>
                <w:sz w:val="16"/>
                <w:szCs w:val="16"/>
                <w:color w:val="auto"/>
                <w:vertAlign w:val="superscript"/>
              </w:rPr>
              <w:t>(3)</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229,591</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3.21%</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2.84%</w:t>
            </w: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Stephen Ma</w:t>
            </w:r>
            <w:r>
              <w:rPr>
                <w:rFonts w:ascii="Times New Roman" w:cs="Times New Roman" w:eastAsia="Times New Roman" w:hAnsi="Times New Roman"/>
                <w:sz w:val="16"/>
                <w:szCs w:val="16"/>
                <w:color w:val="auto"/>
                <w:vertAlign w:val="superscript"/>
              </w:rPr>
              <w:t>(4)</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11,492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Jay Chun, M.D., Ph.D.</w:t>
            </w:r>
            <w:r>
              <w:rPr>
                <w:rFonts w:ascii="Times New Roman" w:cs="Times New Roman" w:eastAsia="Times New Roman" w:hAnsi="Times New Roman"/>
                <w:sz w:val="16"/>
                <w:szCs w:val="16"/>
                <w:color w:val="auto"/>
                <w:vertAlign w:val="superscript"/>
              </w:rPr>
              <w:t>(5)</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7,088</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Dorman Followwill</w:t>
            </w:r>
            <w:r>
              <w:rPr>
                <w:rFonts w:ascii="Times New Roman" w:cs="Times New Roman" w:eastAsia="Times New Roman" w:hAnsi="Times New Roman"/>
                <w:sz w:val="16"/>
                <w:szCs w:val="16"/>
                <w:color w:val="auto"/>
                <w:vertAlign w:val="superscript"/>
              </w:rPr>
              <w:t>(6)</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6,970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Annu Navani, M.D.</w:t>
            </w:r>
            <w:r>
              <w:rPr>
                <w:rFonts w:ascii="Times New Roman" w:cs="Times New Roman" w:eastAsia="Times New Roman" w:hAnsi="Times New Roman"/>
                <w:sz w:val="16"/>
                <w:szCs w:val="16"/>
                <w:color w:val="auto"/>
                <w:vertAlign w:val="superscript"/>
              </w:rPr>
              <w:t>(7)</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1,339</w:t>
            </w: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Yue Alexander Wu, Ph.D.</w:t>
            </w:r>
            <w:r>
              <w:rPr>
                <w:rFonts w:ascii="Times New Roman" w:cs="Times New Roman" w:eastAsia="Times New Roman" w:hAnsi="Times New Roman"/>
                <w:sz w:val="16"/>
                <w:szCs w:val="16"/>
                <w:color w:val="auto"/>
                <w:vertAlign w:val="superscript"/>
              </w:rPr>
              <w:t>(8)</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16,134</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All Directors and Executive Officers as a Group (7 individuals)</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588,959</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7.84%</w:t>
            </w:r>
          </w:p>
        </w:tc>
        <w:tc>
          <w:tcPr>
            <w:tcW w:w="6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6.99%</w:t>
            </w:r>
          </w:p>
        </w:tc>
        <w:tc>
          <w:tcPr>
            <w:tcW w:w="0" w:type="dxa"/>
            <w:vAlign w:val="bottom"/>
          </w:tcPr>
          <w:p>
            <w:pPr>
              <w:spacing w:after="0"/>
              <w:rPr>
                <w:sz w:val="1"/>
                <w:szCs w:val="1"/>
                <w:color w:val="auto"/>
              </w:rPr>
            </w:pP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5% Beneficial Owners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SCLX Stock Acquisition JV LLC</w:t>
            </w:r>
          </w:p>
        </w:tc>
        <w:tc>
          <w:tcPr>
            <w:tcW w:w="7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1"/>
                <w:szCs w:val="11"/>
                <w:color w:val="auto"/>
              </w:rPr>
              <w:t>1,472,281</w:t>
            </w:r>
            <w:r>
              <w:rPr>
                <w:rFonts w:ascii="Times New Roman" w:cs="Times New Roman" w:eastAsia="Times New Roman" w:hAnsi="Times New Roman"/>
                <w:sz w:val="16"/>
                <w:szCs w:val="16"/>
                <w:color w:val="auto"/>
                <w:vertAlign w:val="superscript"/>
              </w:rPr>
              <w:t>(9)</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21.14%</w:t>
            </w:r>
          </w:p>
        </w:tc>
        <w:tc>
          <w:tcPr>
            <w:tcW w:w="6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29,057,097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100.00%</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30.36%</w:t>
            </w: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Oramed Pharmaceuticals Inc.</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732,717</w:t>
            </w:r>
            <w:r>
              <w:rPr>
                <w:rFonts w:ascii="Times New Roman" w:cs="Times New Roman" w:eastAsia="Times New Roman" w:hAnsi="Times New Roman"/>
                <w:sz w:val="17"/>
                <w:szCs w:val="17"/>
                <w:color w:val="auto"/>
                <w:vertAlign w:val="superscript"/>
              </w:rPr>
              <w:t>(10)</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9.99%</w:t>
            </w:r>
          </w:p>
        </w:tc>
        <w:tc>
          <w:tcPr>
            <w:tcW w:w="68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-635</wp:posOffset>
            </wp:positionV>
            <wp:extent cx="51435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3" w:lineRule="exact"/>
        <w:rPr>
          <w:sz w:val="20"/>
          <w:szCs w:val="20"/>
          <w:color w:val="auto"/>
        </w:rPr>
      </w:pPr>
    </w:p>
    <w:p>
      <w:pPr>
        <w:ind w:left="2260" w:hanging="288"/>
        <w:spacing w:after="0"/>
        <w:tabs>
          <w:tab w:leader="none" w:pos="226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w:t>
      </w:r>
    </w:p>
    <w:p>
      <w:pPr>
        <w:spacing w:after="0" w:line="17" w:lineRule="exact"/>
        <w:rPr>
          <w:sz w:val="20"/>
          <w:szCs w:val="20"/>
          <w:color w:val="auto"/>
        </w:rPr>
      </w:pPr>
    </w:p>
    <w:p>
      <w:pPr>
        <w:ind w:left="5560" w:right="1479" w:hanging="3588"/>
        <w:spacing w:after="0" w:line="433" w:lineRule="auto"/>
        <w:tabs>
          <w:tab w:leader="none" w:pos="2266"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indicated, the business address of each of the following individuals is 960 San Antonio Road, Palo Alto, CA 94303. 254</w:t>
      </w:r>
    </w:p>
    <w:p>
      <w:pPr>
        <w:sectPr>
          <w:pgSz w:w="11900" w:h="16838" w:orient="portrait"/>
          <w:cols w:equalWidth="0" w:num="1">
            <w:col w:w="10159"/>
          </w:cols>
          <w:pgMar w:left="300" w:top="368"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959" w:hanging="288"/>
        <w:spacing w:after="0" w:line="259" w:lineRule="auto"/>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307,909 shares subject to options exercisable within 60 days of March 31, 2025, 3,980 shares held directly and an aggregate of 4,453 shares held by family trusts for the benefit of Mr. Shah, his spouse and his children.</w:t>
      </w:r>
    </w:p>
    <w:p>
      <w:pPr>
        <w:spacing w:after="0" w:line="1" w:lineRule="exact"/>
        <w:rPr>
          <w:rFonts w:ascii="Times New Roman" w:cs="Times New Roman" w:eastAsia="Times New Roman" w:hAnsi="Times New Roman"/>
          <w:sz w:val="12"/>
          <w:szCs w:val="12"/>
          <w:color w:val="auto"/>
        </w:rPr>
      </w:pPr>
    </w:p>
    <w:p>
      <w:pPr>
        <w:ind w:left="2260" w:right="1079" w:hanging="288"/>
        <w:spacing w:after="0" w:line="250" w:lineRule="auto"/>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210,139 shares subject to options exercisable within 60 days of March 31, 2025, 9,147 shares held directly, an aggregate of 1,794 shares held through an entity owned by Dr. Ji, 161 shares held by Dr. Ji’s spouse and an aggregate of 8,350 shares held by family trusts for the benefit of Dr. Ji, his spouse and his children.</w:t>
      </w:r>
    </w:p>
    <w:p>
      <w:pPr>
        <w:ind w:left="2260" w:hanging="288"/>
        <w:spacing w:after="0"/>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10,840 shares subject to options exercisable within 60 days of March 31, 2025 and 652 shares held directly.</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3,874 shares subject to options exercisable within 60 days of March 31, 2025 and 3,214 shares held directly.</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6,905 shares subject to options exercisable within 60 days of March 31, 2025 and 65 shares held directly.</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1,339 shares subject to options exercisable within 60 days of March 31, 2025.</w:t>
      </w:r>
    </w:p>
    <w:p>
      <w:pPr>
        <w:spacing w:after="0" w:line="6" w:lineRule="exact"/>
        <w:rPr>
          <w:rFonts w:ascii="Times New Roman" w:cs="Times New Roman" w:eastAsia="Times New Roman" w:hAnsi="Times New Roman"/>
          <w:sz w:val="12"/>
          <w:szCs w:val="12"/>
          <w:color w:val="auto"/>
        </w:rPr>
      </w:pPr>
    </w:p>
    <w:p>
      <w:pPr>
        <w:ind w:left="2260" w:hanging="288"/>
        <w:spacing w:after="0"/>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15,420 shares subject to options exercisable within 60 days of March 31, 2025 and 714 shares held directly.</w:t>
      </w:r>
    </w:p>
    <w:p>
      <w:pPr>
        <w:spacing w:after="0" w:line="6" w:lineRule="exact"/>
        <w:rPr>
          <w:rFonts w:ascii="Times New Roman" w:cs="Times New Roman" w:eastAsia="Times New Roman" w:hAnsi="Times New Roman"/>
          <w:sz w:val="12"/>
          <w:szCs w:val="12"/>
          <w:color w:val="auto"/>
        </w:rPr>
      </w:pPr>
    </w:p>
    <w:p>
      <w:pPr>
        <w:ind w:left="2260" w:right="839" w:hanging="288"/>
        <w:spacing w:after="0" w:line="250" w:lineRule="auto"/>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 1,458,263 shares of Common Stock held directly and (b) 14,018 shares underlying the Private Warrants held by SCLX JV, all of which are currently exercisable, in each case, transferred to SCLX JV in connection with the Equity Repurchase Transaction. Does not include any shares of Series A Preferred Stock. SCLX JV holds 490,617 Private Warrants. In connection with the Reverse Stock Split, the SPAC Warrants (which include the Private Warrants) were adjusted in accordance with their terms such that the number of SPAC Warrants outstanding was unchanged, but each SPAC Warrant now entitles the holder to purchase 1/35th of a share of Common Stock at an exercise price of $402.50 per whole share (provided that in no event shall the holder of any such warrants be entitled, upon the exercise of such warrants, to receive a fractional interest in a share of Common Stock upon such exercise and the Company shall, upon such exercise, round up to the nearest whole number of shares of Common Stock to be issued to such holder). Accordingly, the Private Warrants held by SCLX JV are currently exercisable for 14,018 shares of Common Stock. The voting and dispositive power of the equity securities of the Company (including the Series A Preferred Stock) held by SCLX JV are subject to the control of an independent manager, Xiao Xu, until such time as the Oramed Note and any Additional Notes are paid in full. The business address of SCLX Stock Acquisition JV LLC is 960 San Antonio Road, Palo Alto, CA 94303.</w:t>
      </w:r>
    </w:p>
    <w:p>
      <w:pPr>
        <w:spacing w:after="0" w:line="2" w:lineRule="exact"/>
        <w:rPr>
          <w:rFonts w:ascii="Times New Roman" w:cs="Times New Roman" w:eastAsia="Times New Roman" w:hAnsi="Times New Roman"/>
          <w:sz w:val="12"/>
          <w:szCs w:val="12"/>
          <w:color w:val="auto"/>
        </w:rPr>
      </w:pPr>
    </w:p>
    <w:p>
      <w:pPr>
        <w:jc w:val="both"/>
        <w:ind w:left="2260" w:right="899" w:hanging="288"/>
        <w:spacing w:after="0" w:line="252" w:lineRule="auto"/>
        <w:tabs>
          <w:tab w:leader="none" w:pos="226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350,000 shares of Common Stock held directly and 382,717 shares underlying certain warrants to purchase Common Stock, with an exercise price of $0.01 per share, held by Oramed exercisable within 60 days of March 31, 2025. Such warrants held by Oramed are subject to a 9.99% beneficial ownership limitation and the number of shares of Common Stock set forth in the table above give effect to such limitation. The foregoing ownership information for Oramed is based on information supplied by Oramed in a statement on Schedule 13G filed with the SEC on January 17, 2025 that reports its sole voting power and sole dispositive power and a Form 4 filed with the SEC by SCLX JV on January 23, 2025. The business address of Oramed Pharmaceuticals Inc. is 1185 Avenue of the Americas, Third Floor, New York, NY 10036.</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255</w:t>
      </w:r>
    </w:p>
    <w:p>
      <w:pPr>
        <w:sectPr>
          <w:pgSz w:w="11900" w:h="16838" w:orient="portrait"/>
          <w:cols w:equalWidth="0" w:num="1">
            <w:col w:w="10159"/>
          </w:cols>
          <w:pgMar w:left="300" w:top="368"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SELLING SECURITYHOLDER</w:t>
      </w:r>
    </w:p>
    <w:p>
      <w:pPr>
        <w:spacing w:after="0" w:line="154" w:lineRule="exact"/>
        <w:rPr>
          <w:sz w:val="20"/>
          <w:szCs w:val="20"/>
          <w:color w:val="auto"/>
        </w:rPr>
      </w:pPr>
    </w:p>
    <w:p>
      <w:pPr>
        <w:ind w:left="1980" w:right="1239" w:firstLine="294"/>
        <w:spacing w:after="0" w:line="279" w:lineRule="auto"/>
        <w:rPr>
          <w:sz w:val="20"/>
          <w:szCs w:val="20"/>
          <w:color w:val="auto"/>
        </w:rPr>
      </w:pPr>
      <w:r>
        <w:rPr>
          <w:rFonts w:ascii="Times New Roman" w:cs="Times New Roman" w:eastAsia="Times New Roman" w:hAnsi="Times New Roman"/>
          <w:sz w:val="12"/>
          <w:szCs w:val="12"/>
          <w:color w:val="auto"/>
        </w:rPr>
        <w:t>In connection with the transactions contemplated by the Commitment Letter between us and FSF, we issued to FSF the Deposit Warrant to purchase up to an aggregate of 3,250,000 shares of Common Stock.</w:t>
      </w:r>
    </w:p>
    <w:p>
      <w:pPr>
        <w:spacing w:after="0" w:line="111"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Deposit Warrant is fully exercisable and expires on June 18, 2029, the fifth anniversary of the date of issuance. The exercise price of the Deposit Warrant is $1.20 per share, subject to adjustment as provided therein. The exercise price and number of shares of Common Stock issuable upon the exercise of the Deposit Warrant are subject to adjustment in the event of any stock dividend, stock split, recapitalization or similar transaction, as described in the Deposit Warrant; provided that there shall not be any adjustment to the exercise price of the Deposit Warrant in the event we combine (by combination, reverse stock split or otherwise) the Common Stock into a smaller number of shares.</w:t>
      </w:r>
    </w:p>
    <w:p>
      <w:pPr>
        <w:spacing w:after="0" w:line="125"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This table is prepared based on information supplied to us by the Selling Securityholder, and reflects holdings as of March 31, 2025. The number of shares in the column titled “Maximum Number of Shares of Common Stock Being Offered” represents all of the shares of Common Stock being offered for resale by the Selling Securityholder under this prospectus. The Selling Securityholder may sell some, all, or none of the shares being offered for resale in this offering. We do not know how long the Selling Securityholder will hold the shares before selling them, and we are not aware of any existing arrangements between the Selling Securityholder and any other stockholder, broker, dealer, underwriter, or agent relating to the sale or distribution of the shares of our Common Stock being offered for resale by this prospectus.</w:t>
      </w:r>
    </w:p>
    <w:p>
      <w:pPr>
        <w:spacing w:after="0" w:line="125" w:lineRule="exact"/>
        <w:rPr>
          <w:sz w:val="20"/>
          <w:szCs w:val="20"/>
          <w:color w:val="auto"/>
        </w:rPr>
      </w:pPr>
    </w:p>
    <w:p>
      <w:pPr>
        <w:jc w:val="both"/>
        <w:ind w:left="1980" w:right="1019" w:firstLine="294"/>
        <w:spacing w:after="0" w:line="256" w:lineRule="auto"/>
        <w:rPr>
          <w:sz w:val="20"/>
          <w:szCs w:val="20"/>
          <w:color w:val="auto"/>
        </w:rPr>
      </w:pPr>
      <w:r>
        <w:rPr>
          <w:rFonts w:ascii="Times New Roman" w:cs="Times New Roman" w:eastAsia="Times New Roman" w:hAnsi="Times New Roman"/>
          <w:sz w:val="12"/>
          <w:szCs w:val="12"/>
          <w:color w:val="auto"/>
        </w:rPr>
        <w:t>Beneficial ownership is determined in accordance with Rule 13d-3(d) promulgated by the SEC under the Exchange Act, and includes shares of our Common Stock with respect to which the Selling Securityholder has sole or shared voting and investment power. The percentage of shares of our Common Stock beneficially owned by the Selling Securityholder prior to the offering shown in the table below is based on an aggregate of</w:t>
      </w:r>
    </w:p>
    <w:p>
      <w:pPr>
        <w:spacing w:after="0" w:line="1"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6,951,671 shares of our Common Stock outstanding on March 31, 2025. The following table assumes that the Selling Securityholder will sell all of the Resale Shares listed in this prospectus.</w:t>
      </w:r>
    </w:p>
    <w:p>
      <w:pPr>
        <w:spacing w:after="0" w:line="122" w:lineRule="exact"/>
        <w:rPr>
          <w:sz w:val="20"/>
          <w:szCs w:val="20"/>
          <w:color w:val="auto"/>
        </w:rPr>
      </w:pPr>
    </w:p>
    <w:p>
      <w:pPr>
        <w:jc w:val="both"/>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Except as indicated by the footnotes below, we believe, based on the information furnished to us, that the Selling Securityholder has sole voting and investment power with respect to all shares of Common Stock that such Selling Securityholder beneficially owns, subject to applicable community property laws. Except as otherwise described below, based on the information provided to us by the Selling Securityholder, the Selling Securityholder is not a broker-dealer or an affiliates of broker-dealers.</w:t>
      </w:r>
    </w:p>
    <w:p>
      <w:pPr>
        <w:spacing w:after="0" w:line="11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2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Shares of Common</w:t>
            </w:r>
          </w:p>
        </w:tc>
        <w:tc>
          <w:tcPr>
            <w:tcW w:w="0" w:type="dxa"/>
            <w:vAlign w:val="bottom"/>
          </w:tcPr>
          <w:p>
            <w:pPr>
              <w:spacing w:after="0"/>
              <w:rPr>
                <w:sz w:val="1"/>
                <w:szCs w:val="1"/>
                <w:color w:val="auto"/>
              </w:rPr>
            </w:pPr>
          </w:p>
        </w:tc>
      </w:tr>
      <w:tr>
        <w:trPr>
          <w:trHeight w:val="106"/>
        </w:trPr>
        <w:tc>
          <w:tcPr>
            <w:tcW w:w="12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42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7"/>
              </w:rPr>
              <w:t>Number of Shares of</w:t>
            </w:r>
          </w:p>
        </w:tc>
        <w:tc>
          <w:tcPr>
            <w:tcW w:w="78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4"/>
              </w:rPr>
              <w:t>Maximum</w:t>
            </w:r>
          </w:p>
        </w:tc>
        <w:tc>
          <w:tcPr>
            <w:tcW w:w="720" w:type="dxa"/>
            <w:vAlign w:val="bottom"/>
            <w:gridSpan w:val="2"/>
          </w:tcPr>
          <w:p>
            <w:pPr>
              <w:jc w:val="center"/>
              <w:ind w:left="271"/>
              <w:spacing w:after="0" w:line="107" w:lineRule="exact"/>
              <w:rPr>
                <w:sz w:val="20"/>
                <w:szCs w:val="20"/>
                <w:color w:val="auto"/>
              </w:rPr>
            </w:pPr>
            <w:r>
              <w:rPr>
                <w:rFonts w:ascii="Times New Roman" w:cs="Times New Roman" w:eastAsia="Times New Roman" w:hAnsi="Times New Roman"/>
                <w:sz w:val="10"/>
                <w:szCs w:val="10"/>
                <w:b w:val="1"/>
                <w:bCs w:val="1"/>
                <w:color w:val="auto"/>
              </w:rPr>
              <w:t>Stock</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108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Beneficially Owned</w:t>
            </w: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720" w:type="dxa"/>
            <w:vAlign w:val="bottom"/>
            <w:gridSpan w:val="2"/>
          </w:tcPr>
          <w:p>
            <w:pPr>
              <w:jc w:val="center"/>
              <w:ind w:left="251"/>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of</w:t>
            </w:r>
          </w:p>
        </w:tc>
        <w:tc>
          <w:tcPr>
            <w:tcW w:w="108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After the Offered</w:t>
            </w:r>
          </w:p>
        </w:tc>
        <w:tc>
          <w:tcPr>
            <w:tcW w:w="0" w:type="dxa"/>
            <w:vAlign w:val="bottom"/>
          </w:tcPr>
          <w:p>
            <w:pPr>
              <w:spacing w:after="0"/>
              <w:rPr>
                <w:sz w:val="1"/>
                <w:szCs w:val="1"/>
                <w:color w:val="auto"/>
              </w:rPr>
            </w:pPr>
          </w:p>
        </w:tc>
      </w:tr>
      <w:tr>
        <w:trPr>
          <w:trHeight w:val="99"/>
        </w:trPr>
        <w:tc>
          <w:tcPr>
            <w:tcW w:w="12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20" w:type="dxa"/>
            <w:vAlign w:val="bottom"/>
            <w:gridSpan w:val="4"/>
          </w:tcPr>
          <w:p>
            <w:pPr>
              <w:jc w:val="center"/>
              <w:ind w:right="400"/>
              <w:spacing w:after="0" w:line="99" w:lineRule="exact"/>
              <w:rPr>
                <w:sz w:val="20"/>
                <w:szCs w:val="20"/>
                <w:color w:val="auto"/>
              </w:rPr>
            </w:pPr>
            <w:r>
              <w:rPr>
                <w:rFonts w:ascii="Times New Roman" w:cs="Times New Roman" w:eastAsia="Times New Roman" w:hAnsi="Times New Roman"/>
                <w:sz w:val="10"/>
                <w:szCs w:val="10"/>
                <w:b w:val="1"/>
                <w:bCs w:val="1"/>
                <w:color w:val="auto"/>
                <w:w w:val="96"/>
              </w:rPr>
              <w:t>Stock Beneficially</w:t>
            </w:r>
          </w:p>
        </w:tc>
        <w:tc>
          <w:tcPr>
            <w:tcW w:w="78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08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of Common</w:t>
            </w:r>
          </w:p>
        </w:tc>
        <w:tc>
          <w:tcPr>
            <w:tcW w:w="0" w:type="dxa"/>
            <w:vAlign w:val="bottom"/>
          </w:tcPr>
          <w:p>
            <w:pPr>
              <w:spacing w:after="0"/>
              <w:rPr>
                <w:sz w:val="1"/>
                <w:szCs w:val="1"/>
                <w:color w:val="auto"/>
              </w:rPr>
            </w:pPr>
          </w:p>
        </w:tc>
      </w:tr>
      <w:tr>
        <w:trPr>
          <w:trHeight w:val="108"/>
        </w:trPr>
        <w:tc>
          <w:tcPr>
            <w:tcW w:w="12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Name of Selling Securityholder</w:t>
            </w:r>
          </w:p>
        </w:tc>
        <w:tc>
          <w:tcPr>
            <w:tcW w:w="2800" w:type="dxa"/>
            <w:vAlign w:val="bottom"/>
          </w:tcPr>
          <w:p>
            <w:pPr>
              <w:spacing w:after="0"/>
              <w:rPr>
                <w:sz w:val="9"/>
                <w:szCs w:val="9"/>
                <w:color w:val="auto"/>
              </w:rPr>
            </w:pPr>
          </w:p>
        </w:tc>
        <w:tc>
          <w:tcPr>
            <w:tcW w:w="720" w:type="dxa"/>
            <w:vAlign w:val="bottom"/>
            <w:gridSpan w:val="2"/>
          </w:tcPr>
          <w:p>
            <w:pPr>
              <w:jc w:val="center"/>
              <w:ind w:left="251"/>
              <w:spacing w:after="0" w:line="108"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Stock Being</w:t>
            </w:r>
          </w:p>
        </w:tc>
        <w:tc>
          <w:tcPr>
            <w:tcW w:w="1080" w:type="dxa"/>
            <w:vAlign w:val="bottom"/>
            <w:gridSpan w:val="3"/>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Stock Are Sold</w:t>
            </w:r>
          </w:p>
        </w:tc>
        <w:tc>
          <w:tcPr>
            <w:tcW w:w="0" w:type="dxa"/>
            <w:vAlign w:val="bottom"/>
          </w:tcPr>
          <w:p>
            <w:pPr>
              <w:spacing w:after="0"/>
              <w:rPr>
                <w:sz w:val="1"/>
                <w:szCs w:val="1"/>
                <w:color w:val="auto"/>
              </w:rPr>
            </w:pPr>
          </w:p>
        </w:tc>
      </w:tr>
      <w:tr>
        <w:trPr>
          <w:trHeight w:val="84"/>
        </w:trPr>
        <w:tc>
          <w:tcPr>
            <w:tcW w:w="1260" w:type="dxa"/>
            <w:vAlign w:val="bottom"/>
            <w:tcBorders>
              <w:bottom w:val="single" w:sz="8" w:color="auto"/>
            </w:tcBorders>
            <w:vMerge w:val="continue"/>
          </w:tcPr>
          <w:p>
            <w:pPr>
              <w:spacing w:after="0"/>
              <w:rPr>
                <w:sz w:val="6"/>
                <w:szCs w:val="6"/>
                <w:color w:val="auto"/>
              </w:rPr>
            </w:pPr>
          </w:p>
        </w:tc>
        <w:tc>
          <w:tcPr>
            <w:tcW w:w="2800" w:type="dxa"/>
            <w:vAlign w:val="bottom"/>
          </w:tcPr>
          <w:p>
            <w:pPr>
              <w:spacing w:after="0"/>
              <w:rPr>
                <w:sz w:val="6"/>
                <w:szCs w:val="6"/>
                <w:color w:val="auto"/>
              </w:rPr>
            </w:pPr>
          </w:p>
        </w:tc>
        <w:tc>
          <w:tcPr>
            <w:tcW w:w="720" w:type="dxa"/>
            <w:vAlign w:val="bottom"/>
            <w:tcBorders>
              <w:top w:val="single" w:sz="8" w:color="auto"/>
            </w:tcBorders>
            <w:gridSpan w:val="2"/>
          </w:tcPr>
          <w:p>
            <w:pPr>
              <w:jc w:val="right"/>
              <w:ind w:right="300"/>
              <w:spacing w:after="0" w:line="79" w:lineRule="exact"/>
              <w:rPr>
                <w:sz w:val="20"/>
                <w:szCs w:val="20"/>
                <w:color w:val="auto"/>
              </w:rPr>
            </w:pPr>
            <w:r>
              <w:rPr>
                <w:rFonts w:ascii="Times New Roman" w:cs="Times New Roman" w:eastAsia="Times New Roman" w:hAnsi="Times New Roman"/>
                <w:sz w:val="8"/>
                <w:szCs w:val="8"/>
                <w:b w:val="1"/>
                <w:bCs w:val="1"/>
                <w:color w:val="auto"/>
              </w:rPr>
              <w:t>Number</w:t>
            </w:r>
            <w:r>
              <w:rPr>
                <w:rFonts w:ascii="Times New Roman" w:cs="Times New Roman" w:eastAsia="Times New Roman" w:hAnsi="Times New Roman"/>
                <w:sz w:val="6"/>
                <w:szCs w:val="6"/>
                <w:b w:val="1"/>
                <w:bCs w:val="1"/>
                <w:color w:val="auto"/>
              </w:rPr>
              <w:t>(1)</w:t>
            </w:r>
          </w:p>
        </w:tc>
        <w:tc>
          <w:tcPr>
            <w:tcW w:w="320" w:type="dxa"/>
            <w:vAlign w:val="bottom"/>
            <w:tcBorders>
              <w:top w:val="single" w:sz="8" w:color="auto"/>
            </w:tcBorders>
          </w:tcPr>
          <w:p>
            <w:pPr>
              <w:spacing w:after="0" w:line="79" w:lineRule="exact"/>
              <w:rPr>
                <w:sz w:val="20"/>
                <w:szCs w:val="20"/>
                <w:color w:val="auto"/>
              </w:rPr>
            </w:pPr>
            <w:r>
              <w:rPr>
                <w:rFonts w:ascii="Times New Roman" w:cs="Times New Roman" w:eastAsia="Times New Roman" w:hAnsi="Times New Roman"/>
                <w:sz w:val="8"/>
                <w:szCs w:val="8"/>
                <w:b w:val="1"/>
                <w:bCs w:val="1"/>
                <w:color w:val="auto"/>
              </w:rPr>
              <w:t>Percent</w:t>
            </w:r>
          </w:p>
        </w:tc>
        <w:tc>
          <w:tcPr>
            <w:tcW w:w="380" w:type="dxa"/>
            <w:vAlign w:val="bottom"/>
          </w:tcPr>
          <w:p>
            <w:pPr>
              <w:spacing w:after="0"/>
              <w:rPr>
                <w:sz w:val="6"/>
                <w:szCs w:val="6"/>
                <w:color w:val="auto"/>
              </w:rPr>
            </w:pPr>
          </w:p>
        </w:tc>
        <w:tc>
          <w:tcPr>
            <w:tcW w:w="780" w:type="dxa"/>
            <w:vAlign w:val="bottom"/>
            <w:gridSpan w:val="2"/>
          </w:tcPr>
          <w:p>
            <w:pPr>
              <w:jc w:val="center"/>
              <w:ind w:right="280"/>
              <w:spacing w:after="0" w:line="79" w:lineRule="exact"/>
              <w:rPr>
                <w:sz w:val="20"/>
                <w:szCs w:val="20"/>
                <w:color w:val="auto"/>
              </w:rPr>
            </w:pPr>
            <w:r>
              <w:rPr>
                <w:rFonts w:ascii="Times New Roman" w:cs="Times New Roman" w:eastAsia="Times New Roman" w:hAnsi="Times New Roman"/>
                <w:sz w:val="8"/>
                <w:szCs w:val="8"/>
                <w:b w:val="1"/>
                <w:bCs w:val="1"/>
                <w:color w:val="auto"/>
              </w:rPr>
              <w:t>Offered</w:t>
            </w:r>
            <w:r>
              <w:rPr>
                <w:rFonts w:ascii="Times New Roman" w:cs="Times New Roman" w:eastAsia="Times New Roman" w:hAnsi="Times New Roman"/>
                <w:sz w:val="6"/>
                <w:szCs w:val="6"/>
                <w:b w:val="1"/>
                <w:bCs w:val="1"/>
                <w:color w:val="auto"/>
              </w:rPr>
              <w:t>(2)</w:t>
            </w:r>
          </w:p>
        </w:tc>
        <w:tc>
          <w:tcPr>
            <w:tcW w:w="720" w:type="dxa"/>
            <w:vAlign w:val="bottom"/>
            <w:tcBorders>
              <w:top w:val="single" w:sz="8" w:color="auto"/>
            </w:tcBorders>
            <w:gridSpan w:val="2"/>
          </w:tcPr>
          <w:p>
            <w:pPr>
              <w:spacing w:after="0" w:line="79" w:lineRule="exact"/>
              <w:rPr>
                <w:sz w:val="20"/>
                <w:szCs w:val="20"/>
                <w:color w:val="auto"/>
              </w:rPr>
            </w:pPr>
            <w:r>
              <w:rPr>
                <w:rFonts w:ascii="Times New Roman" w:cs="Times New Roman" w:eastAsia="Times New Roman" w:hAnsi="Times New Roman"/>
                <w:sz w:val="8"/>
                <w:szCs w:val="8"/>
                <w:b w:val="1"/>
                <w:bCs w:val="1"/>
                <w:color w:val="auto"/>
              </w:rPr>
              <w:t>Number</w:t>
            </w:r>
            <w:r>
              <w:rPr>
                <w:rFonts w:ascii="Times New Roman" w:cs="Times New Roman" w:eastAsia="Times New Roman" w:hAnsi="Times New Roman"/>
                <w:sz w:val="6"/>
                <w:szCs w:val="6"/>
                <w:b w:val="1"/>
                <w:bCs w:val="1"/>
                <w:color w:val="auto"/>
              </w:rPr>
              <w:t>(2)</w:t>
            </w:r>
          </w:p>
        </w:tc>
        <w:tc>
          <w:tcPr>
            <w:tcW w:w="36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Percent</w:t>
            </w:r>
          </w:p>
        </w:tc>
        <w:tc>
          <w:tcPr>
            <w:tcW w:w="0" w:type="dxa"/>
            <w:vAlign w:val="bottom"/>
          </w:tcPr>
          <w:p>
            <w:pPr>
              <w:spacing w:after="0"/>
              <w:rPr>
                <w:sz w:val="1"/>
                <w:szCs w:val="1"/>
                <w:color w:val="auto"/>
              </w:rPr>
            </w:pPr>
          </w:p>
        </w:tc>
      </w:tr>
      <w:tr>
        <w:trPr>
          <w:trHeight w:val="20"/>
        </w:trPr>
        <w:tc>
          <w:tcPr>
            <w:tcW w:w="1260" w:type="dxa"/>
            <w:vAlign w:val="bottom"/>
            <w:vMerge w:val="restart"/>
            <w:shd w:val="clear" w:color="auto" w:fill="CCEEFF"/>
          </w:tcPr>
          <w:p>
            <w:pPr>
              <w:spacing w:after="0" w:line="142" w:lineRule="exact"/>
              <w:rPr>
                <w:sz w:val="20"/>
                <w:szCs w:val="20"/>
                <w:color w:val="auto"/>
              </w:rPr>
            </w:pPr>
            <w:r>
              <w:rPr>
                <w:rFonts w:ascii="Times New Roman" w:cs="Times New Roman" w:eastAsia="Times New Roman" w:hAnsi="Times New Roman"/>
                <w:sz w:val="11"/>
                <w:szCs w:val="11"/>
                <w:color w:val="auto"/>
              </w:rPr>
              <w:t>FSF 33433 LLC</w:t>
            </w:r>
            <w:r>
              <w:rPr>
                <w:rFonts w:ascii="Times New Roman" w:cs="Times New Roman" w:eastAsia="Times New Roman" w:hAnsi="Times New Roman"/>
                <w:sz w:val="16"/>
                <w:szCs w:val="16"/>
                <w:color w:val="auto"/>
                <w:vertAlign w:val="superscript"/>
              </w:rPr>
              <w:t>(3)</w:t>
            </w:r>
          </w:p>
        </w:tc>
        <w:tc>
          <w:tcPr>
            <w:tcW w:w="28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260" w:type="dxa"/>
            <w:vAlign w:val="bottom"/>
            <w:vMerge w:val="continue"/>
            <w:shd w:val="clear" w:color="auto" w:fill="CCEEFF"/>
          </w:tcPr>
          <w:p>
            <w:pPr>
              <w:spacing w:after="0"/>
              <w:rPr>
                <w:sz w:val="10"/>
                <w:szCs w:val="10"/>
                <w:color w:val="auto"/>
              </w:rPr>
            </w:pPr>
          </w:p>
        </w:tc>
        <w:tc>
          <w:tcPr>
            <w:tcW w:w="2800" w:type="dxa"/>
            <w:vAlign w:val="bottom"/>
            <w:vMerge w:val="continue"/>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365,107</w:t>
            </w:r>
          </w:p>
        </w:tc>
        <w:tc>
          <w:tcPr>
            <w:tcW w:w="300" w:type="dxa"/>
            <w:vAlign w:val="bottom"/>
            <w:vMerge w:val="continue"/>
            <w:shd w:val="clear" w:color="auto" w:fill="CCEEFF"/>
          </w:tcPr>
          <w:p>
            <w:pPr>
              <w:spacing w:after="0"/>
              <w:rPr>
                <w:sz w:val="10"/>
                <w:szCs w:val="10"/>
                <w:color w:val="auto"/>
              </w:rPr>
            </w:pPr>
          </w:p>
        </w:tc>
        <w:tc>
          <w:tcPr>
            <w:tcW w:w="700" w:type="dxa"/>
            <w:vAlign w:val="bottom"/>
            <w:gridSpan w:val="2"/>
            <w:shd w:val="clear" w:color="auto" w:fill="CCEEFF"/>
          </w:tcPr>
          <w:p>
            <w:pPr>
              <w:jc w:val="right"/>
              <w:ind w:right="280"/>
              <w:spacing w:after="0" w:line="122" w:lineRule="exact"/>
              <w:rPr>
                <w:sz w:val="20"/>
                <w:szCs w:val="20"/>
                <w:color w:val="auto"/>
              </w:rPr>
            </w:pPr>
            <w:r>
              <w:rPr>
                <w:rFonts w:ascii="Times New Roman" w:cs="Times New Roman" w:eastAsia="Times New Roman" w:hAnsi="Times New Roman"/>
                <w:sz w:val="12"/>
                <w:szCs w:val="12"/>
                <w:color w:val="auto"/>
              </w:rPr>
              <w:t>4.99%</w:t>
            </w:r>
          </w:p>
        </w:tc>
        <w:tc>
          <w:tcPr>
            <w:tcW w:w="5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365,107</w:t>
            </w:r>
          </w:p>
        </w:tc>
        <w:tc>
          <w:tcPr>
            <w:tcW w:w="280" w:type="dxa"/>
            <w:vAlign w:val="bottom"/>
            <w:vMerge w:val="continue"/>
            <w:shd w:val="clear" w:color="auto" w:fill="CCEEFF"/>
          </w:tcPr>
          <w:p>
            <w:pPr>
              <w:spacing w:after="0"/>
              <w:rPr>
                <w:sz w:val="10"/>
                <w:szCs w:val="10"/>
                <w:color w:val="auto"/>
              </w:rPr>
            </w:pPr>
          </w:p>
        </w:tc>
        <w:tc>
          <w:tcPr>
            <w:tcW w:w="4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2"/>
                <w:szCs w:val="12"/>
                <w:color w:val="auto"/>
                <w:w w:val="88"/>
              </w:rPr>
              <w:t>— </w:t>
            </w:r>
          </w:p>
        </w:tc>
        <w:tc>
          <w:tcPr>
            <w:tcW w:w="280" w:type="dxa"/>
            <w:vAlign w:val="bottom"/>
            <w:vMerge w:val="continue"/>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5" w:lineRule="exact"/>
        <w:rPr>
          <w:sz w:val="20"/>
          <w:szCs w:val="20"/>
          <w:color w:val="auto"/>
        </w:rPr>
      </w:pPr>
    </w:p>
    <w:p>
      <w:pPr>
        <w:ind w:left="2260" w:hanging="288"/>
        <w:spacing w:after="0"/>
        <w:tabs>
          <w:tab w:leader="none" w:pos="2260"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w:t>
      </w:r>
    </w:p>
    <w:p>
      <w:pPr>
        <w:spacing w:after="0" w:line="17" w:lineRule="exact"/>
        <w:rPr>
          <w:sz w:val="20"/>
          <w:szCs w:val="20"/>
          <w:color w:val="auto"/>
        </w:rPr>
      </w:pPr>
    </w:p>
    <w:p>
      <w:pPr>
        <w:ind w:left="2260" w:right="1039" w:hanging="288"/>
        <w:spacing w:after="0" w:line="250" w:lineRule="auto"/>
        <w:tabs>
          <w:tab w:leader="none" w:pos="226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Beneficial ownership is determined in accordance with Rule 13d-3 under the Exchange Act. In computing the number of shares beneficially owned by a person and the percentage ownership of that person, shares of Common Stock subject to warrants, options and other convertible securities held by that person that are currently exercisable or exercisable (within 60 days of March 31, 2025) are deemed outstanding. Shares subject to warrants, options and other convertible securities, however, are not deemed outstanding for the purpose of computing the percentage ownership of any other person.</w:t>
      </w:r>
    </w:p>
    <w:p>
      <w:pPr>
        <w:spacing w:after="0" w:line="1" w:lineRule="exact"/>
        <w:rPr>
          <w:rFonts w:ascii="Times New Roman" w:cs="Times New Roman" w:eastAsia="Times New Roman" w:hAnsi="Times New Roman"/>
          <w:sz w:val="12"/>
          <w:szCs w:val="12"/>
          <w:color w:val="auto"/>
        </w:rPr>
      </w:pPr>
    </w:p>
    <w:p>
      <w:pPr>
        <w:jc w:val="both"/>
        <w:ind w:left="2260" w:right="879" w:hanging="288"/>
        <w:spacing w:after="0" w:line="255" w:lineRule="auto"/>
        <w:tabs>
          <w:tab w:leader="none" w:pos="226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Assumes that the Selling Securityholder disposes of all of the Resale Shares covered by this prospectus and does not acquire beneficial ownership of any additional shares. The registration of the Resale Shares does not necessarily mean that the Selling Securityholder will sell all or any portion of the Resale Shares covered by this prospectus.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256</w:t>
      </w:r>
    </w:p>
    <w:p>
      <w:pPr>
        <w:sectPr>
          <w:pgSz w:w="11900" w:h="16838" w:orient="portrait"/>
          <w:cols w:equalWidth="0" w:num="1">
            <w:col w:w="10159"/>
          </w:cols>
          <w:pgMar w:left="300" w:top="368" w:right="1440"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260" w:right="939" w:hanging="288"/>
        <w:spacing w:after="0" w:line="256" w:lineRule="auto"/>
        <w:tabs>
          <w:tab w:leader="none" w:pos="226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365,107 shares underlying certain warrants to purchase Common Stock, with an exercise price of $1.20 per share, held by the Selling Securityholder exercisable within 60 days of March 31, 2025. Such warrants held by the Selling Securityholder are subject to a 4.99% beneficial ownership limitation and the number of shares of Common Stock set forth in the table above give effect to such limitation. Zalman Schapiro and Abraham Goldberger share voting and investment control with respect to shares held by FSF. The address of FSF is 1811 Silverside Road, Wilmington, DE 19810. IVI 66766 LLC owns 5% of the capital stock of FSF. IVI disclaims beneficial ownership of these shares, except to the extent of its pecuniary interest in such shares.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257</w:t>
      </w:r>
    </w:p>
    <w:p>
      <w:pPr>
        <w:sectPr>
          <w:pgSz w:w="11900" w:h="16838" w:orient="portrait"/>
          <w:cols w:equalWidth="0" w:num="1">
            <w:col w:w="10159"/>
          </w:cols>
          <w:pgMar w:left="300" w:top="368" w:right="1440"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PLAN OF DISTRIBUTION</w:t>
      </w:r>
    </w:p>
    <w:p>
      <w:pPr>
        <w:spacing w:after="0" w:line="154" w:lineRule="exact"/>
        <w:rPr>
          <w:sz w:val="20"/>
          <w:szCs w:val="20"/>
          <w:color w:val="auto"/>
        </w:rPr>
      </w:pPr>
    </w:p>
    <w:p>
      <w:pPr>
        <w:jc w:val="both"/>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We are registering the Resale Shares to permit the resale of the Resale Shares by the Selling Securityholder from time to time after the date of this prospectus. We will not receive any of the proceeds from the sale by the Selling Securityholder of the Resale Shares. We will bear all fees and expenses incident to our obligation to register the Resale Shares.</w:t>
      </w:r>
    </w:p>
    <w:p>
      <w:pPr>
        <w:spacing w:after="0" w:line="119"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Selling Securityholder may sell all or a portion of the shares of Common Stock beneficially owned by it and offered hereby from time to time directly or through one or more underwriters, broker-dealers or agents. If the shares of Common Stock are sold through underwriters or broker-dealers, the Selling Securityholder will be responsible for underwriting fees, discounts or commissions or agent’s commissions. The shares of Common Stock may be sold in one or more transactions at fixed prices, at prevailing market prices at the time of the sale, at varying prices determined at the time of sale, or at negotiated prices. The Selling Securityholder will act independently of us in making decisions with respect to the timing, manner and size of each sale. These sales may be effected in transactions, which may involve cross or block transactions:</w:t>
      </w:r>
    </w:p>
    <w:p>
      <w:pPr>
        <w:spacing w:after="0" w:line="62" w:lineRule="exact"/>
        <w:rPr>
          <w:sz w:val="20"/>
          <w:szCs w:val="20"/>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any national securities exchange or quotation service on which the securities may be listed or quoted at the time of sale;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over-the-counter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transactions otherwise than on these exchanges or systems or in the over-the-counter market;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the writing of options, whether such options are listed on an options exchange or otherwise;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ordinary brokerage transactions and transactions in which the broker-dealer solicits purchasers;</w:t>
      </w:r>
    </w:p>
    <w:p>
      <w:pPr>
        <w:spacing w:after="0" w:line="87" w:lineRule="exact"/>
        <w:rPr>
          <w:rFonts w:ascii="Times New Roman" w:cs="Times New Roman" w:eastAsia="Times New Roman" w:hAnsi="Times New Roman"/>
          <w:sz w:val="12"/>
          <w:szCs w:val="12"/>
          <w:color w:val="auto"/>
        </w:rPr>
      </w:pPr>
    </w:p>
    <w:p>
      <w:pPr>
        <w:ind w:left="2620" w:right="1159" w:hanging="288"/>
        <w:spacing w:after="0" w:line="279" w:lineRule="auto"/>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block trades in which the broker-dealer will attempt to sell the shares as agent but may position and resell a portion of the block as principal to facilitate the transaction;</w:t>
      </w:r>
    </w:p>
    <w:p>
      <w:pPr>
        <w:spacing w:after="0" w:line="48"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purchases by a broker-dealer as principal and resale by the broker-dealer for its account;</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 exchange distribution in accordance with the rules of the applicable exchange;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privately negotiated transactions;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short sales;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the distribution of the Common Stock by any Selling Securityholder to its partners, members or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one or more underwritten offerings on a firm commitment or best efforts basis;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sales pursuant to Rule 144;</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whereby broker-dealers may agree with the Selling Securityholder to sell a specified number of such shares at a stipulated price per share;</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combination of any such methods of sale; and</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method permitted pursuant to applicable law.</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If the Selling Securityholder effects such transactions by selling shares of Common Stock to or through underwriters, broker-dealers or agents, such underwriters, broker-dealers or agents may receive commissions in the form of discounts, concessions or commissions from the Selling Securityholder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 may enter into hedging transactions with broker-dealers, which may in turn engage in short sales of the shares of Common Stock in the course of hedging in positions they assume. The Selling Securityholder may also sell shares of Common Stock short and deliver shares of Common</w:t>
      </w:r>
    </w:p>
    <w:p>
      <w:pPr>
        <w:spacing w:after="0" w:line="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258</w:t>
      </w:r>
    </w:p>
    <w:p>
      <w:pPr>
        <w:sectPr>
          <w:pgSz w:w="11900" w:h="16838" w:orient="portrait"/>
          <w:cols w:equalWidth="0" w:num="1">
            <w:col w:w="10159"/>
          </w:cols>
          <w:pgMar w:left="300" w:top="368"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499"/>
        <w:spacing w:after="0" w:line="279" w:lineRule="auto"/>
        <w:rPr>
          <w:sz w:val="20"/>
          <w:szCs w:val="20"/>
          <w:color w:val="auto"/>
        </w:rPr>
      </w:pPr>
      <w:r>
        <w:rPr>
          <w:rFonts w:ascii="Times New Roman" w:cs="Times New Roman" w:eastAsia="Times New Roman" w:hAnsi="Times New Roman"/>
          <w:sz w:val="12"/>
          <w:szCs w:val="12"/>
          <w:color w:val="auto"/>
        </w:rPr>
        <w:t>Stock covered by this prospectus to close out short positions and to return borrowed shares in connection with such short sales. The Selling Securityholder may also loan or pledge shares of Common Stock to broker-dealers that in turn may sell such shares.</w:t>
      </w:r>
    </w:p>
    <w:p>
      <w:pPr>
        <w:spacing w:after="0" w:line="111"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Selling Securityholder may pledge or grant a security interest in some or all of the shares of Common Stock owned by it and, if it defaults in the performance of its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Securityholder to include the pledgee, transferee or other successors in interest as a selling securityholder under this prospectus. The Selling Securityholder also may transfer and donate the shares of Common Stock in other circumstances in which case the transferees, donees, pledgees or other successors in interest will be the selling beneficial owners for purposes of this prospectus.</w:t>
      </w:r>
    </w:p>
    <w:p>
      <w:pPr>
        <w:spacing w:after="0" w:line="125"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The Selling Securityholder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 and any discounts, commissions or concessions allowed or reallowed or paid to broker-dealers. The Selling Securityholder may indemnify any broker-dealer that participates in transactions involving the sale of the shares of Common Stock against certain liabilities, including liabilities arising under the Securities Act.</w:t>
      </w:r>
    </w:p>
    <w:p>
      <w:pPr>
        <w:spacing w:after="0" w:line="128" w:lineRule="exact"/>
        <w:rPr>
          <w:sz w:val="20"/>
          <w:szCs w:val="20"/>
          <w:color w:val="auto"/>
        </w:rPr>
      </w:pPr>
    </w:p>
    <w:p>
      <w:pPr>
        <w:jc w:val="both"/>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19" w:lineRule="exact"/>
        <w:rPr>
          <w:sz w:val="20"/>
          <w:szCs w:val="20"/>
          <w:color w:val="auto"/>
        </w:rPr>
      </w:pPr>
    </w:p>
    <w:p>
      <w:pPr>
        <w:ind w:left="1980" w:right="879" w:firstLine="294"/>
        <w:spacing w:after="0" w:line="291" w:lineRule="auto"/>
        <w:rPr>
          <w:sz w:val="20"/>
          <w:szCs w:val="20"/>
          <w:color w:val="auto"/>
        </w:rPr>
      </w:pPr>
      <w:r>
        <w:rPr>
          <w:rFonts w:ascii="Times New Roman" w:cs="Times New Roman" w:eastAsia="Times New Roman" w:hAnsi="Times New Roman"/>
          <w:sz w:val="11"/>
          <w:szCs w:val="11"/>
          <w:color w:val="auto"/>
        </w:rPr>
        <w:t>The aggregate proceeds to the Selling Securityholder from the sale of the Common Stock offered will be the purchase price of the Common Stock less discounts or commissions, if any. The Selling Securityholder reserves the right to accept and, together with its agents from time to time, to reject, in whole or in part, any proposed purchase of Common Stock to be made directly or through agents. There can be no assurance that the Selling Securityholder will sell any or all of the shares of Common Stock registered pursuant to the registration statement of which this prospectus forms a part.</w:t>
      </w:r>
    </w:p>
    <w:p>
      <w:pPr>
        <w:spacing w:after="0" w:line="107"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Selling Securityholder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25" w:lineRule="exact"/>
        <w:rPr>
          <w:sz w:val="20"/>
          <w:szCs w:val="20"/>
          <w:color w:val="auto"/>
        </w:rPr>
      </w:pPr>
    </w:p>
    <w:p>
      <w:pPr>
        <w:ind w:left="1980" w:right="859" w:firstLine="294"/>
        <w:spacing w:after="0" w:line="259" w:lineRule="auto"/>
        <w:rPr>
          <w:sz w:val="20"/>
          <w:szCs w:val="20"/>
          <w:color w:val="auto"/>
        </w:rPr>
      </w:pPr>
      <w:r>
        <w:rPr>
          <w:rFonts w:ascii="Times New Roman" w:cs="Times New Roman" w:eastAsia="Times New Roman" w:hAnsi="Times New Roman"/>
          <w:sz w:val="12"/>
          <w:szCs w:val="12"/>
          <w:color w:val="auto"/>
        </w:rPr>
        <w:t>We will pay all expenses of the registration of the shares of Common Stock pursuant to the Deposit Warrants, estimated to be $125,971.21 in total, including, all registration fee, legal fees and expenses, accounting fees and expenses, printing, transfer agent fees and miscellaneous</w:t>
      </w:r>
    </w:p>
    <w:p>
      <w:pPr>
        <w:spacing w:after="0" w:line="1"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 xml:space="preserve">expenses;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the Selling Securityholder will pay all discounts, selling commissions and stock transfer taxes applicable to the sale of its Resale Shares and fees and disbursements of financial advisors for the Selling Securityholder and all similar commissions relating to the Selling Securityholder’s disposition of the Resale Shares. We will indemnify the Selling Securityholder against certain liabilities, including certain liabilities arising under the Securities Act or</w:t>
      </w:r>
    </w:p>
    <w:p>
      <w:pPr>
        <w:spacing w:after="0" w:line="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259</w:t>
      </w:r>
    </w:p>
    <w:p>
      <w:pPr>
        <w:sectPr>
          <w:pgSz w:w="11900" w:h="16838" w:orient="portrait"/>
          <w:cols w:equalWidth="0" w:num="1">
            <w:col w:w="10159"/>
          </w:cols>
          <w:pgMar w:left="300" w:top="368" w:right="1440"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79"/>
        <w:spacing w:after="0" w:line="291" w:lineRule="auto"/>
        <w:rPr>
          <w:sz w:val="20"/>
          <w:szCs w:val="20"/>
          <w:color w:val="auto"/>
        </w:rPr>
      </w:pPr>
      <w:r>
        <w:rPr>
          <w:rFonts w:ascii="Times New Roman" w:cs="Times New Roman" w:eastAsia="Times New Roman" w:hAnsi="Times New Roman"/>
          <w:sz w:val="11"/>
          <w:szCs w:val="11"/>
          <w:color w:val="auto"/>
        </w:rPr>
        <w:t>the Exchange Act, insofar as such liabilities arise out of or are based upon any untrue or alleged untrue statement of a material fact contained in this prospectus or any omission or alleged omission of a material fact required to be stated therein or necessary to make the statements therein not misleading. We may be indemnified by the Selling Securityholder against certain liabilities, including certain liabilities under the Securities Act or the Exchange Act, that may arise from any written information provided or approved by the Selling Securityholder expressly for use in this prospectus.</w:t>
      </w:r>
    </w:p>
    <w:p>
      <w:pPr>
        <w:spacing w:after="0" w:line="107"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2"/>
          <w:szCs w:val="12"/>
          <w:color w:val="auto"/>
        </w:rPr>
        <w:t>Once sold under the registration statement, of which this prospectus forms a part, the shares of Common Stock will be freely tradable in the hands of persons other than our affiliates.</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260</w:t>
      </w:r>
    </w:p>
    <w:p>
      <w:pPr>
        <w:sectPr>
          <w:pgSz w:w="11900" w:h="16838" w:orient="portrait"/>
          <w:cols w:equalWidth="0" w:num="1">
            <w:col w:w="10159"/>
          </w:cols>
          <w:pgMar w:left="300" w:top="368" w:right="1440"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b w:val="1"/>
          <w:bCs w:val="1"/>
          <w:color w:val="auto"/>
        </w:rPr>
        <w:t>DESCRIPTION OF OUR SECURITIES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82" w:lineRule="exact"/>
        <w:rPr>
          <w:sz w:val="20"/>
          <w:szCs w:val="20"/>
          <w:color w:val="auto"/>
        </w:rPr>
      </w:pPr>
    </w:p>
    <w:p>
      <w:pPr>
        <w:ind w:left="1980" w:right="839" w:firstLine="294"/>
        <w:spacing w:after="0" w:line="257" w:lineRule="auto"/>
        <w:rPr>
          <w:sz w:val="20"/>
          <w:szCs w:val="20"/>
          <w:color w:val="auto"/>
        </w:rPr>
      </w:pPr>
      <w:r>
        <w:rPr>
          <w:rFonts w:ascii="Times New Roman" w:cs="Times New Roman" w:eastAsia="Times New Roman" w:hAnsi="Times New Roman"/>
          <w:sz w:val="12"/>
          <w:szCs w:val="12"/>
          <w:color w:val="auto"/>
        </w:rPr>
        <w:t>The following description summarizes the most important terms of our securities. The following summary does not purport to be complete and is subject to the Certificate of Incorporation, the Bylaws, the Series A Certificate of Designations, the Series 1 Certificate of Designation, and the provisions of applicable law. Copies of the Certificate of Incorporation and the Bylaws are attached as exhibits to the registration statement of which this prospectus forms a part. The stockholders are encouraged to read the applicable provisions of the DGCL, the Certificate of Incorporation and the Bylaws in their entirety for a complete description of the rights and preferences of our securities.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Authorized and Outstanding Stock</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Certificate of Incorporation authorizes the issuance of (i) 740,000,000 shares of Common Stock and (ii) 45,000,000 shares of Preferred Stock, of which (A) 29,057,097 shares have been designated as Series A Preferred Stock and (B) 5,000,000 shares have been designated as Series 1 Mandatory Exchangeable Preferred Stock. As of March 31, 2025, there are 6,951,671 shares of Common Stock and 29,057,097 shares of Series A Preferred Stock issued and outstanding and no shares of Series 1 Mandatory Exchangeable Preferred Stock issued and outstanding.</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Certificate of Incorporation provides the following with respect to the rights, powers, preferences and privileges of the Common Stock.</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holders of Common Stock are entitled to receive ratably those dividends, if any, that may be declared from time to time by the Board upon the shares of our capital stock, which dividends may be paid either in cash, in property or in shares of our capital stock, subject to preferences that may be applicable to preferred stock, if any, then outstanding. Subject to applicable law and the Certificate of Incorporation, our Board will have full power to determine whether any dividends shall be declared and paid to stockholders.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82"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Each holder of our Common Stock will be entitled to one vote for each share of our Common Stock held of record by such holder on all matters on which stockholders generally are entitled to vote, except for any amendment to the Certificate of Incorporation that relates solely to the terms of one or more outstanding classes or series of our Preferred Stock if the holders of such affected classes or series are entitled, either separately or together with the holders of one or more other such classes or series, to vote thereon pursuant to the Certificate of Incorporation or the DGCL. Any action or matter presented to the stockholders at a duly called or convened meeting, at which a quorum is present, is decided by the affirmative vote of the holders of a majority of the votes cast affirmatively or negatively (excluding abstentions) at the meeting by the holders entitled to vote thereon, except that our directors will be elected by a plurality of the votes cast.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Right to Receive Liquidation Distributions</w:t>
      </w:r>
    </w:p>
    <w:p>
      <w:pPr>
        <w:spacing w:after="0" w:line="82" w:lineRule="exact"/>
        <w:rPr>
          <w:sz w:val="20"/>
          <w:szCs w:val="20"/>
          <w:color w:val="auto"/>
        </w:rPr>
      </w:pPr>
    </w:p>
    <w:p>
      <w:pPr>
        <w:ind w:left="1980" w:right="999" w:firstLine="294"/>
        <w:spacing w:after="0" w:line="279" w:lineRule="auto"/>
        <w:rPr>
          <w:sz w:val="20"/>
          <w:szCs w:val="20"/>
          <w:color w:val="auto"/>
        </w:rPr>
      </w:pPr>
      <w:r>
        <w:rPr>
          <w:rFonts w:ascii="Times New Roman" w:cs="Times New Roman" w:eastAsia="Times New Roman" w:hAnsi="Times New Roman"/>
          <w:sz w:val="12"/>
          <w:szCs w:val="12"/>
          <w:color w:val="auto"/>
        </w:rPr>
        <w:t>In the event of a liquidation, dissolution or winding up of the Company, the holders of our Common Stock will be entitled to share ratably in all assets remaining after payment of liabilities, subject to prior distribution rights of our Preferred Stock, if any, then outstanding.</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 Preemptive or Similar Rights</w:t>
      </w:r>
    </w:p>
    <w:p>
      <w:pPr>
        <w:spacing w:after="0" w:line="82" w:lineRule="exact"/>
        <w:rPr>
          <w:sz w:val="20"/>
          <w:szCs w:val="20"/>
          <w:color w:val="auto"/>
        </w:rPr>
      </w:pPr>
    </w:p>
    <w:p>
      <w:pPr>
        <w:ind w:left="1980" w:right="1099" w:firstLine="294"/>
        <w:spacing w:after="0" w:line="279" w:lineRule="auto"/>
        <w:rPr>
          <w:sz w:val="20"/>
          <w:szCs w:val="20"/>
          <w:color w:val="auto"/>
        </w:rPr>
      </w:pPr>
      <w:r>
        <w:rPr>
          <w:rFonts w:ascii="Times New Roman" w:cs="Times New Roman" w:eastAsia="Times New Roman" w:hAnsi="Times New Roman"/>
          <w:sz w:val="12"/>
          <w:szCs w:val="12"/>
          <w:color w:val="auto"/>
        </w:rPr>
        <w:t>Our Common Stock have no preemptive or conversion rights or other subscription rights. There are no redemption or sinking fund provisions applicable to our Common Stock.</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261</w:t>
      </w:r>
    </w:p>
    <w:p>
      <w:pPr>
        <w:sectPr>
          <w:pgSz w:w="11900" w:h="16838" w:orient="portrait"/>
          <w:cols w:equalWidth="0" w:num="1">
            <w:col w:w="10159"/>
          </w:cols>
          <w:pgMar w:left="300" w:top="368" w:right="1440"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Fully Paid and Non-Assessable</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outstanding shares of our Common Stock are fully paid and non-assessable.</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Our Preferred Stock</w:t>
      </w:r>
    </w:p>
    <w:p>
      <w:pPr>
        <w:spacing w:after="0" w:line="82" w:lineRule="exact"/>
        <w:rPr>
          <w:sz w:val="20"/>
          <w:szCs w:val="20"/>
          <w:color w:val="auto"/>
        </w:rPr>
      </w:pPr>
    </w:p>
    <w:p>
      <w:pPr>
        <w:ind w:left="1980" w:right="979" w:firstLine="294"/>
        <w:spacing w:after="0" w:line="255" w:lineRule="auto"/>
        <w:rPr>
          <w:sz w:val="20"/>
          <w:szCs w:val="20"/>
          <w:color w:val="auto"/>
        </w:rPr>
      </w:pPr>
      <w:r>
        <w:rPr>
          <w:rFonts w:ascii="Times New Roman" w:cs="Times New Roman" w:eastAsia="Times New Roman" w:hAnsi="Times New Roman"/>
          <w:sz w:val="12"/>
          <w:szCs w:val="12"/>
          <w:color w:val="auto"/>
        </w:rPr>
        <w:t>The Certificate of Incorporation authorizes our Board, subject to limitations prescribed by Delaware law, to issue up to 45,000,000 shares of preferred stock in one or more series, to determine and fix from time to time the number of shares to be included in each such series and to fix the designations, powers, rights and preferences of the shares of each such series, and the qualifications, limitations and restrictions thereof, including voting rights (if any), dividend rights, dissolution rights, conversion rights, exchange rights and redemption rights, in each case without further vote or action by our stockholders. The number of authorized shares of our Common Stock and our Preferred Stock may be increased or decreased (but not below the number of the shares thereof then outstanding) by the affirmative vote of the holders of a majority in voting power of our outstanding stock entitled to vote thereon.</w:t>
      </w:r>
    </w:p>
    <w:p>
      <w:pPr>
        <w:spacing w:after="0" w:line="126" w:lineRule="exact"/>
        <w:rPr>
          <w:sz w:val="20"/>
          <w:szCs w:val="20"/>
          <w:color w:val="auto"/>
        </w:rPr>
      </w:pPr>
    </w:p>
    <w:p>
      <w:pPr>
        <w:ind w:left="1980" w:right="999" w:firstLine="294"/>
        <w:spacing w:after="0" w:line="260" w:lineRule="auto"/>
        <w:rPr>
          <w:sz w:val="20"/>
          <w:szCs w:val="20"/>
          <w:color w:val="auto"/>
        </w:rPr>
      </w:pPr>
      <w:r>
        <w:rPr>
          <w:rFonts w:ascii="Times New Roman" w:cs="Times New Roman" w:eastAsia="Times New Roman" w:hAnsi="Times New Roman"/>
          <w:sz w:val="12"/>
          <w:szCs w:val="12"/>
          <w:color w:val="auto"/>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w:t>
      </w:r>
    </w:p>
    <w:p>
      <w:pPr>
        <w:spacing w:after="0" w:line="122"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We filed the Series A Certificate of Designations, which designated 29,057,097 shares of our preferred stock as “Series A Preferred Stock”, all of which are issued and outstanding as of March 31, 2025. We filed the Series 1 Certificate of Designation, which designated 5,000,000 shares of our preferred stock as Series 1 Mandatory Exchangeable Preferred Stock, none of which are issued or outstanding as of March 31, 2025.</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Series A Preferred Stock</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Number and Designation</w:t>
      </w:r>
    </w:p>
    <w:p>
      <w:pPr>
        <w:spacing w:after="0" w:line="80"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As of March 31, 2025, 29,057,097 shares of the Series A Preferred Stock are held by SCLX JV, which shares were repurchased from Sorrento pursuant to the terms of the Sorrento SPA and represent all of the shares of Series A Preferred Stock that were previously owned by Sorrento. The shares of Series A Preferred Stock have all of the rights, preferences and privileges set forth in the Series A Certificate of Designations for such series of preferred stock as more fully described below.</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Rank</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The Series A Preferred Stock shall rank (i) senior to all Junior Securities; and (ii) on parity with all Parity Securities.</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Dividend Rights</w:t>
      </w:r>
    </w:p>
    <w:p>
      <w:pPr>
        <w:spacing w:after="0" w:line="80" w:lineRule="exact"/>
        <w:rPr>
          <w:sz w:val="20"/>
          <w:szCs w:val="20"/>
          <w:color w:val="auto"/>
        </w:rPr>
      </w:pPr>
    </w:p>
    <w:p>
      <w:pPr>
        <w:ind w:left="1980" w:right="999" w:firstLine="294"/>
        <w:spacing w:after="0" w:line="257" w:lineRule="auto"/>
        <w:rPr>
          <w:sz w:val="20"/>
          <w:szCs w:val="20"/>
          <w:color w:val="auto"/>
        </w:rPr>
      </w:pPr>
      <w:r>
        <w:rPr>
          <w:rFonts w:ascii="Times New Roman" w:cs="Times New Roman" w:eastAsia="Times New Roman" w:hAnsi="Times New Roman"/>
          <w:sz w:val="12"/>
          <w:szCs w:val="12"/>
          <w:color w:val="auto"/>
        </w:rPr>
        <w:t>Holders of the Series A Preferred Stock shall not be entitled to dividends unless we pay dividends to holders of the Common Stock and shall be entitled to receive, when, as and if declared by our Board, such dividends (whether in cash or other property) as are paid to holders of our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262</w:t>
      </w:r>
    </w:p>
    <w:p>
      <w:pPr>
        <w:sectPr>
          <w:pgSz w:w="11900" w:h="16838" w:orient="portrait"/>
          <w:cols w:equalWidth="0" w:num="1">
            <w:col w:w="10159"/>
          </w:cols>
          <w:pgMar w:left="300" w:top="368" w:right="1440"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Liquidation Preference</w:t>
      </w:r>
    </w:p>
    <w:p>
      <w:pPr>
        <w:spacing w:after="0" w:line="80" w:lineRule="exact"/>
        <w:rPr>
          <w:sz w:val="20"/>
          <w:szCs w:val="20"/>
          <w:color w:val="auto"/>
        </w:rPr>
      </w:pPr>
    </w:p>
    <w:p>
      <w:pPr>
        <w:ind w:left="1980" w:right="839" w:firstLine="294"/>
        <w:spacing w:after="0" w:line="255" w:lineRule="auto"/>
        <w:rPr>
          <w:sz w:val="20"/>
          <w:szCs w:val="20"/>
          <w:color w:val="auto"/>
        </w:rPr>
      </w:pPr>
      <w:r>
        <w:rPr>
          <w:rFonts w:ascii="Times New Roman" w:cs="Times New Roman" w:eastAsia="Times New Roman" w:hAnsi="Times New Roman"/>
          <w:sz w:val="12"/>
          <w:szCs w:val="12"/>
          <w:color w:val="auto"/>
        </w:rPr>
        <w:t>In the event of a change of control, liquidation, dissolution or winding-up of the Company, whether voluntary or involuntary, before any payment or distribution of our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the Company assuming that such share had been converted into shares of Common Stock in a Deemed Conversion (as defined below).</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Conversion and Redemption Rights</w:t>
      </w:r>
    </w:p>
    <w:p>
      <w:pPr>
        <w:spacing w:after="0" w:line="80" w:lineRule="exact"/>
        <w:rPr>
          <w:sz w:val="20"/>
          <w:szCs w:val="20"/>
          <w:color w:val="auto"/>
        </w:rPr>
      </w:pPr>
    </w:p>
    <w:p>
      <w:pPr>
        <w:ind w:left="1980" w:right="859" w:firstLine="294"/>
        <w:spacing w:after="0" w:line="255" w:lineRule="auto"/>
        <w:rPr>
          <w:sz w:val="20"/>
          <w:szCs w:val="20"/>
          <w:color w:val="auto"/>
        </w:rPr>
      </w:pPr>
      <w:r>
        <w:rPr>
          <w:rFonts w:ascii="Times New Roman" w:cs="Times New Roman" w:eastAsia="Times New Roman" w:hAnsi="Times New Roman"/>
          <w:sz w:val="12"/>
          <w:szCs w:val="12"/>
          <w:color w:val="auto"/>
        </w:rPr>
        <w:t>The shares of Series A Preferred Stock will not be convertible into Common Stock or any of our other securities and will not be redeemable by the Company; provided, however, a number of the rights, preferences and privileges of the Series A Preferred Stock set forth in the Series A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affecting the various rights, preferences and privileges of the Series A Preferred Stock set forth in the Series A Certificate of Designation (a “Deemed Conversion”), whether in connection with a change of control or otherwise, shall be equal to the result obtained by dividing (i) stated value by (ii) $10.00 (subject to anti-dilution adjustments).</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Voting and Other Preferred Rights</w:t>
      </w:r>
    </w:p>
    <w:p>
      <w:pPr>
        <w:spacing w:after="0" w:line="80"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Except as otherwise required by law or as set forth in the Series A Certificate of Designations, the holders of shares of Series A Preferred Stock will be entitled to vote, together with the holders of shares of Common Stock and not separately as a class, on all matters upon which holders of shares of Common Stock have the right to vote. The holders of shares of Series A Preferred Stock will be entitled to one vote for each share of Common Stock that such share of Series A Preferred Stock would otherwise be convertible into pursuant to a Deemed Conversion on the record date for the determination of the stockholders entitled to vote.</w:t>
      </w:r>
    </w:p>
    <w:p>
      <w:pPr>
        <w:spacing w:after="0" w:line="125"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As long as any shares of Series A Preferred Stock are outstanding, we shall not, without the affirmative vote of the holders of at least a majority of the outstanding shares of Series A Preferred Stock (a) change the Series A Preferred Stock (whether by merger, consolidation, reclassification or otherwise) into cash, securities or other property except in accordance with the terms of the Series A Certificate of Designations; (b) create, authorize or issue any Parity Security or other equity security the terms of which provide that it ranks senior to the Series A Preferred Stock with respect to dividend rights or rights upon liquidation, dissolution or winding-up of the Company, or increase the authorized amount of any such other class or series; or</w:t>
      </w:r>
    </w:p>
    <w:p>
      <w:pPr>
        <w:spacing w:after="0" w:line="1" w:lineRule="exact"/>
        <w:rPr>
          <w:sz w:val="20"/>
          <w:szCs w:val="20"/>
          <w:color w:val="auto"/>
        </w:rPr>
      </w:pPr>
    </w:p>
    <w:p>
      <w:pPr>
        <w:ind w:left="1980" w:right="1219" w:hanging="8"/>
        <w:spacing w:after="0" w:line="260" w:lineRule="auto"/>
        <w:tabs>
          <w:tab w:leader="none" w:pos="2143"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 the Certificate of Incorporation or the Series A Certificate of Designations in any manner that adversely affects the holders of Series A Preferred Stock.</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Registration Rights</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Pursuant to the Registration Rights Agreement, certain of our stockholders are able to demand that we register their registrable securities under certain circumstances and each also have piggyback registration rights for these securities. In addition, we are required to file and maintain an effective registration statement under the Securities Act covering the resale of all such registrable securities. We have filed a registration statement on Form S-1 (File No. 333-268603) which was initially declared effective by the SEC on December 27, 2022, in order to satisfy these obligations. The registration of these securities will enable the public sale of such securities,</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263</w:t>
      </w:r>
    </w:p>
    <w:p>
      <w:pPr>
        <w:sectPr>
          <w:pgSz w:w="11900" w:h="16838" w:orient="portrait"/>
          <w:cols w:equalWidth="0" w:num="1">
            <w:col w:w="10159"/>
          </w:cols>
          <w:pgMar w:left="300" w:top="368" w:right="1440"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Anti-Takeover Matters in our Governing Documents and Under Delaware Law</w:t>
      </w:r>
    </w:p>
    <w:p>
      <w:pPr>
        <w:spacing w:after="0" w:line="8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Certain provisions of Delaware law, along with the Certificate of Incorporation and the Bylaws, all of which are summarized below, may have the effect of delaying, deferring or discouraging another person from acquiring control of the Company. These provisions are expected to discourage coercive takeover practices and inadequate takeover bids. These provisions are also designed, in part, to encourage persons seeking to acquire control of the Company to first negotiate with our Board. However, these provisions could have the effect of delaying, discouraging or preventing attempts to acquire the Company, which could deprive our stockholders of opportunities to sell their shares of our Common Stock at prices higher than prevailing market prices.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Authorized but Unissued Capital Stock</w:t>
      </w:r>
    </w:p>
    <w:p>
      <w:pPr>
        <w:spacing w:after="0" w:line="82"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authorized but unissued shares of our Common Stock and our Preferred Stock are available for future issuance without stockholder approval, subject to any limitations imposed by the Nasdaq Listing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the Company by means of a proxy contest, tender offer, merger or otherwise.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Impact of the Equity Repurchase Transaction on Provisions Related to a Sorrento Trigger Event</w:t>
      </w:r>
    </w:p>
    <w:p>
      <w:pPr>
        <w:spacing w:after="0" w:line="82" w:lineRule="exact"/>
        <w:rPr>
          <w:sz w:val="20"/>
          <w:szCs w:val="20"/>
          <w:color w:val="auto"/>
        </w:rPr>
      </w:pPr>
    </w:p>
    <w:p>
      <w:pPr>
        <w:ind w:left="1980" w:right="899" w:firstLine="294"/>
        <w:spacing w:after="0" w:line="254" w:lineRule="auto"/>
        <w:rPr>
          <w:sz w:val="20"/>
          <w:szCs w:val="20"/>
          <w:color w:val="auto"/>
        </w:rPr>
      </w:pPr>
      <w:r>
        <w:rPr>
          <w:rFonts w:ascii="Times New Roman" w:cs="Times New Roman" w:eastAsia="Times New Roman" w:hAnsi="Times New Roman"/>
          <w:sz w:val="12"/>
          <w:szCs w:val="12"/>
          <w:color w:val="auto"/>
        </w:rPr>
        <w:t>Certain provisions of our Certificate of Incorporation related to the number of authorized directors, filling vacancies on the Board, removal of directors, stockholder actions by written consent, calling of special meetings of our stockholders, our election to not be governed by Section 203 of the DGCL and amendments to our Certificate of Incorporation and our Bylaws lapse upon or are triggered at the time Sorrento first ceases to beneficially own more than 50% in voting power of the then-outstanding shares of our capital stock entitled to vote generally in the election of directors (the “Sorrento Trigger Event”). Upon the closing of the equity repurchase transaction pursuant to the Sorrento SPA in which we purchased from Sorrento (i) 1,716,245 shares of Common Stock, (ii) 29,057,097 shares of Series A Preferred Stock, and (iii) warrants exercisable for 128,304 shares of Common Stock, each with an exercise price of $402.50 per whole share (the “Equity Repurchase Transaction”), a Sorrento Trigger Event occurred. The disclosures below related to the foregoing provisions are based on the occurrence of such event.</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Classified Board of Directors</w:t>
      </w:r>
    </w:p>
    <w:p>
      <w:pPr>
        <w:spacing w:after="0" w:line="82" w:lineRule="exact"/>
        <w:rPr>
          <w:sz w:val="20"/>
          <w:szCs w:val="20"/>
          <w:color w:val="auto"/>
        </w:rPr>
      </w:pPr>
    </w:p>
    <w:p>
      <w:pPr>
        <w:ind w:left="1980" w:right="879" w:firstLine="294"/>
        <w:spacing w:after="0" w:line="257" w:lineRule="auto"/>
        <w:rPr>
          <w:sz w:val="20"/>
          <w:szCs w:val="20"/>
          <w:color w:val="auto"/>
        </w:rPr>
      </w:pPr>
      <w:r>
        <w:rPr>
          <w:rFonts w:ascii="Times New Roman" w:cs="Times New Roman" w:eastAsia="Times New Roman" w:hAnsi="Times New Roman"/>
          <w:sz w:val="12"/>
          <w:szCs w:val="12"/>
          <w:color w:val="auto"/>
        </w:rPr>
        <w:t>The Certificate of Incorporation provides that our Board is divided into three classes, with the classes as nearly equal in number as practical and each class serving three-year staggered terms. The directors in each class serve for a three-year term (except that the term of our current Class III directors shall expire at our 2025 annual meeting of stockholders (with three-year terms subsequently)), with one class being elected each year by the stockholders. This system of electing and removing directors may tend to discourage a third party from making a tender offer or otherwise attempting to obtain control of the Company, because it generally makes it more difficult for stockholders to replace a majority of the directors.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Certificate of Incorporation also provides that the total number of directors shall be determined from time to time exclusively by our Board.</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Removal of Directors; Vacancies</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Certificate of Incorporation provides that, except as otherwise required by law or the Certificate of Incorporation, directors may be removed only for cause and only by the affirmative vote of the holders of at</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264</w:t>
      </w:r>
    </w:p>
    <w:p>
      <w:pPr>
        <w:sectPr>
          <w:pgSz w:w="11900" w:h="16838" w:orient="portrait"/>
          <w:cols w:equalWidth="0" w:num="1">
            <w:col w:w="10159"/>
          </w:cols>
          <w:pgMar w:left="300" w:top="368" w:right="1440"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39"/>
        <w:spacing w:after="0" w:line="279" w:lineRule="auto"/>
        <w:rPr>
          <w:sz w:val="20"/>
          <w:szCs w:val="20"/>
          <w:color w:val="auto"/>
        </w:rPr>
      </w:pPr>
      <w:r>
        <w:rPr>
          <w:rFonts w:ascii="Times New Roman" w:cs="Times New Roman" w:eastAsia="Times New Roman" w:hAnsi="Times New Roman"/>
          <w:sz w:val="12"/>
          <w:szCs w:val="12"/>
          <w:color w:val="auto"/>
        </w:rPr>
        <w:t>least 66 2/3% in voting power of all the then-outstanding shares of our capital stock entitled to vote thereon, voting together as a single class, in each case subject to the rights of holders of any series of Preferred Stock.</w:t>
      </w:r>
    </w:p>
    <w:p>
      <w:pPr>
        <w:spacing w:after="0" w:line="111"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In addition, the Certificate of Incorporation provides that, except as otherwise provided therein or by law, any vacancy resulting from the death, resignation, removal or disqualification of a director or other cause, or any newly created directorship in our Board, shall be filled only by a majority of the directors then in office, although less than a quorum, and shall not be filled by our stockholders, in each case subject to the rights of the holders of any series of Preferred Stock.</w:t>
      </w:r>
    </w:p>
    <w:p>
      <w:pPr>
        <w:spacing w:after="0" w:line="12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These provisions may have the effect of deferring, delaying, or discouraging hostile takeovers, changes in control of the Company or changes in our management.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Delaware Anti-Takeover Law</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Certificate of Incorporation provides that we are governed by Section 203 of the DGCL.</w:t>
      </w:r>
    </w:p>
    <w:p>
      <w:pPr>
        <w:spacing w:after="0" w:line="150" w:lineRule="exact"/>
        <w:rPr>
          <w:sz w:val="20"/>
          <w:szCs w:val="20"/>
          <w:color w:val="auto"/>
        </w:rPr>
      </w:pPr>
    </w:p>
    <w:p>
      <w:pPr>
        <w:jc w:val="both"/>
        <w:ind w:left="1980" w:right="1039" w:firstLine="294"/>
        <w:spacing w:after="0" w:line="280" w:lineRule="auto"/>
        <w:rPr>
          <w:sz w:val="20"/>
          <w:szCs w:val="20"/>
          <w:color w:val="auto"/>
        </w:rPr>
      </w:pPr>
      <w:r>
        <w:rPr>
          <w:rFonts w:ascii="Times New Roman" w:cs="Times New Roman" w:eastAsia="Times New Roman" w:hAnsi="Times New Roman"/>
          <w:sz w:val="11"/>
          <w:szCs w:val="11"/>
          <w:color w:val="auto"/>
        </w:rPr>
        <w:t>Section 203 of the DGCL prohibits persons deemed to be “interested stockholders” from engaging in a “business combination” with a publicly held Delaware corporation for three years following the date such persons become interested stockholders, unless the business combination is, or the transaction in which the person became an interested stockholder was, approved in a prescribed manner or another prescribed exception applies.</w:t>
      </w:r>
    </w:p>
    <w:p>
      <w:pPr>
        <w:ind w:left="1980" w:right="959"/>
        <w:spacing w:after="0" w:line="253" w:lineRule="auto"/>
        <w:rPr>
          <w:sz w:val="20"/>
          <w:szCs w:val="20"/>
          <w:color w:val="auto"/>
        </w:rPr>
      </w:pPr>
      <w:r>
        <w:rPr>
          <w:rFonts w:ascii="Times New Roman" w:cs="Times New Roman" w:eastAsia="Times New Roman" w:hAnsi="Times New Roman"/>
          <w:sz w:val="12"/>
          <w:szCs w:val="12"/>
          <w:color w:val="auto"/>
        </w:rPr>
        <w:t>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spacing w:after="0" w:line="126" w:lineRule="exact"/>
        <w:rPr>
          <w:sz w:val="20"/>
          <w:szCs w:val="20"/>
          <w:color w:val="auto"/>
        </w:rPr>
      </w:pPr>
    </w:p>
    <w:p>
      <w:pPr>
        <w:jc w:val="both"/>
        <w:ind w:left="1980" w:right="959" w:firstLine="294"/>
        <w:spacing w:after="0" w:line="265" w:lineRule="auto"/>
        <w:rPr>
          <w:sz w:val="20"/>
          <w:szCs w:val="20"/>
          <w:color w:val="auto"/>
        </w:rPr>
      </w:pPr>
      <w:r>
        <w:rPr>
          <w:rFonts w:ascii="Times New Roman" w:cs="Times New Roman" w:eastAsia="Times New Roman" w:hAnsi="Times New Roman"/>
          <w:sz w:val="12"/>
          <w:szCs w:val="12"/>
          <w:color w:val="auto"/>
        </w:rPr>
        <w:t>The Certificate of Incorporation provides that the restrictions on business combination of Section 203 of the DGCL will not apply to Sorrento or its current or future Affiliates (as defined in the Certificate of Incorporation) regardless of the percentage of ownership of the total voting power of all the then-outstanding shares of our capital stock entitled to vote generally in the election of directors beneficially owned by them.</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No Cumulative Voting</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Under Delaware law, the right to vote cumulatively does not exist unless the certificate of incorporation specifically authorizes cumulative voting. The Certificate of Incorporation does not authorize cumulative voting. Therefore, stockholders holding a majority of the shares of our capital stock entitled to vote generally in the election of directors will be able to elect all of our directors.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Special Stockholder Meetings</w:t>
      </w:r>
    </w:p>
    <w:p>
      <w:pPr>
        <w:spacing w:after="0" w:line="82" w:lineRule="exact"/>
        <w:rPr>
          <w:sz w:val="20"/>
          <w:szCs w:val="20"/>
          <w:color w:val="auto"/>
        </w:rPr>
      </w:pPr>
    </w:p>
    <w:p>
      <w:pPr>
        <w:jc w:val="both"/>
        <w:ind w:left="1980" w:right="939" w:firstLine="294"/>
        <w:spacing w:after="0" w:line="260" w:lineRule="auto"/>
        <w:rPr>
          <w:sz w:val="20"/>
          <w:szCs w:val="20"/>
          <w:color w:val="auto"/>
        </w:rPr>
      </w:pPr>
      <w:r>
        <w:rPr>
          <w:rFonts w:ascii="Times New Roman" w:cs="Times New Roman" w:eastAsia="Times New Roman" w:hAnsi="Times New Roman"/>
          <w:sz w:val="12"/>
          <w:szCs w:val="12"/>
          <w:color w:val="auto"/>
        </w:rPr>
        <w:t>The Certificate of Incorporation provides that special meetings of stockholders may only be called by order of the Chairperson of our Board, our Board or the Chief Executive Officer, subject to the rights of the holders of any series of Preferred Stock with respect to such series of preferred stock. The Bylaws prohibit the conduct of any business at a special meeting other than as specified in the notice for such meeting. These provisions may have the effect of deferring, delaying, or discouraging hostile takeovers or changes in control or management.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Director Nominations and Stockholder Proposals</w:t>
      </w:r>
    </w:p>
    <w:p>
      <w:pPr>
        <w:spacing w:after="0" w:line="82" w:lineRule="exact"/>
        <w:rPr>
          <w:sz w:val="20"/>
          <w:szCs w:val="20"/>
          <w:color w:val="auto"/>
        </w:rPr>
      </w:pPr>
    </w:p>
    <w:p>
      <w:pPr>
        <w:jc w:val="both"/>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advance notice requirements and provide us with certain information.</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265</w:t>
      </w:r>
    </w:p>
    <w:p>
      <w:pPr>
        <w:sectPr>
          <w:pgSz w:w="11900" w:h="16838" w:orient="portrait"/>
          <w:cols w:equalWidth="0" w:num="1">
            <w:col w:w="10159"/>
          </w:cols>
          <w:pgMar w:left="300" w:top="368" w:right="1440"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firstLine="294"/>
        <w:spacing w:after="0" w:line="277" w:lineRule="auto"/>
        <w:rPr>
          <w:sz w:val="20"/>
          <w:szCs w:val="20"/>
          <w:color w:val="auto"/>
        </w:rPr>
      </w:pPr>
      <w:r>
        <w:rPr>
          <w:rFonts w:ascii="Times New Roman" w:cs="Times New Roman" w:eastAsia="Times New Roman" w:hAnsi="Times New Roman"/>
          <w:sz w:val="11"/>
          <w:szCs w:val="11"/>
          <w:color w:val="auto"/>
        </w:rPr>
        <w:t>Generally, to be timely, a stockholder’s notice must be delivered to our secretary at our principal executive offices not earlier than the close of business on the 120th day nor later than the close of business on the 90th day prior to the first anniversary of the preceding year’s annual meeting; provided, however, that, if the date of the annual meeting is advanced more than 30 days prior to or delayed by more than 60 days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w:t>
      </w:r>
    </w:p>
    <w:p>
      <w:pPr>
        <w:spacing w:after="0" w:line="1"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the 90th day prior to such annual meeting and the 10th day following the day on which public announcement of the date of such meeting is first made by us. The Bylaws also specify requirements as to the form and content of a stockholder’s notice. The Bylaws allow any previously scheduled meeting of our stockholders to be postponed, adjourned or canceled by resolution of our Board. In addition, the Bylaws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Stockholder Action by Written Consent</w:t>
      </w:r>
    </w:p>
    <w:p>
      <w:pPr>
        <w:spacing w:after="0" w:line="82" w:lineRule="exact"/>
        <w:rPr>
          <w:sz w:val="20"/>
          <w:szCs w:val="20"/>
          <w:color w:val="auto"/>
        </w:rPr>
      </w:pPr>
    </w:p>
    <w:p>
      <w:pPr>
        <w:jc w:val="both"/>
        <w:ind w:left="1980" w:right="1239" w:firstLine="294"/>
        <w:spacing w:after="0" w:line="265" w:lineRule="auto"/>
        <w:rPr>
          <w:sz w:val="20"/>
          <w:szCs w:val="20"/>
          <w:color w:val="auto"/>
        </w:rPr>
      </w:pPr>
      <w:r>
        <w:rPr>
          <w:rFonts w:ascii="Times New Roman" w:cs="Times New Roman" w:eastAsia="Times New Roman" w:hAnsi="Times New Roman"/>
          <w:sz w:val="12"/>
          <w:szCs w:val="12"/>
          <w:color w:val="auto"/>
        </w:rPr>
        <w:t>Pursuant to Section 228 of the DGCL and the terms of the Certificate of Incorporation, any action required or permitted to be taken by our stockholders must be effected by a duly called annual or special meeting of such stockholders, subject to the rights of the holders of any series of Preferred Stock with respect to such series of preferred stock.</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of Certificate of Incorporation or Bylaws</w:t>
      </w:r>
    </w:p>
    <w:p>
      <w:pPr>
        <w:spacing w:after="0" w:line="82"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19"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The Certificate of Incorporation provides that the affirmative vote of the holders of at least 66 2/3% of the voting power of the then-outstanding shares of our capital stock entitled to vote thereon, voting together as a single class, will be required to alter, amend or repeal the following provisions of the Certificate of Incorporation: Article V (Board of Directors), Article VI (Consent of Stockholders in Lieu of Meeting; Special Meetings of Stockholders), Article VII (Limitation of Liability), Article VIII (Corporate Opportunities and Competition), Article IX (Exclusive Forum), Article X (Section 203 of the DGCL) and Article XI (Amendment of Certificate of Incorporation and Bylaws), and no other provision may be adopted, amended or repealed that would have the effect of modifying or permitting the circumvention of the provisions set forth in any of such Articles.</w:t>
      </w:r>
    </w:p>
    <w:p>
      <w:pPr>
        <w:spacing w:after="0" w:line="125" w:lineRule="exact"/>
        <w:rPr>
          <w:sz w:val="20"/>
          <w:szCs w:val="20"/>
          <w:color w:val="auto"/>
        </w:rPr>
      </w:pPr>
    </w:p>
    <w:p>
      <w:pPr>
        <w:jc w:val="both"/>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Certificate of Incorporation and the Bylaws provide that our Board is authorized to make, alter and repeal the Bylaws, without the consent or vote of the stockholders, by an approval of a majority of the total authorized number of directors. The affirmative vote of the holders of at least 66 2/3% of the voting power of the then-outstanding shares of our capital stock entitled to vote thereon, voting together as a single class, will be required to alter, amend or repeal the Bylaws.</w:t>
      </w:r>
    </w:p>
    <w:p>
      <w:pPr>
        <w:spacing w:after="0" w:line="12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our management. It is possible that these provisions could make it more difficult to accomplish transactions that stockholders may otherwise deem to be in their best interests.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Exclusive Forum</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Certificate of Incorporation provides that, unless we consent in writing to the selection of an alternative forum, the Court of Chancery of the State of Delaware (or, if and only if the Court of Chancery of the State of</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266</w:t>
      </w:r>
    </w:p>
    <w:p>
      <w:pPr>
        <w:sectPr>
          <w:pgSz w:w="11900" w:h="16838" w:orient="portrait"/>
          <w:cols w:equalWidth="0" w:num="1">
            <w:col w:w="10159"/>
          </w:cols>
          <w:pgMar w:left="300" w:top="368" w:right="1440"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3" w:lineRule="auto"/>
        <w:rPr>
          <w:sz w:val="20"/>
          <w:szCs w:val="20"/>
          <w:color w:val="auto"/>
        </w:rPr>
      </w:pPr>
      <w:r>
        <w:rPr>
          <w:rFonts w:ascii="Times New Roman" w:cs="Times New Roman" w:eastAsia="Times New Roman" w:hAnsi="Times New Roman"/>
          <w:sz w:val="12"/>
          <w:szCs w:val="12"/>
          <w:color w:val="auto"/>
        </w:rPr>
        <w:t>Delaware lacks subject matter jurisdiction, any state court located within the State of Delaware or, if and only if all such state courts lack subject matter jurisdiction, the federal district court for the District of Delaware) and any appellate court therefrom shall, to the fullest extent permitted by law, be the sole and exclusive forum for (i) any derivative action or proceeding brought on behalf of the Company,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or of the Certificate of Incorporation or the Bylaws, (iv) any claim or cause of action seeking to interpret, apply, enforce or determine the validity of the Certificate of Incorporation or the Bylaws, (v) any action or proceeding asserting a claim against us or any of our current or former directors, officers, employees or stockholders as to which the DGCL confers jurisdiction to the Court of Chancery of the State of Delaware, or (vi) any action asserting an “internal corporate claim,” as that term is defined in Section 115 of the DGCL. The foregoing exclusive forum provisions will not apply to claims arising under the Exchange Act, or any other claim for which the federal courts have exclusive jurisdiction.</w:t>
      </w:r>
    </w:p>
    <w:p>
      <w:pPr>
        <w:spacing w:after="0" w:line="129" w:lineRule="exact"/>
        <w:rPr>
          <w:sz w:val="20"/>
          <w:szCs w:val="20"/>
          <w:color w:val="auto"/>
        </w:rPr>
      </w:pPr>
    </w:p>
    <w:p>
      <w:pPr>
        <w:ind w:left="1980" w:right="859" w:firstLine="294"/>
        <w:spacing w:after="0" w:line="265" w:lineRule="auto"/>
        <w:rPr>
          <w:sz w:val="20"/>
          <w:szCs w:val="20"/>
          <w:color w:val="auto"/>
        </w:rPr>
      </w:pPr>
      <w:r>
        <w:rPr>
          <w:rFonts w:ascii="Times New Roman" w:cs="Times New Roman" w:eastAsia="Times New Roman" w:hAnsi="Times New Roman"/>
          <w:sz w:val="12"/>
          <w:szCs w:val="12"/>
          <w:color w:val="auto"/>
        </w:rPr>
        <w:t>In addition, the Certificate of Incorporation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w:t>
      </w:r>
    </w:p>
    <w:p>
      <w:pPr>
        <w:spacing w:after="0" w:line="119" w:lineRule="exact"/>
        <w:rPr>
          <w:sz w:val="20"/>
          <w:szCs w:val="20"/>
          <w:color w:val="auto"/>
        </w:rPr>
      </w:pPr>
    </w:p>
    <w:p>
      <w:pPr>
        <w:ind w:left="1980" w:right="839" w:firstLine="294"/>
        <w:spacing w:after="0" w:line="254" w:lineRule="auto"/>
        <w:rPr>
          <w:sz w:val="20"/>
          <w:szCs w:val="20"/>
          <w:color w:val="auto"/>
        </w:rPr>
      </w:pPr>
      <w:r>
        <w:rPr>
          <w:rFonts w:ascii="Times New Roman" w:cs="Times New Roman" w:eastAsia="Times New Roman" w:hAnsi="Times New Roman"/>
          <w:sz w:val="12"/>
          <w:szCs w:val="12"/>
          <w:color w:val="auto"/>
        </w:rPr>
        <w:t>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the Certificate of Incorporation to be inapplicable or unenforceable in such action. We may incur additional costs associated with resolving such action in other jurisdictions, which could harm our business, operating results and financial condition. Any person or entity purchasing or otherwise acquiring any interest in shares of our capital stock shall be deemed to have notice of and consented to the forum provisions in the Certificate of Incorporation.</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Limitation of Liability and Indemnification of Directors and Officers</w:t>
      </w:r>
    </w:p>
    <w:p>
      <w:pPr>
        <w:spacing w:after="0" w:line="82" w:lineRule="exact"/>
        <w:rPr>
          <w:sz w:val="20"/>
          <w:szCs w:val="20"/>
          <w:color w:val="auto"/>
        </w:rPr>
      </w:pPr>
    </w:p>
    <w:p>
      <w:pPr>
        <w:ind w:left="1980" w:right="939" w:firstLine="294"/>
        <w:spacing w:after="0" w:line="265" w:lineRule="auto"/>
        <w:rPr>
          <w:sz w:val="20"/>
          <w:szCs w:val="20"/>
          <w:color w:val="auto"/>
        </w:rPr>
      </w:pPr>
      <w:r>
        <w:rPr>
          <w:rFonts w:ascii="Times New Roman" w:cs="Times New Roman" w:eastAsia="Times New Roman" w:hAnsi="Times New Roman"/>
          <w:sz w:val="12"/>
          <w:szCs w:val="12"/>
          <w:color w:val="auto"/>
        </w:rPr>
        <w:t>The Certificate of Incorporation and the Bylaws contain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w:t>
      </w:r>
    </w:p>
    <w:p>
      <w:pPr>
        <w:spacing w:after="0" w:line="56" w:lineRule="exact"/>
        <w:rPr>
          <w:sz w:val="20"/>
          <w:szCs w:val="20"/>
          <w:color w:val="auto"/>
        </w:rPr>
      </w:pPr>
    </w:p>
    <w:p>
      <w:pPr>
        <w:ind w:left="2620" w:hanging="288"/>
        <w:spacing w:after="0"/>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their duty of loyalty to us or our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or omissions not in good faith or that involve intentional misconduct or a knowing violation of law;</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unlawful payments of dividends or unlawful stock repurchases or redemptions in violation of the DGCL;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derived an improper personal benefit; or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officer, any action by or in the right of the corporation.</w:t>
      </w:r>
    </w:p>
    <w:p>
      <w:pPr>
        <w:spacing w:after="0" w:line="150"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Certificate of Incorporation also provides that if the DGCL is amended to permit further elimination or limitation of the personal liability of directors, then the liability of our directors will be eliminated or limited to the fullest extent permitted by the DGCL, as so amended.</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267</w:t>
      </w:r>
    </w:p>
    <w:p>
      <w:pPr>
        <w:sectPr>
          <w:pgSz w:w="11900" w:h="16838" w:orient="portrait"/>
          <w:cols w:equalWidth="0" w:num="1">
            <w:col w:w="10159"/>
          </w:cols>
          <w:pgMar w:left="300" w:top="368" w:right="1440"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firstLine="294"/>
        <w:spacing w:after="0" w:line="252" w:lineRule="auto"/>
        <w:rPr>
          <w:sz w:val="20"/>
          <w:szCs w:val="20"/>
          <w:color w:val="auto"/>
        </w:rPr>
      </w:pPr>
      <w:r>
        <w:rPr>
          <w:rFonts w:ascii="Times New Roman" w:cs="Times New Roman" w:eastAsia="Times New Roman" w:hAnsi="Times New Roman"/>
          <w:sz w:val="12"/>
          <w:szCs w:val="12"/>
          <w:color w:val="auto"/>
        </w:rPr>
        <w:t>The Bylaws provide that we shall indemnify any Covered Person and who is or was a party to, is threatened to be made a party to, or is otherwise involved (including as a witness) in any threatened, pending or completed action, suit or proceeding, whether civil, criminal, administrative, or investigative based on such person’s actions in his or her official capacity as a director or officer of the Company or as a director, officer or trustee of another corporation, limited liability company, partnership, joint venture, employee benefit plan, trust, nonprofit entity or other enterprise (to the extent serving in such position at our request), in each case against all liability and loss suffered (including, without limitation, any judgments, fines, excise taxes or penalties arising under the Employee Retirement Income Security Act of 1974 and amounts paid in settlement consented to in writing by us) and expenses (including attorneys’ fees), actually and reasonably incurred by such person in connection therewith, subject to certain conditions. In addition, the Bylaws provide that we may, to the fullest extent permitted by law, (i) advance costs, fees or expenses (including attorneys’ fees) incurred by a Covered Person defending or participating in any proceeding in advance of the final disposition of such proceeding, subject to certain exceptions, and (ii) purchase and maintain insurance, at our expense, to protect us and any person who is or was a director, officer, employee or agent of the Company or is or was a director, officer, employee or agent of the Company serving at our request as a director, officer, employee or agent of another corporation, limited liability company, partnership, joint venture, trust, employee benefit plan or other enterprise against any liability, expense or loss, whether or not we would have the power or obligation to indemnify such person against such liability, expense or loss under the DGCL or the provisions of the Bylaws.</w:t>
      </w:r>
    </w:p>
    <w:p>
      <w:pPr>
        <w:spacing w:after="0" w:line="132"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We have entered into indemnification agreements with each of our directors, executive officers and certain other employees as determined by our Board. These agreements, among other things, require us to indemnify our directors and executive officers against liabilities that may arise by reason of their status or service. These indemnification agreements also require us to advance all expenses actually and reasonably incurred by the directors and executive officers in connection with any proceeding. Our Board believes that these agreements are necessary to attract and retain qualified individuals to serve as directors and executive officers.</w:t>
      </w:r>
    </w:p>
    <w:p>
      <w:pPr>
        <w:spacing w:after="0" w:line="125"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The above description of the indemnification provisions of the Certificate of Incorporation, the Bylaws and the indemnification agreements is not complete and is qualified in its entirety by reference to these documents, each of which is filed as an exhibit to the registration statement of which this prospectus forms a part.</w:t>
      </w:r>
    </w:p>
    <w:p>
      <w:pPr>
        <w:spacing w:after="0" w:line="119"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Certain of our non-employee directors may, through their relationships with their employers, be insured or indemnified against certain liabilities incurred in their capacity as members of our Board.</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limitation of liability and indemnification provisions in the Certificate of Incorporation and the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In addition, a stockholder’s investment may be adversely affected to the extent we pay the costs of settlement and damage awards against directors and officers pursuant to these indemnification provisions.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Conflicts of Interest</w:t>
      </w:r>
    </w:p>
    <w:p>
      <w:pPr>
        <w:spacing w:after="0" w:line="82" w:lineRule="exact"/>
        <w:rPr>
          <w:sz w:val="20"/>
          <w:szCs w:val="20"/>
          <w:color w:val="auto"/>
        </w:rPr>
      </w:pPr>
    </w:p>
    <w:p>
      <w:pPr>
        <w:ind w:left="1980" w:right="859" w:firstLine="294"/>
        <w:spacing w:after="0" w:line="256" w:lineRule="auto"/>
        <w:rPr>
          <w:sz w:val="20"/>
          <w:szCs w:val="20"/>
          <w:color w:val="auto"/>
        </w:rPr>
      </w:pPr>
      <w:r>
        <w:rPr>
          <w:rFonts w:ascii="Times New Roman" w:cs="Times New Roman" w:eastAsia="Times New Roman" w:hAnsi="Times New Roman"/>
          <w:sz w:val="12"/>
          <w:szCs w:val="12"/>
          <w:color w:val="auto"/>
        </w:rPr>
        <w:t>Delaware law permits corporations to adopt provisions renouncing any interest or expectancy in certain opportunities that are presented to the corporation or its officers, directors or stockholders. The Certificate of Incorporation provides that, to the fullest extent permitted by law, no Identified Person (as defined therein)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is engaged in the same or similar business activities as we or our affiliates are or competes with us or our affiliates. In addition, to the fullest extent permitted by law, no Identified Person will have any obligation to offer to us or our subsidiaries or</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268</w:t>
      </w:r>
    </w:p>
    <w:p>
      <w:pPr>
        <w:sectPr>
          <w:pgSz w:w="11900" w:h="16838" w:orient="portrait"/>
          <w:cols w:equalWidth="0" w:num="1">
            <w:col w:w="10159"/>
          </w:cols>
          <w:pgMar w:left="300" w:top="368" w:right="1440"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affiliates the right to participate in any corporate opportunity in the same or similar business activities or lines of business in which we or our affiliates are engaged or that are deemed to be competing with us or any of our affiliates. Subject to the preceding sentences and to the fullest extent permitted by applicable law, neither we nor any of our subsidiaries shall have any rights in any business interests, activities or ventures of any Identified Person, and we waive and renounce any interest or expectancy therein, except with respect to opportunities offered solely and expressly to our officers in their capacity as such.</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Rights of Appraisal and Payment</w:t>
      </w:r>
    </w:p>
    <w:p>
      <w:pPr>
        <w:spacing w:after="0" w:line="82" w:lineRule="exact"/>
        <w:rPr>
          <w:sz w:val="20"/>
          <w:szCs w:val="20"/>
          <w:color w:val="auto"/>
        </w:rPr>
      </w:pPr>
    </w:p>
    <w:p>
      <w:pPr>
        <w:ind w:left="1980" w:right="1119" w:firstLine="294"/>
        <w:spacing w:after="0" w:line="260" w:lineRule="auto"/>
        <w:rPr>
          <w:sz w:val="20"/>
          <w:szCs w:val="20"/>
          <w:color w:val="auto"/>
        </w:rPr>
      </w:pPr>
      <w:r>
        <w:rPr>
          <w:rFonts w:ascii="Times New Roman" w:cs="Times New Roman" w:eastAsia="Times New Roman" w:hAnsi="Times New Roman"/>
          <w:sz w:val="12"/>
          <w:szCs w:val="12"/>
          <w:color w:val="auto"/>
        </w:rPr>
        <w:t>Under the DGCL, with certain exceptions, our stockholders will have appraisal rights in connection with a merger or consolidation of the Company. Pursuant to Section 262 of the DGCL, stockholders who properly demand and perfect appraisal rights in connection with such merger or consolidation will have the right to receive payment of the fair value of their shares as determined by the Delaware Court of Chancery. However, appraisal rights are not available in all circumstances.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Stockholders’ Derivative Actions</w:t>
      </w:r>
    </w:p>
    <w:p>
      <w:pPr>
        <w:spacing w:after="0" w:line="82" w:lineRule="exact"/>
        <w:rPr>
          <w:sz w:val="20"/>
          <w:szCs w:val="20"/>
          <w:color w:val="auto"/>
        </w:rPr>
      </w:pPr>
    </w:p>
    <w:p>
      <w:pPr>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Under the DGCL, any of our stockholders may bring an action in the Company’s name to procure a judgment in its favor, also known as a derivative action, provided that the stockholder bringing the action is a holder of our capital stock at the time of the transaction to which the action relates.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SPAC Warrants</w:t>
      </w:r>
    </w:p>
    <w:p>
      <w:pPr>
        <w:spacing w:after="0" w:line="82"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As of March 31, 2025, there are 6,958,309 SPAC Warrants outstanding, which are currently exercisable for an aggregate of up to 198,810 shares of Common Stock. The “SPAC Warrants” include (i) 5,555,354 Public Warrants and (ii) 1,402,955 Private Warrants.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Public Warrants</w:t>
      </w:r>
    </w:p>
    <w:p>
      <w:pPr>
        <w:spacing w:after="0" w:line="82"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Each Public Warrant entitles the registered holder thereof to purchase one share of our Common Stock at a price of $402.50 per whole share, subject to adjustment as described in the Warrant Agreement. We may, in our sole discretion, lower the warrant exercise price at any time prior to the expiration date for a period of not less than 20 business days and any such reduction will be applied consistently to all of the warrants, provided that we will provide at least 20 days’ prior written notice to registered holders of the warrants.</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Times New Roman" w:cs="Times New Roman" w:eastAsia="Times New Roman" w:hAnsi="Times New Roman"/>
          <w:sz w:val="12"/>
          <w:szCs w:val="12"/>
          <w:color w:val="auto"/>
        </w:rPr>
        <w:t>However, no Public Warrants will be exercisable for cash unless we have an effective and current registration statement covering the issuance of the Common Stock issuable upon exercise of the warrants and a current prospectus relating to such Common Stock. Notwithstanding the foregoing, if a registration statement covering the issuance of the Common Stock issuable upon exercise of the Public Warrants is not effective within 90 days from the consummation of the Business Combination, warrantholders may, from the 91st day after the consummation of the Business Combination until such time as there is an effective registration statement and during any period when we shall have failed to maintain an effective registration statement, exercise warrants on a cashless basis pursuant to an available exemption from registration under the Securities Act. If an exemption from registration is not available, holders will not be able to exercise their warrants on a cashless basis.</w:t>
      </w:r>
    </w:p>
    <w:p>
      <w:pPr>
        <w:spacing w:after="0" w:line="126" w:lineRule="exact"/>
        <w:rPr>
          <w:sz w:val="20"/>
          <w:szCs w:val="20"/>
          <w:color w:val="auto"/>
        </w:rPr>
      </w:pPr>
    </w:p>
    <w:p>
      <w:pPr>
        <w:ind w:left="1980" w:right="959" w:firstLine="294"/>
        <w:spacing w:after="0" w:line="279" w:lineRule="auto"/>
        <w:rPr>
          <w:sz w:val="20"/>
          <w:szCs w:val="20"/>
          <w:color w:val="auto"/>
        </w:rPr>
      </w:pPr>
      <w:r>
        <w:rPr>
          <w:rFonts w:ascii="Times New Roman" w:cs="Times New Roman" w:eastAsia="Times New Roman" w:hAnsi="Times New Roman"/>
          <w:sz w:val="12"/>
          <w:szCs w:val="12"/>
          <w:color w:val="auto"/>
        </w:rPr>
        <w:t>The warrants will expire five years from the consummation of the Business Combination (i.e., November 10, 2027) at 5:00 p.m., New York City time or earlier upon redemption or liquidation.</w:t>
      </w:r>
    </w:p>
    <w:p>
      <w:pPr>
        <w:spacing w:after="0" w:line="11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We may call the warrants for redemption (excluding the Private Warrants), in whole and not in part, at a price of $0.01 per warrant:</w:t>
      </w:r>
    </w:p>
    <w:p>
      <w:pPr>
        <w:spacing w:after="0" w:line="87" w:lineRule="exact"/>
        <w:rPr>
          <w:sz w:val="20"/>
          <w:szCs w:val="20"/>
          <w:color w:val="auto"/>
        </w:rPr>
      </w:pPr>
    </w:p>
    <w:p>
      <w:pPr>
        <w:ind w:left="2620" w:hanging="288"/>
        <w:spacing w:after="0"/>
        <w:tabs>
          <w:tab w:leader="none" w:pos="262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time while the warrants are exercisable,</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269</w:t>
      </w:r>
    </w:p>
    <w:p>
      <w:pPr>
        <w:sectPr>
          <w:pgSz w:w="11900" w:h="16838" w:orient="portrait"/>
          <w:cols w:equalWidth="0" w:num="1">
            <w:col w:w="10159"/>
          </w:cols>
          <w:pgMar w:left="300" w:top="368" w:right="1440"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hanging="288"/>
        <w:spacing w:after="0"/>
        <w:tabs>
          <w:tab w:leader="none" w:pos="26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 less than 30 days’ prior written notice of redemption to each warrantholder,</w:t>
      </w:r>
    </w:p>
    <w:p>
      <w:pPr>
        <w:spacing w:after="0" w:line="87" w:lineRule="exact"/>
        <w:rPr>
          <w:rFonts w:ascii="Times New Roman" w:cs="Times New Roman" w:eastAsia="Times New Roman" w:hAnsi="Times New Roman"/>
          <w:sz w:val="12"/>
          <w:szCs w:val="12"/>
          <w:color w:val="auto"/>
        </w:rPr>
      </w:pPr>
    </w:p>
    <w:p>
      <w:pPr>
        <w:ind w:left="2620" w:right="1039" w:hanging="288"/>
        <w:spacing w:after="0" w:line="265" w:lineRule="auto"/>
        <w:tabs>
          <w:tab w:leader="none" w:pos="26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closing price of the Common Stock equals or exceeds $630.00 per share (as adjusted for share sub-divisions, share dividends, reorganizations and recapitalizations), for any 20 trading days within a 30 trading day period commencing after the warrants become exercisable and ending on the third trading day prior to the date on which notice of redemption is given, and</w:t>
      </w:r>
    </w:p>
    <w:p>
      <w:pPr>
        <w:spacing w:after="0" w:line="55" w:lineRule="exact"/>
        <w:rPr>
          <w:rFonts w:ascii="Times New Roman" w:cs="Times New Roman" w:eastAsia="Times New Roman" w:hAnsi="Times New Roman"/>
          <w:sz w:val="12"/>
          <w:szCs w:val="12"/>
          <w:color w:val="auto"/>
        </w:rPr>
      </w:pPr>
    </w:p>
    <w:p>
      <w:pPr>
        <w:ind w:left="2620" w:right="879" w:hanging="288"/>
        <w:spacing w:after="0" w:line="279" w:lineRule="auto"/>
        <w:tabs>
          <w:tab w:leader="none" w:pos="262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there is an effective registration statement covering the Common Stock issuable upon exercise of the Public Warrants, and a current prospectus relating thereto, available throughout the 30-day redemption.</w:t>
      </w:r>
    </w:p>
    <w:p>
      <w:pPr>
        <w:spacing w:after="0" w:line="111" w:lineRule="exact"/>
        <w:rPr>
          <w:sz w:val="20"/>
          <w:szCs w:val="20"/>
          <w:color w:val="auto"/>
        </w:rPr>
      </w:pPr>
    </w:p>
    <w:p>
      <w:pPr>
        <w:ind w:left="1980" w:right="919" w:firstLine="294"/>
        <w:spacing w:after="0" w:line="260" w:lineRule="auto"/>
        <w:rPr>
          <w:sz w:val="20"/>
          <w:szCs w:val="20"/>
          <w:color w:val="auto"/>
        </w:rPr>
      </w:pPr>
      <w:r>
        <w:rPr>
          <w:rFonts w:ascii="Times New Roman" w:cs="Times New Roman" w:eastAsia="Times New Roman" w:hAnsi="Times New Roman"/>
          <w:sz w:val="12"/>
          <w:szCs w:val="12"/>
          <w:color w:val="auto"/>
        </w:rPr>
        <w:t>We may not exercise such redemption right if the issuance of the Common Stock upon exercise of the warrants is not exempt from registration or qualification under applicable state blue sky laws or we are unable to effect such registration or qualification. 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2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The redemption criteria for our warrants have been established at a price which is intended to provide warrantholders a reasonable premium to the initial exercise price and provide a sufficient differential between the then-prevailing per share price of our Common Stock and the warrant exercise price so that if the per share price of our Common Stock declines as a result of our redemption call, the redemption will not cause the per share price of our Common Stock to drop below the exercise price of the warrants.</w:t>
      </w:r>
    </w:p>
    <w:p>
      <w:pPr>
        <w:spacing w:after="0" w:line="122" w:lineRule="exact"/>
        <w:rPr>
          <w:sz w:val="20"/>
          <w:szCs w:val="20"/>
          <w:color w:val="auto"/>
        </w:rPr>
      </w:pPr>
    </w:p>
    <w:p>
      <w:pPr>
        <w:ind w:left="1980" w:right="859" w:firstLine="294"/>
        <w:spacing w:after="0" w:line="253" w:lineRule="auto"/>
        <w:rPr>
          <w:sz w:val="20"/>
          <w:szCs w:val="20"/>
          <w:color w:val="auto"/>
        </w:rPr>
      </w:pPr>
      <w:r>
        <w:rPr>
          <w:rFonts w:ascii="Times New Roman" w:cs="Times New Roman" w:eastAsia="Times New Roman" w:hAnsi="Times New Roman"/>
          <w:sz w:val="12"/>
          <w:szCs w:val="12"/>
          <w:color w:val="auto"/>
        </w:rPr>
        <w:t>If we call the warrants for redemption as described above, our management will have the option to require all holders of warrants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for this purpose shall mean the average reported closing price of the shares of our Common Stock for the 10 trading days ending on the third trading day prior to the date on which the notice of redemption is sent to the holders of warrants. For example, if a holder held 150 warrants to purchase 150 shares of our Common Stock and the fair market value on the trading date prior to exercise was $15.00, that holder would receive 35 shares of our Common Stock without the payment of any additional cash consideration. Whether we will exercise our option to require all holders to exercise their warrants on a “cashless basis” will depend on a variety of factors, including the price of our Common Stock at the time the warrants are called for redemption, our cash needs at such time and concerns regarding dilutive share issuances. Requiring a cashless exercise in this manner will reduce the number of shares of our Common Stock to be issued and thereby lessen the dilutive effect of a warrant redemption. We believe this feature is an attractive option to use if we do not need the cash from the exercise of the Public Warrants.</w:t>
      </w:r>
    </w:p>
    <w:p>
      <w:pPr>
        <w:spacing w:after="0" w:line="126" w:lineRule="exact"/>
        <w:rPr>
          <w:sz w:val="20"/>
          <w:szCs w:val="20"/>
          <w:color w:val="auto"/>
        </w:rPr>
      </w:pPr>
    </w:p>
    <w:p>
      <w:pPr>
        <w:ind w:left="1980" w:right="859" w:firstLine="294"/>
        <w:spacing w:after="0" w:line="260" w:lineRule="auto"/>
        <w:rPr>
          <w:sz w:val="20"/>
          <w:szCs w:val="20"/>
          <w:color w:val="auto"/>
        </w:rPr>
      </w:pPr>
      <w:r>
        <w:rPr>
          <w:rFonts w:ascii="Times New Roman" w:cs="Times New Roman" w:eastAsia="Times New Roman" w:hAnsi="Times New Roman"/>
          <w:sz w:val="12"/>
          <w:szCs w:val="12"/>
          <w:color w:val="auto"/>
        </w:rPr>
        <w:t>The warrants are issued in registered form under the Warrant Agreement. The Warrant Agreement provides that the terms of the warrants may be amended without the consent of any holder to cure any ambiguity or correct any defective provision, but requires the approval, by written consent or vote, of the registered holders of a majority of the then-outstanding warrants (including the Private Warrants) in order to make any change that adversely affects the interests of the registered holders.</w:t>
      </w:r>
    </w:p>
    <w:p>
      <w:pPr>
        <w:spacing w:after="0" w:line="12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2"/>
          <w:szCs w:val="12"/>
          <w:color w:val="auto"/>
        </w:rPr>
        <w:t>The exercise price and number of shares of Common Stock issuable on exercise of the warrants may be adjusted in certain circumstances,</w:t>
      </w:r>
    </w:p>
    <w:p>
      <w:pPr>
        <w:spacing w:after="0" w:line="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2"/>
          <w:szCs w:val="12"/>
          <w:color w:val="auto"/>
        </w:rPr>
        <w:t>including in the event of (i) a stock dividend or split up, (ii) a consolidation, combination, reverse stock split or reclassification of the Common Stock,</w:t>
      </w:r>
    </w:p>
    <w:p>
      <w:pPr>
        <w:spacing w:after="0" w:line="6" w:lineRule="exact"/>
        <w:rPr>
          <w:sz w:val="20"/>
          <w:szCs w:val="20"/>
          <w:color w:val="auto"/>
        </w:rPr>
      </w:pPr>
    </w:p>
    <w:p>
      <w:pPr>
        <w:ind w:left="1980" w:right="959" w:hanging="8"/>
        <w:spacing w:after="0" w:line="255" w:lineRule="auto"/>
        <w:tabs>
          <w:tab w:leader="none" w:pos="219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dividend or (iv) reclassification or reorganization of the outstanding Common Stock or an merger or consolidation of us with or into another corporation. However, the warrants will not be adjusted for issuances of shares of Common Stock at a price below the par value per share issuable upon exercise of the warrants. Whenever the number of shares of</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270</w:t>
      </w:r>
    </w:p>
    <w:p>
      <w:pPr>
        <w:sectPr>
          <w:pgSz w:w="11900" w:h="16838" w:orient="portrait"/>
          <w:cols w:equalWidth="0" w:num="1">
            <w:col w:w="10159"/>
          </w:cols>
          <w:pgMar w:left="300" w:top="368" w:right="1440"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Common Stock purchasable upon the exercise of the warrants is adjusted, the warrant exercise price will be adjusted by multiplying such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Times New Roman" w:cs="Times New Roman" w:eastAsia="Times New Roman" w:hAnsi="Times New Roman"/>
          <w:sz w:val="12"/>
          <w:szCs w:val="12"/>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check or bank draft payable to the order of the warrant agent or wire transfer, for the number of warrants being exercised. The warrantholders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of Common Stock held of record on all matters to be voted on by stockholders.</w:t>
      </w:r>
    </w:p>
    <w:p>
      <w:pPr>
        <w:spacing w:after="0" w:line="125" w:lineRule="exact"/>
        <w:rPr>
          <w:sz w:val="20"/>
          <w:szCs w:val="20"/>
          <w:color w:val="auto"/>
        </w:rPr>
      </w:pPr>
    </w:p>
    <w:p>
      <w:pPr>
        <w:ind w:left="1980" w:right="879" w:firstLine="294"/>
        <w:spacing w:after="0" w:line="279" w:lineRule="auto"/>
        <w:rPr>
          <w:sz w:val="20"/>
          <w:szCs w:val="20"/>
          <w:color w:val="auto"/>
        </w:rPr>
      </w:pPr>
      <w:r>
        <w:rPr>
          <w:rFonts w:ascii="Times New Roman" w:cs="Times New Roman" w:eastAsia="Times New Roman" w:hAnsi="Times New Roman"/>
          <w:sz w:val="11"/>
          <w:szCs w:val="11"/>
          <w:color w:val="auto"/>
        </w:rPr>
        <w:t>Except as described above, no Public Warrants will be exercisable for cash and we will not be obligated to issue shares of Common Stock upon exercise of a warrant unless the shares of Common Stock issuable upon such warrant exercise have been registered, qualified or deemed to be exempt under the securities laws of the state of residence of the registered holder of the warrants. Under the terms of the Warrant Agreement, we have agreed to use our best efforts to meet these conditions and to maintain a current prospectus relating to the Common Stock issuable upon exercise of the warrants until the expiration of the warrants. However, we cannot assure you that we will be able to do so and, if we do not maintain a current prospectus relating to the Common Stock issuable upon exercise of the warrants, holders will be unable to exercise their warrants and we will not be required to settle any such warrant exercise. If the prospectus relating to the Common Stock issuable upon the exercise of the warrants is not current or if the Common Stock is not qualified or exempt from qualification in the jurisdictions in which the holders of the warrants reside, we will not be required to net cash settle or cash settle the warrant exercise, the warrants may have no value, the market for the warrants may be limited and the warrants may expire worthless.</w:t>
      </w:r>
    </w:p>
    <w:p>
      <w:pPr>
        <w:spacing w:after="0" w:line="117" w:lineRule="exact"/>
        <w:rPr>
          <w:sz w:val="20"/>
          <w:szCs w:val="20"/>
          <w:color w:val="auto"/>
        </w:rPr>
      </w:pPr>
    </w:p>
    <w:p>
      <w:pPr>
        <w:ind w:left="1980" w:right="919" w:firstLine="294"/>
        <w:spacing w:after="0" w:line="265" w:lineRule="auto"/>
        <w:rPr>
          <w:sz w:val="20"/>
          <w:szCs w:val="20"/>
          <w:color w:val="auto"/>
        </w:rPr>
      </w:pPr>
      <w:r>
        <w:rPr>
          <w:rFonts w:ascii="Times New Roman" w:cs="Times New Roman" w:eastAsia="Times New Roman" w:hAnsi="Times New Roman"/>
          <w:sz w:val="12"/>
          <w:szCs w:val="12"/>
          <w:color w:val="auto"/>
        </w:rPr>
        <w:t>Warrantholders may elect to be subject to a restriction on the exercise of their warrants such that an electing warrantholder would not be able to exercise their warrants to the extent that, after giving effect to such exercise, such holder (together with such holder’s affiliates) would beneficially own in excess of 9.8% of the Common Stock outstanding immediately after giving effect to such exercise.</w:t>
      </w:r>
    </w:p>
    <w:p>
      <w:pPr>
        <w:spacing w:after="0" w:line="119" w:lineRule="exact"/>
        <w:rPr>
          <w:sz w:val="20"/>
          <w:szCs w:val="20"/>
          <w:color w:val="auto"/>
        </w:rPr>
      </w:pPr>
    </w:p>
    <w:p>
      <w:pPr>
        <w:ind w:left="1980" w:right="839" w:firstLine="294"/>
        <w:spacing w:after="0" w:line="327" w:lineRule="auto"/>
        <w:rPr>
          <w:sz w:val="20"/>
          <w:szCs w:val="20"/>
          <w:color w:val="auto"/>
        </w:rPr>
      </w:pPr>
      <w:r>
        <w:rPr>
          <w:rFonts w:ascii="Times New Roman" w:cs="Times New Roman" w:eastAsia="Times New Roman" w:hAnsi="Times New Roman"/>
          <w:sz w:val="11"/>
          <w:szCs w:val="11"/>
          <w:color w:val="auto"/>
        </w:rPr>
        <w:t>No fractional shares will be issued upon exercise of the warrants. If, upon exercise of the warrants, a holder would be entitled to receive a fractional interest in a share, we will, upon exercise, round up to the nearest whole number of shares of Common Stock to be issued to the warrantholder.</w:t>
      </w:r>
    </w:p>
    <w:p>
      <w:pPr>
        <w:spacing w:after="0" w:line="15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Private Warrants</w:t>
      </w:r>
    </w:p>
    <w:p>
      <w:pPr>
        <w:spacing w:after="0" w:line="80"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The Private Warrants are identical to the Public Warrants except that such Private Warrants are exercisable for cash (even if a registration statement covering the issuance of the Common Stock issuable upon exercise of such warrants is not effective) or on a cashless basis, at the holder’s option, and will not be redeemable by us, in each case so long as they are still held by the initial purchasers or their affiliates.</w:t>
      </w:r>
    </w:p>
    <w:p>
      <w:pPr>
        <w:spacing w:after="0" w:line="119" w:lineRule="exact"/>
        <w:rPr>
          <w:sz w:val="20"/>
          <w:szCs w:val="20"/>
          <w:color w:val="auto"/>
        </w:rPr>
      </w:pPr>
    </w:p>
    <w:p>
      <w:pPr>
        <w:ind w:left="1980" w:right="103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summary of the terms and conditions of the SPAC Warrants does not purport to be complete and is qualified in its entirety by reference to the copy of the specimen warrant certificate and the Warrant Agreement that are filed as an exhibit to the registration statement of which this prospectus forms a part.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Penny Warrants</w:t>
      </w:r>
    </w:p>
    <w:p>
      <w:pPr>
        <w:spacing w:after="0" w:line="8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In connection with the closing of the transactions contemplated by the Scilex-Oramed SPA, we issued the Penny Warrants, having an exercise price of $0.01 per share, subject to adjustment as provided therein, to Oramed. As of March 31, 2025, of the 13,000,000 Penny Warrants initially issued to Oramed, warrants to</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271</w:t>
      </w:r>
    </w:p>
    <w:p>
      <w:pPr>
        <w:sectPr>
          <w:pgSz w:w="11900" w:h="16838" w:orient="portrait"/>
          <w:cols w:equalWidth="0" w:num="1">
            <w:col w:w="10159"/>
          </w:cols>
          <w:pgMar w:left="300" w:top="368" w:right="1440"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purchase 6,500,000 shares of Common Stock have been exercised and warrants to purchase 6,500,000 shares of Common Stock remain outstanding, are currently exercisable and will expire on the date that is the fifth anniversary of the issuance date.</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exercise price of the Penny Warrants issued to Oramed pursuant to the Scilex-Oramed SPA is $0.01 per share, subject to adjustment as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we combine (by combination, reverse stock split or otherwise) our Common Stock into a smaller number of shares. Accordingly, there was no adjustment made in connection with the Reverse Stock Split. Oramed may exercise the Penny Warrants by means of a “cashless exercise.”</w:t>
      </w:r>
    </w:p>
    <w:p>
      <w:pPr>
        <w:spacing w:after="0" w:line="125" w:lineRule="exact"/>
        <w:rPr>
          <w:sz w:val="20"/>
          <w:szCs w:val="20"/>
          <w:color w:val="auto"/>
        </w:rPr>
      </w:pPr>
    </w:p>
    <w:p>
      <w:pPr>
        <w:jc w:val="both"/>
        <w:ind w:left="1980" w:right="1159" w:firstLine="294"/>
        <w:spacing w:after="0" w:line="265" w:lineRule="auto"/>
        <w:rPr>
          <w:sz w:val="20"/>
          <w:szCs w:val="20"/>
          <w:color w:val="auto"/>
        </w:rPr>
      </w:pPr>
      <w:r>
        <w:rPr>
          <w:rFonts w:ascii="Times New Roman" w:cs="Times New Roman" w:eastAsia="Times New Roman" w:hAnsi="Times New Roman"/>
          <w:sz w:val="12"/>
          <w:szCs w:val="12"/>
          <w:color w:val="auto"/>
        </w:rPr>
        <w:t>The Penny Warrants may not be exercised if Oramed, together with its affiliates, would beneficially own in excess of 9.9% of the number of shares of Common Stock outstanding immediately after giving effect to such exercise (the “Oramed Beneficial Ownership Limitation”); provided, however, that upon 61 days’ prior notice to us, Oramed may increase or decrease the Oramed Beneficial Ownership Limitation.</w:t>
      </w:r>
    </w:p>
    <w:p>
      <w:pPr>
        <w:spacing w:after="0" w:line="119" w:lineRule="exact"/>
        <w:rPr>
          <w:sz w:val="20"/>
          <w:szCs w:val="20"/>
          <w:color w:val="auto"/>
        </w:rPr>
      </w:pPr>
    </w:p>
    <w:p>
      <w:pPr>
        <w:jc w:val="both"/>
        <w:ind w:left="1980" w:right="1159" w:firstLine="294"/>
        <w:spacing w:after="0" w:line="327" w:lineRule="auto"/>
        <w:rPr>
          <w:sz w:val="20"/>
          <w:szCs w:val="20"/>
          <w:color w:val="auto"/>
        </w:rPr>
      </w:pPr>
      <w:r>
        <w:rPr>
          <w:rFonts w:ascii="Times New Roman" w:cs="Times New Roman" w:eastAsia="Times New Roman" w:hAnsi="Times New Roman"/>
          <w:sz w:val="11"/>
          <w:szCs w:val="11"/>
          <w:color w:val="auto"/>
        </w:rPr>
        <w:t>The foregoing summary of the terms and conditions of the Penny Warrants does not purport to be complete and is qualified in its entirety by reference to the copy of the form of Penny Warrants that is filed as an exhibit to the registration statement of which this prospectus forms a part.</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February 2024 BDO Warrants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February 29, 2024, we entered into the February 2024 BDO Underwriting Agreement, pursuant to which we sold, in an underwritten offering,</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 the February 2024 BDO Firm Warrants to purchase up to 108,686 shares of Common Stock, issued to certain investors, with an exercise price of</w:t>
      </w:r>
    </w:p>
    <w:p>
      <w:pPr>
        <w:spacing w:after="0" w:line="6"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$59.50 per share and (ii) the February 2024 BDO Representative Warrants to purchase up to 13,446 shares of Common Stock, issued to StockBlock and Rodman &amp; Renshaw LLC, as the representatives of the underwriters named therein, with an exercise price of $74.38 per share. As of March 31, 2025, there were 122,132 February 2024 BDO Warrants that remain outstanding.</w:t>
      </w:r>
    </w:p>
    <w:p>
      <w:pPr>
        <w:spacing w:after="0" w:line="125"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Subject to certain ownership limitations, the February 2024 BDO Firm Warrants are exercisable immediately from the date of issuance and expire on the five-year anniversary of the date of issuance. The exercise price of the February 2024 BDO Firm Warrants is subject to certain adjustments, including (but not limited to) for stock dividends, stock splits, combinations and reclassifications of Common Stock.</w:t>
      </w:r>
    </w:p>
    <w:p>
      <w:pPr>
        <w:spacing w:after="0" w:line="119" w:lineRule="exact"/>
        <w:rPr>
          <w:sz w:val="20"/>
          <w:szCs w:val="20"/>
          <w:color w:val="auto"/>
        </w:rPr>
      </w:pPr>
    </w:p>
    <w:p>
      <w:pPr>
        <w:ind w:left="1980" w:right="999" w:firstLine="294"/>
        <w:spacing w:after="0" w:line="291" w:lineRule="auto"/>
        <w:rPr>
          <w:sz w:val="20"/>
          <w:szCs w:val="20"/>
          <w:color w:val="auto"/>
        </w:rPr>
      </w:pPr>
      <w:r>
        <w:rPr>
          <w:rFonts w:ascii="Times New Roman" w:cs="Times New Roman" w:eastAsia="Times New Roman" w:hAnsi="Times New Roman"/>
          <w:sz w:val="11"/>
          <w:szCs w:val="11"/>
          <w:color w:val="auto"/>
        </w:rPr>
        <w:t>A holder (together with its affiliates) may not exercise any portion of the February 2024 BDO Firm Warrants to the extent that the holder would own more than 4.99% of the Common Stock outstanding immediately after exercise (the “February 2024 BDO Beneficial Ownership Limitation”). However, upon at least 61 days’ prior notice from the holder to the Company, a holder may increase or decrease the February 2024 BDO Beneficial Ownership Limitation in accordance with the terms of the February 2024 BDO Firm Warrants, provided that it does not exceed 9.99%.</w:t>
      </w:r>
    </w:p>
    <w:p>
      <w:pPr>
        <w:spacing w:after="0" w:line="107" w:lineRule="exact"/>
        <w:rPr>
          <w:sz w:val="20"/>
          <w:szCs w:val="20"/>
          <w:color w:val="auto"/>
        </w:rPr>
      </w:pPr>
    </w:p>
    <w:p>
      <w:pPr>
        <w:ind w:left="1980" w:right="899" w:firstLine="294"/>
        <w:spacing w:after="0" w:line="327" w:lineRule="auto"/>
        <w:rPr>
          <w:sz w:val="20"/>
          <w:szCs w:val="20"/>
          <w:color w:val="auto"/>
        </w:rPr>
      </w:pPr>
      <w:r>
        <w:rPr>
          <w:rFonts w:ascii="Times New Roman" w:cs="Times New Roman" w:eastAsia="Times New Roman" w:hAnsi="Times New Roman"/>
          <w:sz w:val="11"/>
          <w:szCs w:val="11"/>
          <w:color w:val="auto"/>
        </w:rPr>
        <w:t>The February 2024 BDO Representative Warrants are exercisable immediately from the date of issuance and have the same terms as the February 2024 BDO Firm Warrants described above, except that the exercise price of the February 2024 BDO Representative Warrants is $74.38 per share.</w:t>
      </w:r>
    </w:p>
    <w:p>
      <w:pPr>
        <w:spacing w:after="0" w:line="87"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terms and conditions of the February 2024 BDO Warrants do not purport to be complete and are qualified in their entirety by reference to the copies of the forms of February 2024 BDO Warrants that are filed as an exhibit to the registration statement of which this prospectus forms a part.</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272</w:t>
      </w:r>
    </w:p>
    <w:p>
      <w:pPr>
        <w:sectPr>
          <w:pgSz w:w="11900" w:h="16838" w:orient="portrait"/>
          <w:cols w:equalWidth="0" w:num="1">
            <w:col w:w="10159"/>
          </w:cols>
          <w:pgMar w:left="300" w:top="368" w:right="1440"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April 2024 RDO Warrants</w:t>
      </w:r>
    </w:p>
    <w:p>
      <w:pPr>
        <w:spacing w:after="0" w:line="8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On April 23, 2024, we entered into the April 2024 RDO Purchase Agreement, pursuant to which we sold, in a registered direct offering, (i) the April 2024 RDO Common Warrants to purchase up to 428,572 shares of Common Stock, issued to the investor, with an exercise price of $38.50 per share and (ii) the April 2024 RDO Placement Agent Warrants to purchase up to 34,286 shares of Common Stock, issued to the Placement Agents, as the exclusive placement agents in connection with the offering, with an exercise price of $43.75 per share. As of March 31, 2025, all of the April 2024 RDO Warrants remain outstanding.</w:t>
      </w:r>
    </w:p>
    <w:p>
      <w:pPr>
        <w:spacing w:after="0" w:line="125"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Subject to certain ownership limitations, the April 2024 RDO Common Warrants are exercisable on the six-month anniversary from the date of issuance and expire on the five-year anniversary of the date of issuance. The exercise price of the April 2024 RDO Common Warrants is subject to certain adjustments, including stock dividends, stock splits, combinations and reclassifications of the Common Stock.</w:t>
      </w:r>
    </w:p>
    <w:p>
      <w:pPr>
        <w:spacing w:after="0" w:line="119"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A holder (together with its affiliates) may not exercise any portion of the April 2024 RDO Common Warrants to the extent that the holder would own more than 4.99% (or, at the purchaser’s option upon issuance, 9.99%) of the Common Stock outstanding immediately after exercise (the “April 2024 RDO Beneficial Ownership Limitation”). However, upon at least 61 days’ prior notice from the holder to the Company, a holder may increase or decrease the April 2024 RDO Beneficial Ownership Limitation in accordance with the terms of the April 2024 RDO Common Warrant, provided that it does not exceed 9.99%.</w:t>
      </w:r>
    </w:p>
    <w:p>
      <w:pPr>
        <w:spacing w:after="0" w:line="125" w:lineRule="exact"/>
        <w:rPr>
          <w:sz w:val="20"/>
          <w:szCs w:val="20"/>
          <w:color w:val="auto"/>
        </w:rPr>
      </w:pPr>
    </w:p>
    <w:p>
      <w:pPr>
        <w:ind w:left="1980" w:right="979" w:firstLine="294"/>
        <w:spacing w:after="0" w:line="265" w:lineRule="auto"/>
        <w:rPr>
          <w:sz w:val="20"/>
          <w:szCs w:val="20"/>
          <w:color w:val="auto"/>
        </w:rPr>
      </w:pPr>
      <w:r>
        <w:rPr>
          <w:rFonts w:ascii="Times New Roman" w:cs="Times New Roman" w:eastAsia="Times New Roman" w:hAnsi="Times New Roman"/>
          <w:sz w:val="12"/>
          <w:szCs w:val="12"/>
          <w:color w:val="auto"/>
        </w:rPr>
        <w:t>The April 2024 RDO Placement Agent Warrants are exercisable on the six-month anniversary of the date of issuance, expire five years from the commencement of sales in the offering and are substantially in the form of the April 2024 RDO Common Warrants described above, except that the exercise price of the April 2024 RDO Placement Agent Warrants is $43.75 per share.</w:t>
      </w:r>
    </w:p>
    <w:p>
      <w:pPr>
        <w:spacing w:after="0" w:line="119" w:lineRule="exact"/>
        <w:rPr>
          <w:sz w:val="20"/>
          <w:szCs w:val="20"/>
          <w:color w:val="auto"/>
        </w:rPr>
      </w:pPr>
    </w:p>
    <w:p>
      <w:pPr>
        <w:ind w:left="1980" w:right="105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terms and conditions of the April 2024 RDO Warrants do not purport to be complete and are qualified in their entirety by reference to the copies of the forms of April 2024 RDO Warrants that are filed as an exhibit to the registration statement of which this prospectus forms a part.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Deposit Warrant</w:t>
      </w:r>
    </w:p>
    <w:p>
      <w:pPr>
        <w:spacing w:after="0" w:line="82" w:lineRule="exact"/>
        <w:rPr>
          <w:sz w:val="20"/>
          <w:szCs w:val="20"/>
          <w:color w:val="auto"/>
        </w:rPr>
      </w:pPr>
    </w:p>
    <w:p>
      <w:pPr>
        <w:ind w:left="1980" w:right="859" w:firstLine="294"/>
        <w:spacing w:after="0" w:line="279" w:lineRule="auto"/>
        <w:rPr>
          <w:sz w:val="20"/>
          <w:szCs w:val="20"/>
          <w:color w:val="auto"/>
        </w:rPr>
      </w:pPr>
      <w:r>
        <w:rPr>
          <w:rFonts w:ascii="Times New Roman" w:cs="Times New Roman" w:eastAsia="Times New Roman" w:hAnsi="Times New Roman"/>
          <w:sz w:val="12"/>
          <w:szCs w:val="12"/>
          <w:color w:val="auto"/>
        </w:rPr>
        <w:t>In connection with the transactions contemplated by the Commitment Letter, we issued to FSF the Deposit Warrant to purchase up to an aggregate of 3,250,000 shares of Common Stock. As of March 31, 2025, the full amount of the Deposit Warrant remains outstanding.</w:t>
      </w:r>
    </w:p>
    <w:p>
      <w:pPr>
        <w:spacing w:after="0" w:line="111"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Deposit Warrant is exercisable immediately from the date of issuance and expires on the fifth anniversary of such date. The exercise price of the Deposit Warrant is $1.20 per share, subject to adjustment as provided therein. The exercise price and number of shares of Common Stock issuable upon the exercise of the Deposit Warrant are subject to adjustment in the event of any stock dividend, stock split, recapitalization or similar transaction, as described in the Deposit Warrant; provided that there shall not be any adjustment to the exercise price of the Deposit Warrant in the event we combine (by combination, reverse stock split or otherwise) the Common Stock into a smaller number of shares.</w:t>
      </w:r>
    </w:p>
    <w:p>
      <w:pPr>
        <w:spacing w:after="0" w:line="125" w:lineRule="exact"/>
        <w:rPr>
          <w:sz w:val="20"/>
          <w:szCs w:val="20"/>
          <w:color w:val="auto"/>
        </w:rPr>
      </w:pPr>
    </w:p>
    <w:p>
      <w:pPr>
        <w:ind w:left="1980" w:right="1139" w:firstLine="294"/>
        <w:spacing w:after="0" w:line="327" w:lineRule="auto"/>
        <w:rPr>
          <w:sz w:val="20"/>
          <w:szCs w:val="20"/>
          <w:color w:val="auto"/>
        </w:rPr>
      </w:pPr>
      <w:r>
        <w:rPr>
          <w:rFonts w:ascii="Times New Roman" w:cs="Times New Roman" w:eastAsia="Times New Roman" w:hAnsi="Times New Roman"/>
          <w:sz w:val="11"/>
          <w:szCs w:val="11"/>
          <w:color w:val="auto"/>
        </w:rPr>
        <w:t>The foregoing summary of the terms and conditions of the Deposit Warrant does not purport to be complete and is qualified in its entirety by reference to the copy of the form of Deposit Warrant that is filed as an exhibit to the registration statement of which this prospectus forms a part.</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October 2024 Warrants</w:t>
      </w:r>
    </w:p>
    <w:p>
      <w:pPr>
        <w:spacing w:after="0" w:line="82" w:lineRule="exact"/>
        <w:rPr>
          <w:sz w:val="20"/>
          <w:szCs w:val="20"/>
          <w:color w:val="auto"/>
        </w:rPr>
      </w:pPr>
    </w:p>
    <w:p>
      <w:pPr>
        <w:ind w:left="1980" w:right="879" w:firstLine="294"/>
        <w:spacing w:after="0" w:line="265" w:lineRule="auto"/>
        <w:rPr>
          <w:sz w:val="20"/>
          <w:szCs w:val="20"/>
          <w:color w:val="auto"/>
        </w:rPr>
      </w:pPr>
      <w:r>
        <w:rPr>
          <w:rFonts w:ascii="Times New Roman" w:cs="Times New Roman" w:eastAsia="Times New Roman" w:hAnsi="Times New Roman"/>
          <w:sz w:val="12"/>
          <w:szCs w:val="12"/>
          <w:color w:val="auto"/>
        </w:rPr>
        <w:t>On October 7, 2024, we entered into the Tranche B Securities Purchase Agreement with the Tranche B Noteholders, pursuant to which we sold, in a registered offering, (i) the October 2024 Noteholder Warrants to purchase up to 214,284 shares of Common Stock, issued to the Tranche B Noteholders, with a current exercise</w:t>
      </w:r>
    </w:p>
    <w:p>
      <w:pPr>
        <w:spacing w:after="0" w:line="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273</w:t>
      </w:r>
    </w:p>
    <w:p>
      <w:pPr>
        <w:sectPr>
          <w:pgSz w:w="11900" w:h="16838" w:orient="portrait"/>
          <w:cols w:equalWidth="0" w:num="1">
            <w:col w:w="10159"/>
          </w:cols>
          <w:pgMar w:left="300" w:top="368" w:right="1440"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19"/>
        <w:spacing w:after="0" w:line="265" w:lineRule="auto"/>
        <w:rPr>
          <w:sz w:val="20"/>
          <w:szCs w:val="20"/>
          <w:color w:val="auto"/>
        </w:rPr>
      </w:pPr>
      <w:r>
        <w:rPr>
          <w:rFonts w:ascii="Times New Roman" w:cs="Times New Roman" w:eastAsia="Times New Roman" w:hAnsi="Times New Roman"/>
          <w:sz w:val="12"/>
          <w:szCs w:val="12"/>
          <w:color w:val="auto"/>
        </w:rPr>
        <w:t>price of $36.40 per share and (ii) the October 2024 Placement Agent Warrants to purchase up to 104,848 shares of Common Stock, issued to the Placement Agents, with a current exercise price of $36.40 per share. As of March 31, 2025, there were 319,132 October 2024 Warrants that remain outstanding.</w:t>
      </w:r>
    </w:p>
    <w:p>
      <w:pPr>
        <w:spacing w:after="0" w:line="119" w:lineRule="exact"/>
        <w:rPr>
          <w:sz w:val="20"/>
          <w:szCs w:val="20"/>
          <w:color w:val="auto"/>
        </w:rPr>
      </w:pPr>
    </w:p>
    <w:p>
      <w:pPr>
        <w:ind w:left="1980" w:right="919" w:firstLine="294"/>
        <w:spacing w:after="0" w:line="255" w:lineRule="auto"/>
        <w:rPr>
          <w:sz w:val="20"/>
          <w:szCs w:val="20"/>
          <w:color w:val="auto"/>
        </w:rPr>
      </w:pPr>
      <w:r>
        <w:rPr>
          <w:rFonts w:ascii="Times New Roman" w:cs="Times New Roman" w:eastAsia="Times New Roman" w:hAnsi="Times New Roman"/>
          <w:sz w:val="12"/>
          <w:szCs w:val="12"/>
          <w:color w:val="auto"/>
        </w:rPr>
        <w:t>The October 2024 Noteholder Warrants are exercisable immediately from the date of issuance and expire five years from the issuance date. The exercise price of the October 2024 Noteholder Warrants is subject to adjustment for any stock split, stock dividend, stock combination, recapitalization or similar event, and is also subject to full-ratchet adjustment (down to the Exercise Price Floor) in connection with a subsequent offering at a per share price less than the exercise price then in effect. The exercise price cannot be lower than $1.04 (as adjusted for stock splits, stock dividends, stock combinations, recapitalizations and similar events, the “Exercise Price Floor”), unless shareholder approval is obtained to allow the October 2024 Noteholder Warrants to be exercised at a price lower than the Exercise Price Floor in accordance with Nasdaq listing rules. We are under no obligation to seek or obtain such shareholder approval.</w:t>
      </w:r>
    </w:p>
    <w:p>
      <w:pPr>
        <w:spacing w:after="0" w:line="126" w:lineRule="exact"/>
        <w:rPr>
          <w:sz w:val="20"/>
          <w:szCs w:val="20"/>
          <w:color w:val="auto"/>
        </w:rPr>
      </w:pPr>
    </w:p>
    <w:p>
      <w:pPr>
        <w:ind w:left="1980" w:right="1059" w:firstLine="294"/>
        <w:spacing w:after="0" w:line="257" w:lineRule="auto"/>
        <w:rPr>
          <w:sz w:val="20"/>
          <w:szCs w:val="20"/>
          <w:color w:val="auto"/>
        </w:rPr>
      </w:pPr>
      <w:r>
        <w:rPr>
          <w:rFonts w:ascii="Times New Roman" w:cs="Times New Roman" w:eastAsia="Times New Roman" w:hAnsi="Times New Roman"/>
          <w:sz w:val="12"/>
          <w:szCs w:val="12"/>
          <w:color w:val="auto"/>
        </w:rPr>
        <w:t>A holder shall not have the right to exercise any portion of a October 2024 Noteholder Warrant to the extent that, after giving effect to such conversion, the holder (together with certain related parties) would beneficially own in excess of 4.99% (the “October 2024 Beneficial Ownership Limitation”) of shares of Common Stock outstanding immediately after giving effect to such conversion. The October 2024 Beneficial Ownership Limitation may be raised or lowered to any other percentage not in excess of 9.99%, at the option of the holder, except that any increase will only be effective upon 61 days’ prior notice to the Company.</w:t>
      </w:r>
    </w:p>
    <w:p>
      <w:pPr>
        <w:spacing w:after="0" w:line="125" w:lineRule="exact"/>
        <w:rPr>
          <w:sz w:val="20"/>
          <w:szCs w:val="20"/>
          <w:color w:val="auto"/>
        </w:rPr>
      </w:pPr>
    </w:p>
    <w:p>
      <w:pPr>
        <w:jc w:val="both"/>
        <w:ind w:left="1980" w:right="1119" w:firstLine="294"/>
        <w:spacing w:after="0" w:line="327" w:lineRule="auto"/>
        <w:rPr>
          <w:sz w:val="20"/>
          <w:szCs w:val="20"/>
          <w:color w:val="auto"/>
        </w:rPr>
      </w:pPr>
      <w:r>
        <w:rPr>
          <w:rFonts w:ascii="Times New Roman" w:cs="Times New Roman" w:eastAsia="Times New Roman" w:hAnsi="Times New Roman"/>
          <w:sz w:val="11"/>
          <w:szCs w:val="11"/>
          <w:color w:val="auto"/>
        </w:rPr>
        <w:t>The October 2024 Placement Agent Warrants have the same terms as the October 2024 Noteholder Warrants described above, except that the Placement Agents have agreed not to exercise the October 2024 Placement Agent Warrants for a period of 180 days following the date of issuance.</w:t>
      </w:r>
    </w:p>
    <w:p>
      <w:pPr>
        <w:spacing w:after="0" w:line="87" w:lineRule="exact"/>
        <w:rPr>
          <w:sz w:val="20"/>
          <w:szCs w:val="20"/>
          <w:color w:val="auto"/>
        </w:rPr>
      </w:pPr>
    </w:p>
    <w:p>
      <w:pPr>
        <w:ind w:left="1980" w:right="121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terms and conditions of the October 2024 Warrants do not purport to be complete and are qualified in their entirety by reference to the copies of the forms of October 2024 Warrants that are filed as an exhibit to the registration statement of which this prospectus forms a part.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Tranche B Notes</w:t>
      </w:r>
    </w:p>
    <w:p>
      <w:pPr>
        <w:spacing w:after="0" w:line="82" w:lineRule="exact"/>
        <w:rPr>
          <w:sz w:val="20"/>
          <w:szCs w:val="20"/>
          <w:color w:val="auto"/>
        </w:rPr>
      </w:pPr>
    </w:p>
    <w:p>
      <w:pPr>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Pursuant to the Tranche B Securities Purchase Agreement, we issued to the Tranche B Noteholders the Tranche B Notes in the aggregate principal amount of $50,000,000, which notes are convertible into shares of Common Stock. As of March 31, 2025, we had Tranche B Notes in the aggregate principal amount of $36,994,298 that remain outstanding, which notes are convertible as of such date into 1,114,770 shares of Common Stock at the Conversion Price (as defined below).</w:t>
      </w:r>
    </w:p>
    <w:p>
      <w:pPr>
        <w:spacing w:after="0" w:line="122"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The aggregate principal balance of the Tranche B Notes is $50,000,000. The aggregate purchase price for the Tranche B Notes and the related warrants (described above) is $45,000,000. The Tranche B Notes have an original issue discount of 10.0%. We received in exchange for the issuance of the Tranche B Notes to the Tranche B Investors an aggregate amount in cash equal to $22,500,000, excluding fees and expenses. We received from Oramed in consideration for the Tranche B Notes issued to Oramed an exchange and reduction of the principal balance under the Oramed Note of an equivalent amount. The Tranche B Notes bear interest at a rate of 5.5% per annum, payable in arrears on the first trading day of each calendar quarter, beginning January 2, 2025, payable, at our option, either in cash or in shares of Common Stock, subject to certain conditions.</w:t>
      </w:r>
    </w:p>
    <w:p>
      <w:pPr>
        <w:spacing w:after="0" w:line="125" w:lineRule="exact"/>
        <w:rPr>
          <w:sz w:val="20"/>
          <w:szCs w:val="20"/>
          <w:color w:val="auto"/>
        </w:rPr>
      </w:pPr>
    </w:p>
    <w:p>
      <w:pPr>
        <w:ind w:left="1980" w:right="919" w:firstLine="294"/>
        <w:spacing w:after="0" w:line="256" w:lineRule="auto"/>
        <w:rPr>
          <w:sz w:val="20"/>
          <w:szCs w:val="20"/>
          <w:color w:val="auto"/>
        </w:rPr>
      </w:pPr>
      <w:r>
        <w:rPr>
          <w:rFonts w:ascii="Times New Roman" w:cs="Times New Roman" w:eastAsia="Times New Roman" w:hAnsi="Times New Roman"/>
          <w:sz w:val="12"/>
          <w:szCs w:val="12"/>
          <w:color w:val="auto"/>
        </w:rPr>
        <w:t>Unless earlier converted or redeemed, the Tranche B Notes will mature on the two-year anniversary of the issuance date, subject to extension at the option of the holder in certain circumstances as provided in the Tranche B Notes. All amounts due under the Tranche B Notes are convertible at any time, in whole or in part, and subject to certain beneficial ownership limitations, at the option of the holder into shares of our Common Stock at the Conversion Price, subject to adjustment as described in the Tranche B Notes. The Tranche B Notes are our senior secured obligation (alongside and in certain circumstances described herein subordinate to, the Oramed Note) and rank senior to the right to payment of the holders of our unsecured debt, except as described herein.</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274</w:t>
      </w:r>
    </w:p>
    <w:p>
      <w:pPr>
        <w:sectPr>
          <w:pgSz w:w="11900" w:h="16838" w:orient="portrait"/>
          <w:cols w:equalWidth="0" w:num="1">
            <w:col w:w="10159"/>
          </w:cols>
          <w:pgMar w:left="300" w:top="368" w:right="1440"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At any time after issuance, all amounts due under the Tranche B Notes are convertible, in whole or in part, at the holder’s option, into Common Stock at the Conversion Price, which is subject to (i) proportional adjustment upon the occurrence of any stock split, stock dividend, stock combination and/or similar transactions; and (ii) full-ratchet adjustment (down to the Conversion Price Floor) in connection with a subsequent offering at a per share price less than the fixed conversion price then in effect. The Conversion Price cannot be lower than the Conversion Price Floor unless shareholder approval is obtained to allow the Tranche B Notes to convert at a price lower than the Conversion Floor Price in accordance with Nasdaq listing rules. We are under no obligation to seek or obtain such shareholder approval.</w:t>
      </w:r>
    </w:p>
    <w:p>
      <w:pPr>
        <w:spacing w:after="0" w:line="125" w:lineRule="exact"/>
        <w:rPr>
          <w:sz w:val="20"/>
          <w:szCs w:val="20"/>
          <w:color w:val="auto"/>
        </w:rPr>
      </w:pPr>
    </w:p>
    <w:p>
      <w:pPr>
        <w:ind w:left="1980" w:right="899" w:firstLine="294"/>
        <w:spacing w:after="0" w:line="257" w:lineRule="auto"/>
        <w:rPr>
          <w:sz w:val="20"/>
          <w:szCs w:val="20"/>
          <w:color w:val="auto"/>
        </w:rPr>
      </w:pPr>
      <w:r>
        <w:rPr>
          <w:rFonts w:ascii="Times New Roman" w:cs="Times New Roman" w:eastAsia="Times New Roman" w:hAnsi="Times New Roman"/>
          <w:sz w:val="12"/>
          <w:szCs w:val="12"/>
          <w:color w:val="auto"/>
        </w:rPr>
        <w:t>The Tranche B Notes held by an individual holder may not be converted into shares of Common Stock to the extent such conversion would result in holder (together with certain related parties of holder) would beneficially own in excess of the Maximum Percentage of shares of the Common Stock outstanding immediately after giving effect to such conversion. The Maximum Percentage with respect to a holder and certain related parties may be raised or lowered to any other percentage not in excess of 9.99%, at the option of the holder, except that any increase will only be effective upon 61 days’ prior notice to the Company.</w:t>
      </w:r>
    </w:p>
    <w:p>
      <w:pPr>
        <w:spacing w:after="0" w:line="125" w:lineRule="exact"/>
        <w:rPr>
          <w:sz w:val="20"/>
          <w:szCs w:val="20"/>
          <w:color w:val="auto"/>
        </w:rPr>
      </w:pPr>
    </w:p>
    <w:p>
      <w:pPr>
        <w:jc w:val="both"/>
        <w:ind w:left="1980" w:right="879" w:firstLine="294"/>
        <w:spacing w:after="0" w:line="260" w:lineRule="auto"/>
        <w:rPr>
          <w:sz w:val="20"/>
          <w:szCs w:val="20"/>
          <w:color w:val="auto"/>
        </w:rPr>
      </w:pPr>
      <w:r>
        <w:rPr>
          <w:rFonts w:ascii="Times New Roman" w:cs="Times New Roman" w:eastAsia="Times New Roman" w:hAnsi="Times New Roman"/>
          <w:sz w:val="12"/>
          <w:szCs w:val="12"/>
          <w:color w:val="auto"/>
        </w:rPr>
        <w:t>We have the right (assuming no failure of certain specific conditions relating to our equity) to redeem in cash all, but not less than all, the amount then outstanding under the Tranche B Notes at a 35% redemption premium to the greater of (i) the amount then outstanding under the Tranche B Notes to be redeemed, and (ii) the equity value of Common Stock underlying such Tranche B Notes. We have a mandatory obligation to redeem the Tranche B Notes upon an event of default bankruptcy.</w:t>
      </w:r>
    </w:p>
    <w:p>
      <w:pPr>
        <w:spacing w:after="0" w:line="122"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Tranche B Notes are subject to redemption by us at the election of a holder in certain circumstances as more fully described therein, including, among other events, a change of control of the Company, a subsequent placement of certain securities of the Company, and asset sales by the Company.</w:t>
      </w:r>
    </w:p>
    <w:p>
      <w:pPr>
        <w:spacing w:after="0" w:line="11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The Tranche B Notes contain affirmative and negative covenants binding on the Company and its subsidiaries which restrict, among other things, the Company and its subsidiaries from incurring indebtedness or liens, redeeming securities, repaying certain indebtedness or declaring or paying any cash dividend or distribution, selling or disposing of any assets or rights of the Company and its subsidiaries, entering into or being a party to any transactions with any affiliates, incurring or guaranteeing any indebtedness or permitting the acceleration of any indebtedness, in each case as more fully set forth in, and subject to certain qualifications, exceptions, and “baskets” set forth in the Oramed Note. In addition, at the request of the holder, not more frequently than once per fiscal year, we shall hire an independent, reputable investment bank to investigate whether any breach of the Tranche B Notes has occurred if an event constituting an event of default has occurred and is continuing or any holder reasonably believes that an event constituting an event of default has occurred or is continuing.</w:t>
      </w:r>
    </w:p>
    <w:p>
      <w:pPr>
        <w:spacing w:after="0" w:line="128" w:lineRule="exact"/>
        <w:rPr>
          <w:sz w:val="20"/>
          <w:szCs w:val="20"/>
          <w:color w:val="auto"/>
        </w:rPr>
      </w:pPr>
    </w:p>
    <w:p>
      <w:pPr>
        <w:ind w:left="1980" w:right="899" w:firstLine="294"/>
        <w:spacing w:after="0" w:line="260" w:lineRule="auto"/>
        <w:rPr>
          <w:sz w:val="20"/>
          <w:szCs w:val="20"/>
          <w:color w:val="auto"/>
        </w:rPr>
      </w:pPr>
      <w:r>
        <w:rPr>
          <w:rFonts w:ascii="Times New Roman" w:cs="Times New Roman" w:eastAsia="Times New Roman" w:hAnsi="Times New Roman"/>
          <w:sz w:val="12"/>
          <w:szCs w:val="12"/>
          <w:color w:val="auto"/>
        </w:rPr>
        <w:t>The Tranche B Notes contain certain customary events of default, including, without limitation a cross-default to other specified indebtedness or any other indebtedness involving an obligation of $5,000,000 or more. The interest rate of the Tranche B Notes will automatically increase to the Default Rate upon the occurrence and continuance of an event of default. We are also required to pay a late charge of 15.0% on any amount of principal or other amounts that are not paid when due (solely to the extent such amounts are not then accruing interest at the Default Rate).</w:t>
      </w:r>
    </w:p>
    <w:p>
      <w:pPr>
        <w:spacing w:after="0" w:line="122"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Tranche B Notes prohibit us from entering into specified fundamental transactions unless the successor entity assumes all of our obligations under the Tranche B Notes under a written agreement approved by the required holders of the Tranche B Notes before the transaction is completed. Upon consummation of specified fundamental transactions, the successor entity must confirm that upon conversion or redemption of the Tranche B Notes thereafter, shares of the successor entity will be issuable upon such conversion or redemption. As noted above, the holders of the Tranche B Notes have certain redemption rights upon a fundamental transaction constituting a change of control.</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275</w:t>
      </w:r>
    </w:p>
    <w:p>
      <w:pPr>
        <w:sectPr>
          <w:pgSz w:w="11900" w:h="16838" w:orient="portrait"/>
          <w:cols w:equalWidth="0" w:num="1">
            <w:col w:w="10159"/>
          </w:cols>
          <w:pgMar w:left="300" w:top="368" w:right="1440"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1019" w:firstLine="294"/>
        <w:spacing w:after="0" w:line="260" w:lineRule="auto"/>
        <w:rPr>
          <w:sz w:val="20"/>
          <w:szCs w:val="20"/>
          <w:color w:val="auto"/>
        </w:rPr>
      </w:pPr>
      <w:r>
        <w:rPr>
          <w:rFonts w:ascii="Times New Roman" w:cs="Times New Roman" w:eastAsia="Times New Roman" w:hAnsi="Times New Roman"/>
          <w:sz w:val="12"/>
          <w:szCs w:val="12"/>
          <w:color w:val="auto"/>
        </w:rPr>
        <w:t>In connection with any amortization, certain redemptions or other repayment of the Tranche B Notes, we shall also pay an amount equal to the amount of additional interest that would accrue under such Tranche B Notes at the interest rate then in effect assuming that the amount so converted, redeemed, amortized or otherwise repaid on such date of determination instead remained outstanding through and including the maturity date of such Tranche B Notes.</w:t>
      </w:r>
    </w:p>
    <w:p>
      <w:pPr>
        <w:spacing w:after="0" w:line="122" w:lineRule="exact"/>
        <w:rPr>
          <w:sz w:val="20"/>
          <w:szCs w:val="20"/>
          <w:color w:val="auto"/>
        </w:rPr>
      </w:pPr>
    </w:p>
    <w:p>
      <w:pPr>
        <w:ind w:left="1980" w:right="979" w:firstLine="294"/>
        <w:spacing w:after="0" w:line="327" w:lineRule="auto"/>
        <w:rPr>
          <w:sz w:val="20"/>
          <w:szCs w:val="20"/>
          <w:color w:val="auto"/>
        </w:rPr>
      </w:pPr>
      <w:r>
        <w:rPr>
          <w:rFonts w:ascii="Times New Roman" w:cs="Times New Roman" w:eastAsia="Times New Roman" w:hAnsi="Times New Roman"/>
          <w:sz w:val="11"/>
          <w:szCs w:val="11"/>
          <w:color w:val="auto"/>
        </w:rPr>
        <w:t>The foregoing summaries of the terms and conditions of the Tranche B Notes do not purport to be complete and are qualified in their entirety by reference to the copies of the forms of Tranche B Notes that are filed as an exhibit to the registration statement of which this prospectus forms a part.</w:t>
      </w:r>
    </w:p>
    <w:p>
      <w:pPr>
        <w:spacing w:after="0" w:line="1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December 2024 Warrants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On December 11, 2024, we entered into the December 2024 RDO Purchase Agreement, pursuant to which we sold, in a registered direct offering,</w:t>
      </w:r>
    </w:p>
    <w:p>
      <w:pPr>
        <w:spacing w:after="0" w:line="17" w:lineRule="exact"/>
        <w:rPr>
          <w:sz w:val="20"/>
          <w:szCs w:val="20"/>
          <w:color w:val="auto"/>
        </w:rPr>
      </w:pPr>
    </w:p>
    <w:p>
      <w:pPr>
        <w:ind w:left="1980" w:right="859" w:hanging="8"/>
        <w:spacing w:after="0" w:line="253" w:lineRule="auto"/>
        <w:tabs>
          <w:tab w:leader="none" w:pos="2123"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aggregate of 26,355,347 shares of Common Stock, (ii) the December 2024 RDO Pre-Funded Warrants, to purchase up to 68,604 shares of Common Stock, with an exercise price of $22.72 per share, (iii) the December 2024 RDO Common Warrants to purchase up to 1,642,871 shares of Common Stock, issued to the investors, with an exercise price of $22.72 per share, and (iv) the StockBlock Warrants to purchase up to 131,472 shares of Common Stock, issued to StockBlock, with an exercise price of $25.81 per share.</w:t>
      </w:r>
    </w:p>
    <w:p>
      <w:pPr>
        <w:spacing w:after="0" w:line="127"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As of March 31, 2025, there were 1,774,343 December 2024 Warrants that remain outstanding. All of the December 2024 RDO Pre-Funded Warrants have been exercised.</w:t>
      </w:r>
    </w:p>
    <w:p>
      <w:pPr>
        <w:spacing w:after="0" w:line="111" w:lineRule="exact"/>
        <w:rPr>
          <w:sz w:val="20"/>
          <w:szCs w:val="20"/>
          <w:color w:val="auto"/>
        </w:rPr>
      </w:pPr>
    </w:p>
    <w:p>
      <w:pPr>
        <w:ind w:left="1980" w:right="1019" w:firstLine="294"/>
        <w:spacing w:after="0" w:line="265" w:lineRule="auto"/>
        <w:rPr>
          <w:sz w:val="20"/>
          <w:szCs w:val="20"/>
          <w:color w:val="auto"/>
        </w:rPr>
      </w:pPr>
      <w:r>
        <w:rPr>
          <w:rFonts w:ascii="Times New Roman" w:cs="Times New Roman" w:eastAsia="Times New Roman" w:hAnsi="Times New Roman"/>
          <w:sz w:val="12"/>
          <w:szCs w:val="12"/>
          <w:color w:val="auto"/>
        </w:rPr>
        <w:t>The December 2024 RDO Common Warrants, subject to certain ownership limitations, become exercisable on the six month anniversary of the date of issuance and one half of the December 2024 RDO Common Warrants have a term that expires five years from the date of issuance and the remaining one-half of such December 2024 RDO Common Warrants have a term that expires two and one-half years from the date of issuance.</w:t>
      </w:r>
    </w:p>
    <w:p>
      <w:pPr>
        <w:spacing w:after="0" w:line="119" w:lineRule="exact"/>
        <w:rPr>
          <w:sz w:val="20"/>
          <w:szCs w:val="20"/>
          <w:color w:val="auto"/>
        </w:rPr>
      </w:pPr>
    </w:p>
    <w:p>
      <w:pPr>
        <w:ind w:left="1980" w:right="999" w:firstLine="294"/>
        <w:spacing w:after="0" w:line="265" w:lineRule="auto"/>
        <w:rPr>
          <w:sz w:val="20"/>
          <w:szCs w:val="20"/>
          <w:color w:val="auto"/>
        </w:rPr>
      </w:pPr>
      <w:r>
        <w:rPr>
          <w:rFonts w:ascii="Times New Roman" w:cs="Times New Roman" w:eastAsia="Times New Roman" w:hAnsi="Times New Roman"/>
          <w:sz w:val="12"/>
          <w:szCs w:val="12"/>
          <w:color w:val="auto"/>
        </w:rPr>
        <w:t>The StockBlock Warrants are exercisable on the six-month anniversary of the date of issuance and one half of the StockBlock Warrants have a term that expires five years from the commencement of sales in the offering and the remaining one-half of such StockBlock Warrants have a term that expires on the date that is two and one-half years from the date of issuance.</w:t>
      </w:r>
    </w:p>
    <w:p>
      <w:pPr>
        <w:spacing w:after="0" w:line="119"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The exercise price of the December 2024 Warrants is subject to certain adjustments, including stock dividends, stock splits, combinations and reclassifications of the Common Stock. A holder (together with its affiliates) may not exercise any portion of the December 2024 Warrants to the extent that the holder would own more than 4.99% (or, at the holder’s option upon issuance, 9.99%) of the outstanding shares of Common Stock immediately after exercise (the “December 2024 RDO Beneficial Ownership Limitation”). However, upon at least 61 days’ prior notice from the holder to the Company, a holder may increase or decrease the December 2024 RDO Beneficial Ownership Limitation in accordance with the terms of the December 2024 RDO Warrant, provided that it does not exceed 9.99%.</w:t>
      </w:r>
    </w:p>
    <w:p>
      <w:pPr>
        <w:spacing w:after="0" w:line="125" w:lineRule="exact"/>
        <w:rPr>
          <w:sz w:val="20"/>
          <w:szCs w:val="20"/>
          <w:color w:val="auto"/>
        </w:rPr>
      </w:pPr>
    </w:p>
    <w:p>
      <w:pPr>
        <w:ind w:left="1980" w:right="1099" w:firstLine="294"/>
        <w:spacing w:after="0" w:line="265" w:lineRule="auto"/>
        <w:rPr>
          <w:sz w:val="20"/>
          <w:szCs w:val="20"/>
          <w:color w:val="auto"/>
        </w:rPr>
      </w:pPr>
      <w:r>
        <w:rPr>
          <w:rFonts w:ascii="Times New Roman" w:cs="Times New Roman" w:eastAsia="Times New Roman" w:hAnsi="Times New Roman"/>
          <w:sz w:val="12"/>
          <w:szCs w:val="12"/>
          <w:color w:val="auto"/>
        </w:rPr>
        <w:t>The foregoing summaries of the terms and conditions of the December 2024 Warrants do not purport to be complete and are qualified in their entirety by reference to the copies of the forms of December 2024 Warrants that are filed as an exhibit to the registration statement of which this prospectus forms a part.</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Transfer Agent and Registrar</w:t>
      </w:r>
    </w:p>
    <w:p>
      <w:pPr>
        <w:spacing w:after="0" w:line="82" w:lineRule="exact"/>
        <w:rPr>
          <w:sz w:val="20"/>
          <w:szCs w:val="20"/>
          <w:color w:val="auto"/>
        </w:rPr>
      </w:pPr>
    </w:p>
    <w:p>
      <w:pPr>
        <w:ind w:left="1980" w:right="979" w:firstLine="294"/>
        <w:spacing w:after="0" w:line="279" w:lineRule="auto"/>
        <w:rPr>
          <w:sz w:val="20"/>
          <w:szCs w:val="20"/>
          <w:color w:val="auto"/>
        </w:rPr>
      </w:pPr>
      <w:r>
        <w:rPr>
          <w:rFonts w:ascii="Times New Roman" w:cs="Times New Roman" w:eastAsia="Times New Roman" w:hAnsi="Times New Roman"/>
          <w:sz w:val="12"/>
          <w:szCs w:val="12"/>
          <w:color w:val="auto"/>
        </w:rPr>
        <w:t>The transfer agent and registrar for our Common Stock is Continental. The transfer agent’s address is 1 State Street, 30th Floor, New York, New York 10004.</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Listing</w:t>
      </w:r>
    </w:p>
    <w:p>
      <w:pPr>
        <w:spacing w:after="0" w:line="82" w:lineRule="exact"/>
        <w:rPr>
          <w:sz w:val="20"/>
          <w:szCs w:val="20"/>
          <w:color w:val="auto"/>
        </w:rPr>
      </w:pPr>
    </w:p>
    <w:p>
      <w:pPr>
        <w:ind w:left="1980" w:right="1399" w:firstLine="294"/>
        <w:spacing w:after="0" w:line="279" w:lineRule="auto"/>
        <w:rPr>
          <w:sz w:val="20"/>
          <w:szCs w:val="20"/>
          <w:color w:val="auto"/>
        </w:rPr>
      </w:pPr>
      <w:r>
        <w:rPr>
          <w:rFonts w:ascii="Times New Roman" w:cs="Times New Roman" w:eastAsia="Times New Roman" w:hAnsi="Times New Roman"/>
          <w:sz w:val="12"/>
          <w:szCs w:val="12"/>
          <w:color w:val="auto"/>
        </w:rPr>
        <w:t>Shares of our Common Stock and Public Warrants are listed on the Nasdaq Capital Market under the symbols “SCLX” and “SCLXW”, respectively.</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276</w:t>
      </w:r>
    </w:p>
    <w:p>
      <w:pPr>
        <w:sectPr>
          <w:pgSz w:w="11900" w:h="16838" w:orient="portrait"/>
          <w:cols w:equalWidth="0" w:num="1">
            <w:col w:w="10159"/>
          </w:cols>
          <w:pgMar w:left="300" w:top="368" w:right="1440"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5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validity of the securities being offered by this prospectus will be passed upon for us by Paul Hastings LLP, Palo Alto, California.</w:t>
      </w:r>
    </w:p>
    <w:p>
      <w:pPr>
        <w:spacing w:after="0" w:line="29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EXPERTS</w:t>
      </w:r>
    </w:p>
    <w:p>
      <w:pPr>
        <w:spacing w:after="0" w:line="154" w:lineRule="exact"/>
        <w:rPr>
          <w:sz w:val="20"/>
          <w:szCs w:val="20"/>
          <w:color w:val="auto"/>
        </w:rPr>
      </w:pPr>
    </w:p>
    <w:p>
      <w:pPr>
        <w:ind w:left="1980" w:right="859" w:firstLine="294"/>
        <w:spacing w:after="0" w:line="257" w:lineRule="auto"/>
        <w:rPr>
          <w:sz w:val="20"/>
          <w:szCs w:val="20"/>
          <w:color w:val="auto"/>
        </w:rPr>
      </w:pPr>
      <w:r>
        <w:rPr>
          <w:rFonts w:ascii="Times New Roman" w:cs="Times New Roman" w:eastAsia="Times New Roman" w:hAnsi="Times New Roman"/>
          <w:sz w:val="12"/>
          <w:szCs w:val="12"/>
          <w:color w:val="auto"/>
        </w:rPr>
        <w:t>The consolidated financial statements of Scilex Holding Company at December 31, 2024 and December 31, 2023, and for each of the two years in the period ended December 31, 2024, appearing in this prospectus, have been audited by BPM LLP, independent registered public accounting firm, as set forth in their report thereon (which contains an explanatory paragraph describing conditions that raise substantial doubt about the Company’s ability to continue as a going concern as described in Note 2 to the consolidated financial statements) appearing elsewhere herein, and are included in reliance upon such report given on the authority of such firm as experts in accounting and auditing.</w:t>
      </w:r>
    </w:p>
    <w:p>
      <w:pPr>
        <w:spacing w:after="0" w:line="26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WHERE YOU CAN FIND MORE INFORMATION</w:t>
      </w:r>
    </w:p>
    <w:p>
      <w:pPr>
        <w:spacing w:after="0" w:line="154" w:lineRule="exact"/>
        <w:rPr>
          <w:sz w:val="20"/>
          <w:szCs w:val="20"/>
          <w:color w:val="auto"/>
        </w:rPr>
      </w:pPr>
    </w:p>
    <w:p>
      <w:pPr>
        <w:ind w:left="1980" w:right="1019" w:firstLine="294"/>
        <w:spacing w:after="0" w:line="256" w:lineRule="auto"/>
        <w:rPr>
          <w:sz w:val="20"/>
          <w:szCs w:val="20"/>
          <w:color w:val="auto"/>
        </w:rPr>
      </w:pPr>
      <w:r>
        <w:rPr>
          <w:rFonts w:ascii="Times New Roman" w:cs="Times New Roman" w:eastAsia="Times New Roman" w:hAnsi="Times New Roman"/>
          <w:sz w:val="12"/>
          <w:szCs w:val="12"/>
          <w:color w:val="auto"/>
        </w:rPr>
        <w:t xml:space="preserve">We have filed a registration statement on Form S-1, including exhibits, under the Securities Act, with respect to the securities offered by this prospectus. This prospectus does not contain all of the information included in the registration statement. For further information pertaining to us and our securities, you should refer to the registration statement of which this prospectus is a part and the exhibits to such registration statement. The descriptions in this prospectus of the provisions of documents filed as exhibits to this prospectus are only summaries of those documents’ material terms. You can read copies of such documents, along with copies of reports, proxy statements and other information filed by us with the SEC at the SEC’s website at </w:t>
      </w:r>
      <w:r>
        <w:rPr>
          <w:rFonts w:ascii="Times New Roman" w:cs="Times New Roman" w:eastAsia="Times New Roman" w:hAnsi="Times New Roman"/>
          <w:sz w:val="12"/>
          <w:szCs w:val="12"/>
          <w:i w:val="1"/>
          <w:iCs w:val="1"/>
          <w:color w:val="auto"/>
        </w:rPr>
        <w:t>http://www.sec.gov</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1980" w:right="979" w:firstLine="294"/>
        <w:spacing w:after="0" w:line="260" w:lineRule="auto"/>
        <w:rPr>
          <w:sz w:val="20"/>
          <w:szCs w:val="20"/>
          <w:color w:val="auto"/>
        </w:rPr>
      </w:pPr>
      <w:r>
        <w:rPr>
          <w:rFonts w:ascii="Times New Roman" w:cs="Times New Roman" w:eastAsia="Times New Roman" w:hAnsi="Times New Roman"/>
          <w:sz w:val="12"/>
          <w:szCs w:val="12"/>
          <w:color w:val="auto"/>
        </w:rPr>
        <w:t>We also maintain a website at www.scilexholding.com.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 and the inclusion of our website address in this prospectus is an inactive textual reference only.</w:t>
      </w:r>
    </w:p>
    <w:p>
      <w:pPr>
        <w:spacing w:after="0" w:line="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277</w:t>
      </w:r>
    </w:p>
    <w:p>
      <w:pPr>
        <w:sectPr>
          <w:pgSz w:w="11900" w:h="16838" w:orient="portrait"/>
          <w:cols w:equalWidth="0" w:num="1">
            <w:col w:w="10159"/>
          </w:cols>
          <w:pgMar w:left="300" w:top="368" w:right="1440"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198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342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INDEX TO CONSOLIDATED FINANCIAL STATEMENTS</w:t>
            </w:r>
          </w:p>
        </w:tc>
        <w:tc>
          <w:tcPr>
            <w:tcW w:w="1780" w:type="dxa"/>
            <w:vAlign w:val="bottom"/>
          </w:tcPr>
          <w:p>
            <w:pPr>
              <w:spacing w:after="0"/>
              <w:rPr>
                <w:sz w:val="13"/>
                <w:szCs w:val="13"/>
                <w:color w:val="auto"/>
              </w:rPr>
            </w:pPr>
          </w:p>
        </w:tc>
      </w:tr>
      <w:tr>
        <w:trPr>
          <w:trHeight w:val="279"/>
        </w:trPr>
        <w:tc>
          <w:tcPr>
            <w:tcW w:w="3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9"/>
              </w:rPr>
              <w:t>Report of Independent Registered Public Accounting Firm (PCAOB ID: 207)</w:t>
            </w:r>
          </w:p>
        </w:tc>
        <w:tc>
          <w:tcPr>
            <w:tcW w:w="1800" w:type="dxa"/>
            <w:vAlign w:val="bottom"/>
            <w:gridSpan w:val="3"/>
          </w:tcPr>
          <w:p>
            <w:pPr>
              <w:spacing w:after="0"/>
              <w:rPr>
                <w:sz w:val="24"/>
                <w:szCs w:val="24"/>
                <w:color w:val="auto"/>
              </w:rPr>
            </w:pPr>
          </w:p>
        </w:tc>
        <w:tc>
          <w:tcPr>
            <w:tcW w:w="1780" w:type="dxa"/>
            <w:vAlign w:val="bottom"/>
          </w:tcPr>
          <w:p>
            <w:pPr>
              <w:ind w:left="1620"/>
              <w:spacing w:after="0"/>
              <w:rPr>
                <w:sz w:val="20"/>
                <w:szCs w:val="20"/>
                <w:color w:val="auto"/>
              </w:rPr>
            </w:pPr>
            <w:r>
              <w:rPr>
                <w:rFonts w:ascii="Times New Roman" w:cs="Times New Roman" w:eastAsia="Times New Roman" w:hAnsi="Times New Roman"/>
                <w:sz w:val="12"/>
                <w:szCs w:val="12"/>
                <w:color w:val="auto"/>
                <w:w w:val="83"/>
              </w:rPr>
              <w:t>F-2</w:t>
            </w:r>
          </w:p>
        </w:tc>
      </w:tr>
      <w:tr>
        <w:trPr>
          <w:trHeight w:val="124"/>
        </w:trPr>
        <w:tc>
          <w:tcPr>
            <w:tcW w:w="3100" w:type="dxa"/>
            <w:vAlign w:val="bottom"/>
            <w:tcBorders>
              <w:bottom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Balance Sheets as of December 31, 2024 and 2023</w:t>
            </w:r>
          </w:p>
        </w:tc>
        <w:tc>
          <w:tcPr>
            <w:tcW w:w="2420" w:type="dxa"/>
            <w:vAlign w:val="bottom"/>
            <w:gridSpan w:val="4"/>
          </w:tcPr>
          <w:p>
            <w:pPr>
              <w:spacing w:after="0"/>
              <w:rPr>
                <w:sz w:val="10"/>
                <w:szCs w:val="10"/>
                <w:color w:val="auto"/>
              </w:rPr>
            </w:pPr>
          </w:p>
        </w:tc>
        <w:tc>
          <w:tcPr>
            <w:tcW w:w="1780" w:type="dxa"/>
            <w:vAlign w:val="bottom"/>
          </w:tcPr>
          <w:p>
            <w:pPr>
              <w:ind w:left="1620"/>
              <w:spacing w:after="0" w:line="124" w:lineRule="exact"/>
              <w:rPr>
                <w:sz w:val="20"/>
                <w:szCs w:val="20"/>
                <w:color w:val="auto"/>
              </w:rPr>
            </w:pPr>
            <w:r>
              <w:rPr>
                <w:rFonts w:ascii="Times New Roman" w:cs="Times New Roman" w:eastAsia="Times New Roman" w:hAnsi="Times New Roman"/>
                <w:sz w:val="12"/>
                <w:szCs w:val="12"/>
                <w:color w:val="auto"/>
                <w:w w:val="83"/>
              </w:rPr>
              <w:t>F-3</w:t>
            </w:r>
          </w:p>
        </w:tc>
      </w:tr>
      <w:tr>
        <w:trPr>
          <w:trHeight w:val="124"/>
        </w:trPr>
        <w:tc>
          <w:tcPr>
            <w:tcW w:w="552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Operations and Comprehensive Loss for the Years ended December 31, 2024 and 2023</w:t>
            </w:r>
          </w:p>
        </w:tc>
        <w:tc>
          <w:tcPr>
            <w:tcW w:w="1780" w:type="dxa"/>
            <w:vAlign w:val="bottom"/>
          </w:tcPr>
          <w:p>
            <w:pPr>
              <w:ind w:left="1620"/>
              <w:spacing w:after="0" w:line="124" w:lineRule="exact"/>
              <w:rPr>
                <w:sz w:val="20"/>
                <w:szCs w:val="20"/>
                <w:color w:val="auto"/>
              </w:rPr>
            </w:pPr>
            <w:r>
              <w:rPr>
                <w:rFonts w:ascii="Times New Roman" w:cs="Times New Roman" w:eastAsia="Times New Roman" w:hAnsi="Times New Roman"/>
                <w:sz w:val="12"/>
                <w:szCs w:val="12"/>
                <w:color w:val="auto"/>
                <w:w w:val="83"/>
              </w:rPr>
              <w:t>F-4</w:t>
            </w:r>
          </w:p>
        </w:tc>
      </w:tr>
      <w:tr>
        <w:trPr>
          <w:trHeight w:val="124"/>
        </w:trPr>
        <w:tc>
          <w:tcPr>
            <w:tcW w:w="552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Stockholders’ Equity / (Deficit) for the Years ended December 31, 2024 and 2023</w:t>
            </w:r>
          </w:p>
        </w:tc>
        <w:tc>
          <w:tcPr>
            <w:tcW w:w="1780" w:type="dxa"/>
            <w:vAlign w:val="bottom"/>
          </w:tcPr>
          <w:p>
            <w:pPr>
              <w:ind w:left="1620"/>
              <w:spacing w:after="0" w:line="124" w:lineRule="exact"/>
              <w:rPr>
                <w:sz w:val="20"/>
                <w:szCs w:val="20"/>
                <w:color w:val="auto"/>
              </w:rPr>
            </w:pPr>
            <w:r>
              <w:rPr>
                <w:rFonts w:ascii="Times New Roman" w:cs="Times New Roman" w:eastAsia="Times New Roman" w:hAnsi="Times New Roman"/>
                <w:sz w:val="12"/>
                <w:szCs w:val="12"/>
                <w:color w:val="auto"/>
                <w:w w:val="83"/>
              </w:rPr>
              <w:t>F-5</w:t>
            </w:r>
          </w:p>
        </w:tc>
      </w:tr>
      <w:tr>
        <w:trPr>
          <w:trHeight w:val="124"/>
        </w:trPr>
        <w:tc>
          <w:tcPr>
            <w:tcW w:w="432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Cash Flows for the Years ended December 31, 2024 and 2023</w:t>
            </w:r>
          </w:p>
        </w:tc>
        <w:tc>
          <w:tcPr>
            <w:tcW w:w="940" w:type="dxa"/>
            <w:vAlign w:val="bottom"/>
            <w:tcBorders>
              <w:top w:val="single" w:sz="8" w:color="0000EE"/>
            </w:tcBorders>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tcPr>
          <w:p>
            <w:pPr>
              <w:ind w:left="1620"/>
              <w:spacing w:after="0" w:line="124" w:lineRule="exact"/>
              <w:rPr>
                <w:sz w:val="20"/>
                <w:szCs w:val="20"/>
                <w:color w:val="auto"/>
              </w:rPr>
            </w:pPr>
            <w:r>
              <w:rPr>
                <w:rFonts w:ascii="Times New Roman" w:cs="Times New Roman" w:eastAsia="Times New Roman" w:hAnsi="Times New Roman"/>
                <w:sz w:val="12"/>
                <w:szCs w:val="12"/>
                <w:color w:val="auto"/>
                <w:w w:val="83"/>
              </w:rPr>
              <w:t>F-6</w:t>
            </w:r>
          </w:p>
        </w:tc>
      </w:tr>
      <w:tr>
        <w:trPr>
          <w:trHeight w:val="124"/>
        </w:trPr>
        <w:tc>
          <w:tcPr>
            <w:tcW w:w="552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1780" w:type="dxa"/>
            <w:vAlign w:val="bottom"/>
          </w:tcPr>
          <w:p>
            <w:pPr>
              <w:ind w:left="1620"/>
              <w:spacing w:after="0" w:line="124" w:lineRule="exact"/>
              <w:rPr>
                <w:sz w:val="20"/>
                <w:szCs w:val="20"/>
                <w:color w:val="auto"/>
              </w:rPr>
            </w:pPr>
            <w:r>
              <w:rPr>
                <w:rFonts w:ascii="Times New Roman" w:cs="Times New Roman" w:eastAsia="Times New Roman" w:hAnsi="Times New Roman"/>
                <w:sz w:val="12"/>
                <w:szCs w:val="12"/>
                <w:color w:val="auto"/>
                <w:w w:val="83"/>
              </w:rPr>
              <w:t>F-8</w:t>
            </w:r>
          </w:p>
        </w:tc>
      </w:tr>
      <w:tr>
        <w:trPr>
          <w:trHeight w:val="250"/>
        </w:trPr>
        <w:tc>
          <w:tcPr>
            <w:tcW w:w="2100" w:type="dxa"/>
            <w:vAlign w:val="bottom"/>
            <w:tcBorders>
              <w:top w:val="single" w:sz="8" w:color="0000EE"/>
            </w:tcBorders>
          </w:tcPr>
          <w:p>
            <w:pPr>
              <w:spacing w:after="0"/>
              <w:rPr>
                <w:sz w:val="21"/>
                <w:szCs w:val="21"/>
                <w:color w:val="auto"/>
              </w:rPr>
            </w:pPr>
          </w:p>
        </w:tc>
        <w:tc>
          <w:tcPr>
            <w:tcW w:w="1000" w:type="dxa"/>
            <w:vAlign w:val="bottom"/>
          </w:tcPr>
          <w:p>
            <w:pPr>
              <w:spacing w:after="0"/>
              <w:rPr>
                <w:sz w:val="21"/>
                <w:szCs w:val="21"/>
                <w:color w:val="auto"/>
              </w:rPr>
            </w:pPr>
          </w:p>
        </w:tc>
        <w:tc>
          <w:tcPr>
            <w:tcW w:w="2420" w:type="dxa"/>
            <w:vAlign w:val="bottom"/>
            <w:gridSpan w:val="4"/>
          </w:tcPr>
          <w:p>
            <w:pPr>
              <w:jc w:val="center"/>
              <w:ind w:right="1300"/>
              <w:spacing w:after="0"/>
              <w:rPr>
                <w:sz w:val="20"/>
                <w:szCs w:val="20"/>
                <w:color w:val="auto"/>
              </w:rPr>
            </w:pPr>
            <w:r>
              <w:rPr>
                <w:rFonts w:ascii="Times New Roman" w:cs="Times New Roman" w:eastAsia="Times New Roman" w:hAnsi="Times New Roman"/>
                <w:sz w:val="12"/>
                <w:szCs w:val="12"/>
                <w:color w:val="auto"/>
                <w:w w:val="95"/>
              </w:rPr>
              <w:t>F-1</w:t>
            </w:r>
          </w:p>
        </w:tc>
        <w:tc>
          <w:tcPr>
            <w:tcW w:w="178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2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the Board of Directors and stockholders of</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Scilex Holding Company</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Opinion on the Financial Statements</w:t>
      </w:r>
    </w:p>
    <w:p>
      <w:pPr>
        <w:spacing w:after="0" w:line="82"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Scilex Holding Company and Subsidiaries (the “Company”) as of December 31, 2024 and 2023, and the related consolidated statements of operations and comprehensive loss, stockholders’ equity/(deficit),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as of December 31, 2024 and 2023, and the results of their operations and cash flows for each of the two years in the period ended December 31, 2024, in conformity with accounting principles generally accepted in the United States of America.</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Going Concern</w:t>
      </w:r>
    </w:p>
    <w:p>
      <w:pPr>
        <w:spacing w:after="0" w:line="82"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assuming that the entity will continue as a going concern. As discussed in Note 2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w:t>
      </w:r>
    </w:p>
    <w:p>
      <w:pPr>
        <w:spacing w:after="0" w:line="82"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25" w:lineRule="exact"/>
        <w:rPr>
          <w:sz w:val="20"/>
          <w:szCs w:val="20"/>
          <w:color w:val="auto"/>
        </w:rPr>
      </w:pPr>
    </w:p>
    <w:p>
      <w:pPr>
        <w:jc w:val="both"/>
        <w:ind w:left="1980" w:right="919"/>
        <w:spacing w:after="0" w:line="257"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 BPM LLP</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We have served as the Company’s auditor since 2024.</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Walnut Creek, California</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March 31, 2025</w:t>
      </w:r>
    </w:p>
    <w:p>
      <w:pPr>
        <w:spacing w:after="0" w:line="9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F-2</w:t>
      </w:r>
    </w:p>
    <w:p>
      <w:pPr>
        <w:sectPr>
          <w:pgSz w:w="11900" w:h="16838" w:orient="portrait"/>
          <w:cols w:equalWidth="0" w:num="1">
            <w:col w:w="10159"/>
          </w:cols>
          <w:pgMar w:left="300" w:top="368"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par value and share amounts)</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92"/>
        </w:trPr>
        <w:tc>
          <w:tcPr>
            <w:tcW w:w="5940" w:type="dxa"/>
            <w:vAlign w:val="bottom"/>
          </w:tcPr>
          <w:p>
            <w:pPr>
              <w:spacing w:after="0"/>
              <w:rPr>
                <w:sz w:val="7"/>
                <w:szCs w:val="7"/>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56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103"/>
        </w:trPr>
        <w:tc>
          <w:tcPr>
            <w:tcW w:w="59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8"/>
                <w:szCs w:val="8"/>
                <w:b w:val="1"/>
                <w:bCs w:val="1"/>
                <w:color w:val="auto"/>
              </w:rPr>
              <w:t>2024</w:t>
            </w:r>
          </w:p>
        </w:tc>
        <w:tc>
          <w:tcPr>
            <w:tcW w:w="2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2023</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5940" w:type="dxa"/>
            <w:vAlign w:val="bottom"/>
            <w:shd w:val="clear" w:color="auto" w:fill="CCEEFF"/>
          </w:tcPr>
          <w:p>
            <w:pPr>
              <w:ind w:left="2640"/>
              <w:spacing w:after="0" w:line="79" w:lineRule="exact"/>
              <w:rPr>
                <w:sz w:val="20"/>
                <w:szCs w:val="20"/>
                <w:color w:val="auto"/>
              </w:rPr>
            </w:pPr>
            <w:r>
              <w:rPr>
                <w:rFonts w:ascii="Times New Roman" w:cs="Times New Roman" w:eastAsia="Times New Roman" w:hAnsi="Times New Roman"/>
                <w:sz w:val="8"/>
                <w:szCs w:val="8"/>
                <w:b w:val="1"/>
                <w:bCs w:val="1"/>
                <w:color w:val="auto"/>
              </w:rPr>
              <w:t>ASSETS</w:t>
            </w: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Current assets: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3,272</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3,921</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Accounts receivable, net</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26,442</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34,597</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Inventory</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2,436</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4,214</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9,397</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4,049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current assets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10"/>
                <w:szCs w:val="10"/>
                <w:color w:val="auto"/>
              </w:rPr>
              <w:t>41,547</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46,781</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Property and equipment, net</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708</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722</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Operating lease right-of-use asset</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2,225</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2,943</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Intangibles, net</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32,453</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36,485</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Investments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2,420</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13,481</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13,481</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Other long-term assets</w:t>
            </w:r>
          </w:p>
        </w:tc>
        <w:tc>
          <w:tcPr>
            <w:tcW w:w="10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340"/>
              <w:spacing w:after="0" w:line="99" w:lineRule="exact"/>
              <w:rPr>
                <w:sz w:val="20"/>
                <w:szCs w:val="20"/>
                <w:color w:val="auto"/>
              </w:rPr>
            </w:pPr>
            <w:r>
              <w:rPr>
                <w:rFonts w:ascii="Times New Roman" w:cs="Times New Roman" w:eastAsia="Times New Roman" w:hAnsi="Times New Roman"/>
                <w:sz w:val="10"/>
                <w:szCs w:val="10"/>
                <w:color w:val="auto"/>
              </w:rPr>
              <w:t>119</w:t>
            </w: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897</w:t>
            </w:r>
          </w:p>
        </w:tc>
        <w:tc>
          <w:tcPr>
            <w:tcW w:w="0" w:type="dxa"/>
            <w:vAlign w:val="bottom"/>
          </w:tcPr>
          <w:p>
            <w:pPr>
              <w:spacing w:after="0"/>
              <w:rPr>
                <w:sz w:val="1"/>
                <w:szCs w:val="1"/>
                <w:color w:val="auto"/>
              </w:rPr>
            </w:pPr>
          </w:p>
        </w:tc>
      </w:tr>
      <w:tr>
        <w:trPr>
          <w:trHeight w:val="109"/>
        </w:trPr>
        <w:tc>
          <w:tcPr>
            <w:tcW w:w="594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assets</w:t>
            </w:r>
          </w:p>
        </w:tc>
        <w:tc>
          <w:tcPr>
            <w:tcW w:w="100" w:type="dxa"/>
            <w:vAlign w:val="bottom"/>
            <w:tcBorders>
              <w:top w:val="single" w:sz="8" w:color="auto"/>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92,953</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101,309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940" w:type="dxa"/>
            <w:vAlign w:val="bottom"/>
            <w:shd w:val="clear" w:color="auto" w:fill="CCEEFF"/>
          </w:tcPr>
          <w:p>
            <w:pPr>
              <w:ind w:left="1780"/>
              <w:spacing w:after="0" w:line="104" w:lineRule="exact"/>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Current liabilities: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52,620</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40,954</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Accrued payroll</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1,505</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2,681</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Accrued rebates and fees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162,517</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89,658</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Accrued expenses</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2,841</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7,408</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Current portion of deferred consideration</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447</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491</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Debt, current</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34,876</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108,429</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Purchased revenue liability, current</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4,115</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Current portion of operating lease liabilities</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714</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759</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259,635</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250,380</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Long-term portion of deferred consideration</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2,448</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2,895</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Debt, net of issuance costs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845</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17,038</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Purchased revenue liability, net of current portion</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2,685</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Derivative liabilities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18,303</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1,518</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Operating lease liabilities, net of current portion</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1,523</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2,237</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Other long-term liabilities</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155</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179</w:t>
            </w:r>
          </w:p>
        </w:tc>
        <w:tc>
          <w:tcPr>
            <w:tcW w:w="0" w:type="dxa"/>
            <w:vAlign w:val="bottom"/>
          </w:tcPr>
          <w:p>
            <w:pPr>
              <w:spacing w:after="0"/>
              <w:rPr>
                <w:sz w:val="1"/>
                <w:szCs w:val="1"/>
                <w:color w:val="auto"/>
              </w:rPr>
            </w:pPr>
          </w:p>
        </w:tc>
      </w:tr>
      <w:tr>
        <w:trPr>
          <w:trHeight w:val="97"/>
        </w:trPr>
        <w:tc>
          <w:tcPr>
            <w:tcW w:w="594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285,594</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274,247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Commitments and contingencies (See Note 11)</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Stockholders’ deficit:</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Preferred stock, $0.0001 par value, 45,000,000 shares authorized</w:t>
            </w: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940" w:type="dxa"/>
            <w:vAlign w:val="bottom"/>
          </w:tcPr>
          <w:p>
            <w:pPr>
              <w:ind w:left="380"/>
              <w:spacing w:after="0"/>
              <w:rPr>
                <w:sz w:val="20"/>
                <w:szCs w:val="20"/>
                <w:color w:val="auto"/>
              </w:rPr>
            </w:pPr>
            <w:r>
              <w:rPr>
                <w:rFonts w:ascii="Times New Roman" w:cs="Times New Roman" w:eastAsia="Times New Roman" w:hAnsi="Times New Roman"/>
                <w:sz w:val="10"/>
                <w:szCs w:val="10"/>
                <w:color w:val="auto"/>
              </w:rPr>
              <w:t>Series A, 29,057,097 shares issued and outstanding as of each of December 31, 2024 and December 31, 2023</w:t>
            </w:r>
          </w:p>
        </w:tc>
        <w:tc>
          <w:tcPr>
            <w:tcW w:w="100" w:type="dxa"/>
            <w:vAlign w:val="bottom"/>
          </w:tcPr>
          <w:p>
            <w:pPr>
              <w:spacing w:after="0"/>
              <w:rPr>
                <w:sz w:val="12"/>
                <w:szCs w:val="12"/>
                <w:color w:val="auto"/>
              </w:rPr>
            </w:pPr>
          </w:p>
        </w:tc>
        <w:tc>
          <w:tcPr>
            <w:tcW w:w="74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85"/>
        </w:trPr>
        <w:tc>
          <w:tcPr>
            <w:tcW w:w="5940" w:type="dxa"/>
            <w:vAlign w:val="bottom"/>
            <w:shd w:val="clear" w:color="auto" w:fill="CCEEFF"/>
          </w:tcPr>
          <w:p>
            <w:pPr>
              <w:ind w:left="380"/>
              <w:spacing w:after="0" w:line="85" w:lineRule="exact"/>
              <w:rPr>
                <w:sz w:val="20"/>
                <w:szCs w:val="20"/>
                <w:color w:val="auto"/>
              </w:rPr>
            </w:pPr>
            <w:r>
              <w:rPr>
                <w:rFonts w:ascii="Times New Roman" w:cs="Times New Roman" w:eastAsia="Times New Roman" w:hAnsi="Times New Roman"/>
                <w:sz w:val="8"/>
                <w:szCs w:val="8"/>
                <w:color w:val="auto"/>
              </w:rPr>
              <w:t>Series 1, 5,000,000 shares declared as a stock dividend, not yet distributed as of December 31, 2024; no shares authorized, issued and</w:t>
            </w:r>
          </w:p>
        </w:tc>
        <w:tc>
          <w:tcPr>
            <w:tcW w:w="10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13"/>
        </w:trPr>
        <w:tc>
          <w:tcPr>
            <w:tcW w:w="5940" w:type="dxa"/>
            <w:vAlign w:val="bottom"/>
            <w:shd w:val="clear" w:color="auto" w:fill="CCEEFF"/>
          </w:tcPr>
          <w:p>
            <w:pPr>
              <w:ind w:left="480"/>
              <w:spacing w:after="0" w:line="114" w:lineRule="exact"/>
              <w:rPr>
                <w:sz w:val="20"/>
                <w:szCs w:val="20"/>
                <w:color w:val="auto"/>
              </w:rPr>
            </w:pPr>
            <w:r>
              <w:rPr>
                <w:rFonts w:ascii="Times New Roman" w:cs="Times New Roman" w:eastAsia="Times New Roman" w:hAnsi="Times New Roman"/>
                <w:sz w:val="10"/>
                <w:szCs w:val="10"/>
                <w:color w:val="auto"/>
              </w:rPr>
              <w:t>outstanding as of December 31, 2023</w:t>
            </w:r>
          </w:p>
        </w:tc>
        <w:tc>
          <w:tcPr>
            <w:tcW w:w="100" w:type="dxa"/>
            <w:vAlign w:val="bottom"/>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5940" w:type="dxa"/>
            <w:vAlign w:val="bottom"/>
          </w:tcPr>
          <w:p>
            <w:pPr>
              <w:ind w:left="180"/>
              <w:spacing w:after="0" w:line="85" w:lineRule="exact"/>
              <w:rPr>
                <w:sz w:val="20"/>
                <w:szCs w:val="20"/>
                <w:color w:val="auto"/>
              </w:rPr>
            </w:pPr>
            <w:r>
              <w:rPr>
                <w:rFonts w:ascii="Times New Roman" w:cs="Times New Roman" w:eastAsia="Times New Roman" w:hAnsi="Times New Roman"/>
                <w:sz w:val="8"/>
                <w:szCs w:val="8"/>
                <w:color w:val="auto"/>
              </w:rPr>
              <w:t>Common stock, $0.0001 par value, 740,000,000 shares authorized; 243,312,885 shares issued and 183,244,300 shares outstanding as of</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5940" w:type="dxa"/>
            <w:vAlign w:val="bottom"/>
          </w:tcPr>
          <w:p>
            <w:pPr>
              <w:ind w:left="280"/>
              <w:spacing w:after="0" w:line="114" w:lineRule="exact"/>
              <w:rPr>
                <w:sz w:val="20"/>
                <w:szCs w:val="20"/>
                <w:color w:val="auto"/>
              </w:rPr>
            </w:pPr>
            <w:r>
              <w:rPr>
                <w:rFonts w:ascii="Times New Roman" w:cs="Times New Roman" w:eastAsia="Times New Roman" w:hAnsi="Times New Roman"/>
                <w:sz w:val="10"/>
                <w:szCs w:val="10"/>
                <w:color w:val="auto"/>
              </w:rPr>
              <w:t>December 31, 2024; 160,084,250 shares issued and 100,015,665 shares outstanding as of December 31, 2023</w:t>
            </w:r>
          </w:p>
        </w:tc>
        <w:tc>
          <w:tcPr>
            <w:tcW w:w="100" w:type="dxa"/>
            <w:vAlign w:val="bottom"/>
          </w:tcPr>
          <w:p>
            <w:pPr>
              <w:spacing w:after="0"/>
              <w:rPr>
                <w:sz w:val="9"/>
                <w:szCs w:val="9"/>
                <w:color w:val="auto"/>
              </w:rPr>
            </w:pPr>
          </w:p>
        </w:tc>
        <w:tc>
          <w:tcPr>
            <w:tcW w:w="420" w:type="dxa"/>
            <w:vAlign w:val="bottom"/>
            <w:gridSpan w:val="2"/>
          </w:tcPr>
          <w:p>
            <w:pPr>
              <w:jc w:val="right"/>
              <w:ind w:right="20"/>
              <w:spacing w:after="0" w:line="114" w:lineRule="exact"/>
              <w:rPr>
                <w:sz w:val="20"/>
                <w:szCs w:val="20"/>
                <w:color w:val="auto"/>
              </w:rPr>
            </w:pPr>
            <w:r>
              <w:rPr>
                <w:rFonts w:ascii="Times New Roman" w:cs="Times New Roman" w:eastAsia="Times New Roman" w:hAnsi="Times New Roman"/>
                <w:sz w:val="10"/>
                <w:szCs w:val="10"/>
                <w:color w:val="auto"/>
              </w:rPr>
              <w:t>24</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16</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454,591</w:t>
            </w: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407,813</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100" w:type="dxa"/>
            <w:vAlign w:val="bottom"/>
          </w:tcPr>
          <w:p>
            <w:pPr>
              <w:spacing w:after="0"/>
              <w:rPr>
                <w:sz w:val="8"/>
                <w:szCs w:val="8"/>
                <w:color w:val="auto"/>
              </w:rPr>
            </w:pPr>
          </w:p>
        </w:tc>
        <w:tc>
          <w:tcPr>
            <w:tcW w:w="42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6,317</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9"/>
        </w:trPr>
        <w:tc>
          <w:tcPr>
            <w:tcW w:w="594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Accumulated deficit</w:t>
            </w:r>
          </w:p>
        </w:tc>
        <w:tc>
          <w:tcPr>
            <w:tcW w:w="10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rPr>
              <w:t>(563,052)</w:t>
            </w: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(490,245)</w:t>
            </w:r>
          </w:p>
        </w:tc>
        <w:tc>
          <w:tcPr>
            <w:tcW w:w="0" w:type="dxa"/>
            <w:vAlign w:val="bottom"/>
          </w:tcPr>
          <w:p>
            <w:pPr>
              <w:spacing w:after="0"/>
              <w:rPr>
                <w:sz w:val="1"/>
                <w:szCs w:val="1"/>
                <w:color w:val="auto"/>
              </w:rPr>
            </w:pPr>
          </w:p>
        </w:tc>
      </w:tr>
      <w:tr>
        <w:trPr>
          <w:trHeight w:val="99"/>
        </w:trPr>
        <w:tc>
          <w:tcPr>
            <w:tcW w:w="594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Treasury stock, at cost; 60,068,585 shares as of each of December 31, 2024 and December 31, 2023</w:t>
            </w:r>
          </w:p>
        </w:tc>
        <w:tc>
          <w:tcPr>
            <w:tcW w:w="100" w:type="dxa"/>
            <w:vAlign w:val="bottom"/>
          </w:tcPr>
          <w:p>
            <w:pPr>
              <w:spacing w:after="0"/>
              <w:rPr>
                <w:sz w:val="8"/>
                <w:szCs w:val="8"/>
                <w:color w:val="auto"/>
              </w:rPr>
            </w:pPr>
          </w:p>
        </w:tc>
        <w:tc>
          <w:tcPr>
            <w:tcW w:w="740" w:type="dxa"/>
            <w:vAlign w:val="bottom"/>
            <w:gridSpan w:val="3"/>
          </w:tcPr>
          <w:p>
            <w:pPr>
              <w:jc w:val="right"/>
              <w:ind w:right="320"/>
              <w:spacing w:after="0" w:line="99" w:lineRule="exact"/>
              <w:rPr>
                <w:sz w:val="20"/>
                <w:szCs w:val="20"/>
                <w:color w:val="auto"/>
              </w:rPr>
            </w:pPr>
            <w:r>
              <w:rPr>
                <w:rFonts w:ascii="Times New Roman" w:cs="Times New Roman" w:eastAsia="Times New Roman" w:hAnsi="Times New Roman"/>
                <w:sz w:val="10"/>
                <w:szCs w:val="10"/>
                <w:color w:val="auto"/>
              </w:rPr>
              <w:t>(90,522)</w:t>
            </w:r>
          </w:p>
        </w:tc>
        <w:tc>
          <w:tcPr>
            <w:tcW w:w="100" w:type="dxa"/>
            <w:vAlign w:val="bottom"/>
          </w:tcPr>
          <w:p>
            <w:pPr>
              <w:spacing w:after="0"/>
              <w:rPr>
                <w:sz w:val="8"/>
                <w:szCs w:val="8"/>
                <w:color w:val="auto"/>
              </w:rPr>
            </w:pPr>
          </w:p>
        </w:tc>
        <w:tc>
          <w:tcPr>
            <w:tcW w:w="46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(90,522)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5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stockholders’ deficit</w:t>
            </w:r>
          </w:p>
        </w:tc>
        <w:tc>
          <w:tcPr>
            <w:tcW w:w="100" w:type="dxa"/>
            <w:vAlign w:val="bottom"/>
            <w:shd w:val="clear" w:color="auto" w:fill="CCEEFF"/>
          </w:tcPr>
          <w:p>
            <w:pPr>
              <w:spacing w:after="0"/>
              <w:rPr>
                <w:sz w:val="8"/>
                <w:szCs w:val="8"/>
                <w:color w:val="auto"/>
              </w:rPr>
            </w:pPr>
          </w:p>
        </w:tc>
        <w:tc>
          <w:tcPr>
            <w:tcW w:w="740" w:type="dxa"/>
            <w:vAlign w:val="bottom"/>
            <w:gridSpan w:val="3"/>
            <w:shd w:val="clear" w:color="auto" w:fill="CCEEFF"/>
          </w:tcPr>
          <w:p>
            <w:pPr>
              <w:jc w:val="right"/>
              <w:ind w:right="320"/>
              <w:spacing w:after="0" w:line="97" w:lineRule="exact"/>
              <w:rPr>
                <w:sz w:val="20"/>
                <w:szCs w:val="20"/>
                <w:color w:val="auto"/>
              </w:rPr>
            </w:pPr>
            <w:r>
              <w:rPr>
                <w:rFonts w:ascii="Times New Roman" w:cs="Times New Roman" w:eastAsia="Times New Roman" w:hAnsi="Times New Roman"/>
                <w:sz w:val="10"/>
                <w:szCs w:val="10"/>
                <w:color w:val="auto"/>
              </w:rPr>
              <w:t>(192,641)</w:t>
            </w: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(172,938)</w:t>
            </w:r>
          </w:p>
        </w:tc>
        <w:tc>
          <w:tcPr>
            <w:tcW w:w="0" w:type="dxa"/>
            <w:vAlign w:val="bottom"/>
          </w:tcPr>
          <w:p>
            <w:pPr>
              <w:spacing w:after="0"/>
              <w:rPr>
                <w:sz w:val="1"/>
                <w:szCs w:val="1"/>
                <w:color w:val="auto"/>
              </w:rPr>
            </w:pPr>
          </w:p>
        </w:tc>
      </w:tr>
      <w:tr>
        <w:trPr>
          <w:trHeight w:val="104"/>
        </w:trPr>
        <w:tc>
          <w:tcPr>
            <w:tcW w:w="5940" w:type="dxa"/>
            <w:vAlign w:val="bottom"/>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00" w:type="dxa"/>
            <w:vAlign w:val="bottom"/>
            <w:tcBorders>
              <w:top w:val="single" w:sz="8" w:color="auto"/>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92,953</w:t>
            </w:r>
          </w:p>
        </w:tc>
        <w:tc>
          <w:tcPr>
            <w:tcW w:w="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color w:val="auto"/>
              </w:rPr>
              <w:t>101,309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See accompanying notes to audited consolidated financial statements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F-3</w:t>
      </w:r>
    </w:p>
    <w:p>
      <w:pPr>
        <w:sectPr>
          <w:pgSz w:w="11900" w:h="16838" w:orient="portrait"/>
          <w:cols w:equalWidth="0" w:num="1">
            <w:col w:w="10159"/>
          </w:cols>
          <w:pgMar w:left="300" w:top="368"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 AND COMPREHENSIVE LOSS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 except for net loss per share amounts)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5"/>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w w:val="92"/>
              </w:rPr>
              <w:t>Year Ended December 31,</w:t>
            </w:r>
          </w:p>
        </w:tc>
      </w:tr>
      <w:tr>
        <w:trPr>
          <w:trHeight w:val="115"/>
        </w:trPr>
        <w:tc>
          <w:tcPr>
            <w:tcW w:w="60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6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56,590</w:t>
            </w:r>
          </w:p>
        </w:tc>
        <w:tc>
          <w:tcPr>
            <w:tcW w:w="22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46,743</w:t>
            </w:r>
          </w:p>
        </w:tc>
        <w:tc>
          <w:tcPr>
            <w:tcW w:w="80" w:type="dxa"/>
            <w:vAlign w:val="bottom"/>
            <w:shd w:val="clear" w:color="auto" w:fill="CCEEFF"/>
          </w:tcPr>
          <w:p>
            <w:pPr>
              <w:spacing w:after="0"/>
              <w:rPr>
                <w:sz w:val="11"/>
                <w:szCs w:val="11"/>
                <w:color w:val="auto"/>
              </w:rPr>
            </w:pPr>
          </w:p>
        </w:tc>
      </w:tr>
      <w:tr>
        <w:trPr>
          <w:trHeight w:val="144"/>
        </w:trPr>
        <w:tc>
          <w:tcPr>
            <w:tcW w:w="6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operating costs and expenses: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Cost of revenue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16,689</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15,681</w:t>
            </w:r>
          </w:p>
        </w:tc>
      </w:tr>
      <w:tr>
        <w:trPr>
          <w:trHeight w:val="144"/>
        </w:trPr>
        <w:tc>
          <w:tcPr>
            <w:tcW w:w="6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12,746</w:t>
            </w:r>
          </w:p>
        </w:tc>
      </w:tr>
      <w:tr>
        <w:trPr>
          <w:trHeight w:val="144"/>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119,016</w:t>
            </w: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119,641</w:t>
            </w:r>
          </w:p>
        </w:tc>
      </w:tr>
      <w:tr>
        <w:trPr>
          <w:trHeight w:val="144"/>
        </w:trPr>
        <w:tc>
          <w:tcPr>
            <w:tcW w:w="6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Intangible amortization</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4,106</w:t>
            </w:r>
          </w:p>
        </w:tc>
      </w:tr>
      <w:tr>
        <w:trPr>
          <w:trHeight w:val="144"/>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Legal settlements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(9,391)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— </w:t>
            </w:r>
          </w:p>
        </w:tc>
      </w:tr>
      <w:tr>
        <w:trPr>
          <w:trHeight w:val="142"/>
        </w:trPr>
        <w:tc>
          <w:tcPr>
            <w:tcW w:w="6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net operating costs and expenses</w:t>
            </w:r>
          </w:p>
        </w:tc>
        <w:tc>
          <w:tcPr>
            <w:tcW w:w="6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139,986</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152,174</w:t>
            </w:r>
          </w:p>
        </w:tc>
        <w:tc>
          <w:tcPr>
            <w:tcW w:w="80" w:type="dxa"/>
            <w:vAlign w:val="bottom"/>
          </w:tcPr>
          <w:p>
            <w:pPr>
              <w:spacing w:after="0"/>
              <w:rPr>
                <w:sz w:val="12"/>
                <w:szCs w:val="12"/>
                <w:color w:val="auto"/>
              </w:rPr>
            </w:pPr>
          </w:p>
        </w:tc>
      </w:tr>
      <w:tr>
        <w:trPr>
          <w:trHeight w:val="14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(83,396)</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(105,431)</w:t>
            </w:r>
          </w:p>
        </w:tc>
      </w:tr>
      <w:tr>
        <w:trPr>
          <w:trHeight w:val="144"/>
        </w:trPr>
        <w:tc>
          <w:tcPr>
            <w:tcW w:w="6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(income) expense, net:</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(Gain) loss on derivative liability</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(17,378)</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512</w:t>
            </w:r>
          </w:p>
        </w:tc>
      </w:tr>
      <w:tr>
        <w:trPr>
          <w:trHeight w:val="144"/>
        </w:trPr>
        <w:tc>
          <w:tcPr>
            <w:tcW w:w="6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of debt and liability instruments</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7,189</w:t>
            </w:r>
          </w:p>
        </w:tc>
      </w:tr>
      <w:tr>
        <w:trPr>
          <w:trHeight w:val="144"/>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Interest expense, net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1,963</w:t>
            </w: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1,068</w:t>
            </w:r>
          </w:p>
        </w:tc>
      </w:tr>
      <w:tr>
        <w:trPr>
          <w:trHeight w:val="144"/>
        </w:trPr>
        <w:tc>
          <w:tcPr>
            <w:tcW w:w="6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Loss on foreign currency exchange</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80" w:type="dxa"/>
            <w:vAlign w:val="bottom"/>
          </w:tcPr>
          <w:p>
            <w:pPr>
              <w:spacing w:after="0"/>
              <w:rPr>
                <w:sz w:val="12"/>
                <w:szCs w:val="12"/>
                <w:color w:val="auto"/>
              </w:rPr>
            </w:pPr>
          </w:p>
        </w:tc>
      </w:tr>
      <w:tr>
        <w:trPr>
          <w:trHeight w:val="14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(income) expense, net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(10,588)</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8,887</w:t>
            </w:r>
          </w:p>
        </w:tc>
      </w:tr>
      <w:tr>
        <w:trPr>
          <w:trHeight w:val="142"/>
        </w:trPr>
        <w:tc>
          <w:tcPr>
            <w:tcW w:w="6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before income taxes</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(72,808)</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9"/>
              </w:rPr>
              <w:t>(114,318)</w:t>
            </w:r>
          </w:p>
        </w:tc>
        <w:tc>
          <w:tcPr>
            <w:tcW w:w="80" w:type="dxa"/>
            <w:vAlign w:val="bottom"/>
          </w:tcPr>
          <w:p>
            <w:pPr>
              <w:spacing w:after="0"/>
              <w:rPr>
                <w:sz w:val="12"/>
                <w:szCs w:val="12"/>
                <w:color w:val="auto"/>
              </w:rPr>
            </w:pPr>
          </w:p>
        </w:tc>
      </w:tr>
      <w:tr>
        <w:trPr>
          <w:trHeight w:val="14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w:t>
            </w:r>
          </w:p>
        </w:tc>
      </w:tr>
      <w:tr>
        <w:trPr>
          <w:trHeight w:val="154"/>
        </w:trPr>
        <w:tc>
          <w:tcPr>
            <w:tcW w:w="6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(72,807</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(114,331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attributable to common stockholders—basic</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(0.56)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w:t>
            </w:r>
          </w:p>
        </w:tc>
      </w:tr>
      <w:tr>
        <w:trPr>
          <w:trHeight w:val="165"/>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Net loss per share attributable to common stockholders—diluted</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(0.61</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155"/>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during the period—basic</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131,136</w:t>
            </w:r>
          </w:p>
        </w:tc>
        <w:tc>
          <w:tcPr>
            <w:tcW w:w="22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130,298</w:t>
            </w:r>
          </w:p>
        </w:tc>
      </w:tr>
      <w:tr>
        <w:trPr>
          <w:trHeight w:val="165"/>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during the period—diluted</w:t>
            </w: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134,075</w:t>
            </w:r>
          </w:p>
        </w:tc>
        <w:tc>
          <w:tcPr>
            <w:tcW w:w="2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130,298</w:t>
            </w:r>
          </w:p>
        </w:tc>
        <w:tc>
          <w:tcPr>
            <w:tcW w:w="80" w:type="dxa"/>
            <w:vAlign w:val="bottom"/>
          </w:tcPr>
          <w:p>
            <w:pPr>
              <w:spacing w:after="0"/>
              <w:rPr>
                <w:sz w:val="14"/>
                <w:szCs w:val="14"/>
                <w:color w:val="auto"/>
              </w:rPr>
            </w:pPr>
          </w:p>
        </w:tc>
      </w:tr>
      <w:tr>
        <w:trPr>
          <w:trHeight w:val="14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(72,807)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(114,331)</w:t>
            </w:r>
          </w:p>
        </w:tc>
      </w:tr>
      <w:tr>
        <w:trPr>
          <w:trHeight w:val="14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0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in fair value attributable to instrument-specific credit risk</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r>
        <w:trPr>
          <w:trHeight w:val="14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comprehensive income</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6,317</w:t>
            </w: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— </w:t>
            </w:r>
          </w:p>
        </w:tc>
      </w:tr>
      <w:tr>
        <w:trPr>
          <w:trHeight w:val="142"/>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Comprehensive loss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(66,490</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(114,331</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60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See accompanying notes to audited consolidated financial statements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F-4</w:t>
      </w:r>
    </w:p>
    <w:p>
      <w:pPr>
        <w:sectPr>
          <w:pgSz w:w="11900" w:h="16838" w:orient="portrait"/>
          <w:cols w:equalWidth="0" w:num="1">
            <w:col w:w="10159"/>
          </w:cols>
          <w:pgMar w:left="300" w:top="368" w:right="1440"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0"/>
          <w:szCs w:val="10"/>
          <w:b w:val="1"/>
          <w:bCs w:val="1"/>
          <w:color w:val="auto"/>
        </w:rPr>
        <w:t>SCILEX HOLDING COMPANY</w:t>
      </w:r>
    </w:p>
    <w:p>
      <w:pPr>
        <w:jc w:val="center"/>
        <w:ind w:right="-1120"/>
        <w:spacing w:after="0" w:line="206" w:lineRule="auto"/>
        <w:rPr>
          <w:sz w:val="20"/>
          <w:szCs w:val="20"/>
          <w:color w:val="auto"/>
        </w:rPr>
      </w:pPr>
      <w:r>
        <w:rPr>
          <w:rFonts w:ascii="Times New Roman" w:cs="Times New Roman" w:eastAsia="Times New Roman" w:hAnsi="Times New Roman"/>
          <w:sz w:val="10"/>
          <w:szCs w:val="10"/>
          <w:b w:val="1"/>
          <w:bCs w:val="1"/>
          <w:color w:val="auto"/>
        </w:rPr>
        <w:t>CONSOLIDATED STATEMENTS OF STOCKHOLDERS’ EQUITY / (DEFICIT)</w:t>
      </w:r>
    </w:p>
    <w:p>
      <w:pPr>
        <w:jc w:val="center"/>
        <w:ind w:right="-1120"/>
        <w:spacing w:after="0" w:line="237" w:lineRule="auto"/>
        <w:rPr>
          <w:sz w:val="20"/>
          <w:szCs w:val="20"/>
          <w:color w:val="auto"/>
        </w:rPr>
      </w:pPr>
      <w:r>
        <w:rPr>
          <w:rFonts w:ascii="Times New Roman" w:cs="Times New Roman" w:eastAsia="Times New Roman" w:hAnsi="Times New Roman"/>
          <w:sz w:val="10"/>
          <w:szCs w:val="10"/>
          <w:b w:val="1"/>
          <w:bCs w:val="1"/>
          <w:color w:val="auto"/>
        </w:rPr>
        <w:t>(In thousands)</w:t>
      </w:r>
    </w:p>
    <w:p>
      <w:pPr>
        <w:spacing w:after="0" w:line="137" w:lineRule="exact"/>
        <w:rPr>
          <w:sz w:val="20"/>
          <w:szCs w:val="20"/>
          <w:color w:val="auto"/>
        </w:rPr>
      </w:pPr>
    </w:p>
    <w:tbl>
      <w:tblPr>
        <w:tblLayout w:type="fixed"/>
        <w:tblInd w:w="1980" w:type="dxa"/>
        <w:tblCellMar>
          <w:top w:w="0" w:type="dxa"/>
          <w:left w:w="0" w:type="dxa"/>
          <w:bottom w:w="0" w:type="dxa"/>
          <w:right w:w="0" w:type="dxa"/>
        </w:tblCellMar>
      </w:tblPr>
      <w:tr>
        <w:trPr>
          <w:trHeight w:val="92"/>
        </w:trPr>
        <w:tc>
          <w:tcPr>
            <w:tcW w:w="2480" w:type="dxa"/>
            <w:vAlign w:val="bottom"/>
          </w:tcPr>
          <w:p>
            <w:pPr>
              <w:spacing w:after="0"/>
              <w:rPr>
                <w:sz w:val="7"/>
                <w:szCs w:val="7"/>
                <w:color w:val="auto"/>
              </w:rPr>
            </w:pPr>
          </w:p>
        </w:tc>
        <w:tc>
          <w:tcPr>
            <w:tcW w:w="8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820" w:type="dxa"/>
            <w:vAlign w:val="bottom"/>
            <w:gridSpan w:val="5"/>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5"/>
            <w:vMerge w:val="restart"/>
          </w:tcPr>
          <w:p>
            <w:pPr>
              <w:ind w:left="12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800" w:type="dxa"/>
            <w:vAlign w:val="bottom"/>
            <w:gridSpan w:val="5"/>
            <w:vMerge w:val="continue"/>
          </w:tcPr>
          <w:p>
            <w:pPr>
              <w:spacing w:after="0"/>
              <w:rPr>
                <w:sz w:val="8"/>
                <w:szCs w:val="8"/>
                <w:color w:val="auto"/>
              </w:rPr>
            </w:pPr>
          </w:p>
        </w:tc>
        <w:tc>
          <w:tcPr>
            <w:tcW w:w="820" w:type="dxa"/>
            <w:vAlign w:val="bottom"/>
            <w:gridSpan w:val="5"/>
            <w:vMerge w:val="continue"/>
          </w:tcPr>
          <w:p>
            <w:pPr>
              <w:spacing w:after="0"/>
              <w:rPr>
                <w:sz w:val="8"/>
                <w:szCs w:val="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98"/>
              </w:rPr>
              <w:t>Additional</w:t>
            </w:r>
          </w:p>
        </w:tc>
        <w:tc>
          <w:tcPr>
            <w:tcW w:w="100" w:type="dxa"/>
            <w:vAlign w:val="bottom"/>
          </w:tcPr>
          <w:p>
            <w:pPr>
              <w:spacing w:after="0"/>
              <w:rPr>
                <w:sz w:val="8"/>
                <w:szCs w:val="8"/>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7"/>
              </w:rPr>
              <w:t>Other</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5"/>
            <w:vMerge w:val="continue"/>
          </w:tcPr>
          <w:p>
            <w:pPr>
              <w:spacing w:after="0"/>
              <w:rPr>
                <w:sz w:val="8"/>
                <w:szCs w:val="8"/>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66"/>
        </w:trPr>
        <w:tc>
          <w:tcPr>
            <w:tcW w:w="248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tcPr>
          <w:p>
            <w:pPr>
              <w:jc w:val="right"/>
              <w:ind w:right="200"/>
              <w:spacing w:after="0" w:line="67" w:lineRule="exact"/>
              <w:rPr>
                <w:sz w:val="20"/>
                <w:szCs w:val="20"/>
                <w:color w:val="auto"/>
              </w:rPr>
            </w:pPr>
            <w:r>
              <w:rPr>
                <w:rFonts w:ascii="Times New Roman" w:cs="Times New Roman" w:eastAsia="Times New Roman" w:hAnsi="Times New Roman"/>
                <w:sz w:val="7"/>
                <w:szCs w:val="7"/>
                <w:b w:val="1"/>
                <w:bCs w:val="1"/>
                <w:color w:val="auto"/>
              </w:rPr>
              <w:t>Paid-in</w:t>
            </w:r>
          </w:p>
        </w:tc>
        <w:tc>
          <w:tcPr>
            <w:tcW w:w="620" w:type="dxa"/>
            <w:vAlign w:val="bottom"/>
            <w:gridSpan w:val="3"/>
          </w:tcPr>
          <w:p>
            <w:pPr>
              <w:jc w:val="center"/>
              <w:ind w:right="60"/>
              <w:spacing w:after="0" w:line="67"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620" w:type="dxa"/>
            <w:vAlign w:val="bottom"/>
            <w:gridSpan w:val="3"/>
          </w:tcPr>
          <w:p>
            <w:pPr>
              <w:spacing w:after="0" w:line="67" w:lineRule="exact"/>
              <w:rPr>
                <w:sz w:val="20"/>
                <w:szCs w:val="20"/>
                <w:color w:val="auto"/>
              </w:rPr>
            </w:pPr>
            <w:r>
              <w:rPr>
                <w:rFonts w:ascii="Times New Roman" w:cs="Times New Roman" w:eastAsia="Times New Roman" w:hAnsi="Times New Roman"/>
                <w:sz w:val="7"/>
                <w:szCs w:val="7"/>
                <w:b w:val="1"/>
                <w:bCs w:val="1"/>
                <w:color w:val="auto"/>
              </w:rPr>
              <w:t>Accumulated</w:t>
            </w:r>
          </w:p>
        </w:tc>
        <w:tc>
          <w:tcPr>
            <w:tcW w:w="3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tcPr>
          <w:p>
            <w:pPr>
              <w:jc w:val="right"/>
              <w:ind w:right="200"/>
              <w:spacing w:after="0" w:line="67" w:lineRule="exact"/>
              <w:rPr>
                <w:sz w:val="20"/>
                <w:szCs w:val="20"/>
                <w:color w:val="auto"/>
              </w:rPr>
            </w:pPr>
            <w:r>
              <w:rPr>
                <w:rFonts w:ascii="Times New Roman" w:cs="Times New Roman" w:eastAsia="Times New Roman" w:hAnsi="Times New Roman"/>
                <w:sz w:val="7"/>
                <w:szCs w:val="7"/>
                <w:b w:val="1"/>
                <w:bCs w:val="1"/>
                <w:color w:val="auto"/>
              </w:rPr>
              <w:t>Equity</w:t>
            </w:r>
          </w:p>
        </w:tc>
        <w:tc>
          <w:tcPr>
            <w:tcW w:w="0" w:type="dxa"/>
            <w:vAlign w:val="bottom"/>
          </w:tcPr>
          <w:p>
            <w:pPr>
              <w:spacing w:after="0"/>
              <w:rPr>
                <w:sz w:val="1"/>
                <w:szCs w:val="1"/>
                <w:color w:val="auto"/>
              </w:rPr>
            </w:pPr>
          </w:p>
        </w:tc>
      </w:tr>
      <w:tr>
        <w:trPr>
          <w:trHeight w:val="103"/>
        </w:trPr>
        <w:tc>
          <w:tcPr>
            <w:tcW w:w="2480" w:type="dxa"/>
            <w:vAlign w:val="bottom"/>
          </w:tcPr>
          <w:p>
            <w:pPr>
              <w:spacing w:after="0"/>
              <w:rPr>
                <w:sz w:val="8"/>
                <w:szCs w:val="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2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Amount</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380" w:type="dxa"/>
            <w:vAlign w:val="bottom"/>
            <w:gridSpan w:val="3"/>
          </w:tcPr>
          <w:p>
            <w:pPr>
              <w:spacing w:after="0"/>
              <w:rPr>
                <w:sz w:val="20"/>
                <w:szCs w:val="20"/>
                <w:color w:val="auto"/>
              </w:rPr>
            </w:pPr>
            <w:r>
              <w:rPr>
                <w:rFonts w:ascii="Times New Roman" w:cs="Times New Roman" w:eastAsia="Times New Roman" w:hAnsi="Times New Roman"/>
                <w:sz w:val="8"/>
                <w:szCs w:val="8"/>
                <w:b w:val="1"/>
                <w:bCs w:val="1"/>
                <w:color w:val="auto"/>
              </w:rPr>
              <w:t>Amount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00" w:type="dxa"/>
            <w:vAlign w:val="bottom"/>
          </w:tcPr>
          <w:p>
            <w:pPr>
              <w:spacing w:after="0"/>
              <w:rPr>
                <w:sz w:val="8"/>
                <w:szCs w:val="8"/>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Income</w:t>
            </w:r>
          </w:p>
        </w:tc>
        <w:tc>
          <w:tcPr>
            <w:tcW w:w="80" w:type="dxa"/>
            <w:vAlign w:val="bottom"/>
          </w:tcPr>
          <w:p>
            <w:pPr>
              <w:spacing w:after="0"/>
              <w:rPr>
                <w:sz w:val="8"/>
                <w:szCs w:val="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Shares</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Amount</w:t>
            </w:r>
          </w:p>
        </w:tc>
        <w:tc>
          <w:tcPr>
            <w:tcW w:w="80" w:type="dxa"/>
            <w:vAlign w:val="bottom"/>
          </w:tcPr>
          <w:p>
            <w:pPr>
              <w:spacing w:after="0"/>
              <w:rPr>
                <w:sz w:val="8"/>
                <w:szCs w:val="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88"/>
        </w:trPr>
        <w:tc>
          <w:tcPr>
            <w:tcW w:w="248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Balance, December 31, 2022</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29,057</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w:t>
            </w:r>
          </w:p>
        </w:tc>
        <w:tc>
          <w:tcPr>
            <w:tcW w:w="1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ind w:left="40"/>
              <w:spacing w:after="0" w:line="88" w:lineRule="exact"/>
              <w:rPr>
                <w:sz w:val="20"/>
                <w:szCs w:val="20"/>
                <w:color w:val="auto"/>
              </w:rPr>
            </w:pPr>
            <w:r>
              <w:rPr>
                <w:rFonts w:ascii="Times New Roman" w:cs="Times New Roman" w:eastAsia="Times New Roman" w:hAnsi="Times New Roman"/>
                <w:sz w:val="10"/>
                <w:szCs w:val="10"/>
                <w:color w:val="auto"/>
                <w:w w:val="86"/>
              </w:rPr>
              <w:t>141,349</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14</w:t>
            </w:r>
          </w:p>
        </w:tc>
        <w:tc>
          <w:tcPr>
            <w:tcW w:w="8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4"/>
              </w:rPr>
              <w:t>$ 412,136</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tcBorders>
            <w:shd w:val="clear" w:color="auto" w:fill="CCEEFF"/>
          </w:tcPr>
          <w:p>
            <w:pPr>
              <w:ind w:left="320"/>
              <w:spacing w:after="0" w:line="88"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6"/>
              </w:rPr>
              <w:t>(375,914)</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ind w:left="180"/>
              <w:spacing w:after="0" w:line="88" w:lineRule="exact"/>
              <w:rPr>
                <w:sz w:val="20"/>
                <w:szCs w:val="20"/>
                <w:color w:val="auto"/>
              </w:rPr>
            </w:pPr>
            <w:r>
              <w:rPr>
                <w:rFonts w:ascii="Times New Roman" w:cs="Times New Roman" w:eastAsia="Times New Roman" w:hAnsi="Times New Roman"/>
                <w:sz w:val="10"/>
                <w:szCs w:val="10"/>
                <w:color w:val="auto"/>
                <w:w w:val="79"/>
              </w:rPr>
              <w:t>— </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36,239</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w w:val="99"/>
              </w:rPr>
              <w:t>Shares issued under the Standby Equity Purchase Agreements</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13,218</w:t>
            </w:r>
          </w:p>
        </w:tc>
        <w:tc>
          <w:tcPr>
            <w:tcW w:w="10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34,256</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34,257</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Disbursement of funds to Sorrento</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Repurchase of Treasury Stock, Preferred Stock, and warrants</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w:t>
            </w:r>
          </w:p>
        </w:tc>
        <w:tc>
          <w:tcPr>
            <w:tcW w:w="4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2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(53,196)</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0"/>
                <w:szCs w:val="10"/>
                <w:color w:val="auto"/>
              </w:rPr>
              <w:t>(60,069)</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w w:val="87"/>
              </w:rPr>
              <w:t>(90,522)</w:t>
            </w:r>
          </w:p>
        </w:tc>
        <w:tc>
          <w:tcPr>
            <w:tcW w:w="8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(143,721)</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Issuance of Penny Warrants</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10,401</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10,401</w:t>
            </w:r>
          </w:p>
        </w:tc>
        <w:tc>
          <w:tcPr>
            <w:tcW w:w="0" w:type="dxa"/>
            <w:vAlign w:val="bottom"/>
          </w:tcPr>
          <w:p>
            <w:pPr>
              <w:spacing w:after="0"/>
              <w:rPr>
                <w:sz w:val="1"/>
                <w:szCs w:val="1"/>
                <w:color w:val="auto"/>
              </w:rPr>
            </w:pPr>
          </w:p>
        </w:tc>
      </w:tr>
      <w:tr>
        <w:trPr>
          <w:trHeight w:val="85"/>
        </w:trPr>
        <w:tc>
          <w:tcPr>
            <w:tcW w:w="248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Issuance of common stock in connection with Settlement</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Agreement</w:t>
            </w:r>
          </w:p>
        </w:tc>
        <w:tc>
          <w:tcPr>
            <w:tcW w:w="38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3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200"/>
              <w:spacing w:after="0" w:line="114" w:lineRule="exact"/>
              <w:rPr>
                <w:sz w:val="20"/>
                <w:szCs w:val="20"/>
                <w:color w:val="auto"/>
              </w:rPr>
            </w:pPr>
            <w:r>
              <w:rPr>
                <w:rFonts w:ascii="Times New Roman" w:cs="Times New Roman" w:eastAsia="Times New Roman" w:hAnsi="Times New Roman"/>
                <w:sz w:val="10"/>
                <w:szCs w:val="10"/>
                <w:color w:val="auto"/>
              </w:rPr>
              <w:t>475</w:t>
            </w:r>
          </w:p>
        </w:tc>
        <w:tc>
          <w:tcPr>
            <w:tcW w:w="100" w:type="dxa"/>
            <w:vAlign w:val="bottom"/>
          </w:tcPr>
          <w:p>
            <w:pPr>
              <w:spacing w:after="0"/>
              <w:rPr>
                <w:sz w:val="9"/>
                <w:szCs w:val="9"/>
                <w:color w:val="auto"/>
              </w:rPr>
            </w:pPr>
          </w:p>
        </w:tc>
        <w:tc>
          <w:tcPr>
            <w:tcW w:w="2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750</w:t>
            </w:r>
          </w:p>
        </w:tc>
        <w:tc>
          <w:tcPr>
            <w:tcW w:w="100" w:type="dxa"/>
            <w:vAlign w:val="bottom"/>
          </w:tcPr>
          <w:p>
            <w:pPr>
              <w:spacing w:after="0"/>
              <w:rPr>
                <w:sz w:val="9"/>
                <w:szCs w:val="9"/>
                <w:color w:val="auto"/>
              </w:rPr>
            </w:pPr>
          </w:p>
        </w:tc>
        <w:tc>
          <w:tcPr>
            <w:tcW w:w="52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48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750</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Conversion of Convertible Debentures into common stock</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632</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7,735</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7,735</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Retainer shares issued</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4,000</w:t>
            </w:r>
          </w:p>
        </w:tc>
        <w:tc>
          <w:tcPr>
            <w:tcW w:w="10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Issuance of common stock upon warrants exercise</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521</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521</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Stock options exercised</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0"/>
                <w:szCs w:val="10"/>
                <w:color w:val="auto"/>
              </w:rPr>
              <w:t>365</w:t>
            </w:r>
          </w:p>
        </w:tc>
        <w:tc>
          <w:tcPr>
            <w:tcW w:w="100" w:type="dxa"/>
            <w:vAlign w:val="bottom"/>
          </w:tcPr>
          <w:p>
            <w:pPr>
              <w:spacing w:after="0"/>
              <w:rPr>
                <w:sz w:val="8"/>
                <w:szCs w:val="8"/>
                <w:color w:val="auto"/>
              </w:rPr>
            </w:pPr>
          </w:p>
        </w:tc>
        <w:tc>
          <w:tcPr>
            <w:tcW w:w="2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614</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614</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14,596</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14,596</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3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340" w:type="dxa"/>
            <w:vAlign w:val="bottom"/>
          </w:tcPr>
          <w:p>
            <w:pPr>
              <w:ind w:left="2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8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ind w:left="32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(114,331)</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(114,331)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4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Balance, December 31, 2023</w:t>
            </w: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29,057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w w:val="98"/>
              </w:rPr>
              <w:t>160,084</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0"/>
                <w:szCs w:val="10"/>
                <w:color w:val="auto"/>
              </w:rPr>
              <w:t>16</w:t>
            </w:r>
          </w:p>
        </w:tc>
        <w:tc>
          <w:tcPr>
            <w:tcW w:w="52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407,813</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7"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(490,245)</w:t>
            </w:r>
          </w:p>
        </w:tc>
        <w:tc>
          <w:tcPr>
            <w:tcW w:w="440" w:type="dxa"/>
            <w:vAlign w:val="bottom"/>
            <w:gridSpan w:val="2"/>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(60,069)</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w w:val="87"/>
              </w:rPr>
              <w:t>(90,522)</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(172,938)</w:t>
            </w:r>
          </w:p>
        </w:tc>
        <w:tc>
          <w:tcPr>
            <w:tcW w:w="0" w:type="dxa"/>
            <w:vAlign w:val="bottom"/>
          </w:tcPr>
          <w:p>
            <w:pPr>
              <w:spacing w:after="0"/>
              <w:rPr>
                <w:sz w:val="1"/>
                <w:szCs w:val="1"/>
                <w:color w:val="auto"/>
              </w:rPr>
            </w:pPr>
          </w:p>
        </w:tc>
      </w:tr>
      <w:tr>
        <w:trPr>
          <w:trHeight w:val="83"/>
        </w:trPr>
        <w:tc>
          <w:tcPr>
            <w:tcW w:w="2480" w:type="dxa"/>
            <w:vAlign w:val="bottom"/>
          </w:tcPr>
          <w:p>
            <w:pPr>
              <w:spacing w:after="0" w:line="83" w:lineRule="exact"/>
              <w:rPr>
                <w:sz w:val="20"/>
                <w:szCs w:val="20"/>
                <w:color w:val="auto"/>
              </w:rPr>
            </w:pPr>
            <w:r>
              <w:rPr>
                <w:rFonts w:ascii="Times New Roman" w:cs="Times New Roman" w:eastAsia="Times New Roman" w:hAnsi="Times New Roman"/>
                <w:sz w:val="8"/>
                <w:szCs w:val="8"/>
                <w:color w:val="auto"/>
              </w:rPr>
              <w:t>Shares issued under the Standby Equity Purchase Agreements</w:t>
            </w: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and under the ATM Sales Agreement</w:t>
            </w:r>
          </w:p>
        </w:tc>
        <w:tc>
          <w:tcPr>
            <w:tcW w:w="38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3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2,861</w:t>
            </w:r>
          </w:p>
        </w:tc>
        <w:tc>
          <w:tcPr>
            <w:tcW w:w="100" w:type="dxa"/>
            <w:vAlign w:val="bottom"/>
          </w:tcPr>
          <w:p>
            <w:pPr>
              <w:spacing w:after="0"/>
              <w:rPr>
                <w:sz w:val="9"/>
                <w:szCs w:val="9"/>
                <w:color w:val="auto"/>
              </w:rPr>
            </w:pPr>
          </w:p>
        </w:tc>
        <w:tc>
          <w:tcPr>
            <w:tcW w:w="2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2,671</w:t>
            </w:r>
          </w:p>
        </w:tc>
        <w:tc>
          <w:tcPr>
            <w:tcW w:w="100" w:type="dxa"/>
            <w:vAlign w:val="bottom"/>
          </w:tcPr>
          <w:p>
            <w:pPr>
              <w:spacing w:after="0"/>
              <w:rPr>
                <w:sz w:val="9"/>
                <w:szCs w:val="9"/>
                <w:color w:val="auto"/>
              </w:rPr>
            </w:pPr>
          </w:p>
        </w:tc>
        <w:tc>
          <w:tcPr>
            <w:tcW w:w="52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48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2,671</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Shares issued under the February 2024 BDO</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5,882</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3,768</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3,769</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Shares issued under the April 2024 RDO</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15,000</w:t>
            </w:r>
          </w:p>
        </w:tc>
        <w:tc>
          <w:tcPr>
            <w:tcW w:w="10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5,918</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5,919</w:t>
            </w:r>
          </w:p>
        </w:tc>
        <w:tc>
          <w:tcPr>
            <w:tcW w:w="0" w:type="dxa"/>
            <w:vAlign w:val="bottom"/>
          </w:tcPr>
          <w:p>
            <w:pPr>
              <w:spacing w:after="0"/>
              <w:rPr>
                <w:sz w:val="1"/>
                <w:szCs w:val="1"/>
                <w:color w:val="auto"/>
              </w:rPr>
            </w:pPr>
          </w:p>
        </w:tc>
      </w:tr>
      <w:tr>
        <w:trPr>
          <w:trHeight w:val="85"/>
        </w:trPr>
        <w:tc>
          <w:tcPr>
            <w:tcW w:w="248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April 2024 RDO Placement Agent Warrants and February</w:t>
            </w: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2024 BDO Representative Warrants</w:t>
            </w:r>
          </w:p>
        </w:tc>
        <w:tc>
          <w:tcPr>
            <w:tcW w:w="38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956</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956</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Retainer shares issued</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0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w w:val="98"/>
              </w:rPr>
              <w:t>Fee Warrant issued in connection with the Commitment Letter</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310</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310</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Repurchase of warrants</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2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(298)</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(298)</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Common stock issuable under the SIPA</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345</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345</w:t>
            </w:r>
          </w:p>
        </w:tc>
        <w:tc>
          <w:tcPr>
            <w:tcW w:w="0" w:type="dxa"/>
            <w:vAlign w:val="bottom"/>
          </w:tcPr>
          <w:p>
            <w:pPr>
              <w:spacing w:after="0"/>
              <w:rPr>
                <w:sz w:val="1"/>
                <w:szCs w:val="1"/>
                <w:color w:val="auto"/>
              </w:rPr>
            </w:pPr>
          </w:p>
        </w:tc>
      </w:tr>
      <w:tr>
        <w:trPr>
          <w:trHeight w:val="85"/>
        </w:trPr>
        <w:tc>
          <w:tcPr>
            <w:tcW w:w="248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Placement Agent Shares and October 2024 Placement Agent</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480" w:type="dxa"/>
            <w:vAlign w:val="bottom"/>
          </w:tcPr>
          <w:p>
            <w:pPr>
              <w:ind w:left="80"/>
              <w:spacing w:after="0" w:line="114" w:lineRule="exact"/>
              <w:rPr>
                <w:sz w:val="20"/>
                <w:szCs w:val="20"/>
                <w:color w:val="auto"/>
              </w:rPr>
            </w:pPr>
            <w:r>
              <w:rPr>
                <w:rFonts w:ascii="Times New Roman" w:cs="Times New Roman" w:eastAsia="Times New Roman" w:hAnsi="Times New Roman"/>
                <w:sz w:val="10"/>
                <w:szCs w:val="10"/>
                <w:color w:val="auto"/>
              </w:rPr>
              <w:t>Warrants</w:t>
            </w:r>
          </w:p>
        </w:tc>
        <w:tc>
          <w:tcPr>
            <w:tcW w:w="38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9"/>
                <w:szCs w:val="9"/>
                <w:color w:val="auto"/>
              </w:rPr>
            </w:pPr>
          </w:p>
        </w:tc>
        <w:tc>
          <w:tcPr>
            <w:tcW w:w="320" w:type="dxa"/>
            <w:vAlign w:val="bottom"/>
            <w:gridSpan w:val="2"/>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114" w:lineRule="exact"/>
              <w:rPr>
                <w:sz w:val="20"/>
                <w:szCs w:val="20"/>
                <w:color w:val="auto"/>
              </w:rPr>
            </w:pPr>
            <w:r>
              <w:rPr>
                <w:rFonts w:ascii="Times New Roman" w:cs="Times New Roman" w:eastAsia="Times New Roman" w:hAnsi="Times New Roman"/>
                <w:sz w:val="10"/>
                <w:szCs w:val="10"/>
                <w:color w:val="auto"/>
              </w:rPr>
              <w:t>2,197</w:t>
            </w:r>
          </w:p>
        </w:tc>
        <w:tc>
          <w:tcPr>
            <w:tcW w:w="100" w:type="dxa"/>
            <w:vAlign w:val="bottom"/>
          </w:tcPr>
          <w:p>
            <w:pPr>
              <w:spacing w:after="0"/>
              <w:rPr>
                <w:sz w:val="9"/>
                <w:szCs w:val="9"/>
                <w:color w:val="auto"/>
              </w:rPr>
            </w:pPr>
          </w:p>
        </w:tc>
        <w:tc>
          <w:tcPr>
            <w:tcW w:w="280" w:type="dxa"/>
            <w:vAlign w:val="bottom"/>
            <w:gridSpan w:val="2"/>
          </w:tcPr>
          <w:p>
            <w:pPr>
              <w:ind w:left="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3,792</w:t>
            </w:r>
          </w:p>
        </w:tc>
        <w:tc>
          <w:tcPr>
            <w:tcW w:w="100" w:type="dxa"/>
            <w:vAlign w:val="bottom"/>
          </w:tcPr>
          <w:p>
            <w:pPr>
              <w:spacing w:after="0"/>
              <w:rPr>
                <w:sz w:val="9"/>
                <w:szCs w:val="9"/>
                <w:color w:val="auto"/>
              </w:rPr>
            </w:pPr>
          </w:p>
        </w:tc>
        <w:tc>
          <w:tcPr>
            <w:tcW w:w="520" w:type="dxa"/>
            <w:vAlign w:val="bottom"/>
            <w:gridSpan w:val="2"/>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54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9"/>
                <w:szCs w:val="9"/>
                <w:color w:val="auto"/>
              </w:rPr>
            </w:pPr>
          </w:p>
        </w:tc>
        <w:tc>
          <w:tcPr>
            <w:tcW w:w="420" w:type="dxa"/>
            <w:vAlign w:val="bottom"/>
            <w:gridSpan w:val="2"/>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9"/>
                <w:szCs w:val="9"/>
                <w:color w:val="auto"/>
              </w:rPr>
            </w:pPr>
          </w:p>
        </w:tc>
        <w:tc>
          <w:tcPr>
            <w:tcW w:w="480" w:type="dxa"/>
            <w:vAlign w:val="bottom"/>
            <w:gridSpan w:val="2"/>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3,792</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Conversion of Tranche B Notes into common stock</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9,215</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9,255</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9,256</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Shares issued under December 2024 RDO</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26,355</w:t>
            </w:r>
          </w:p>
        </w:tc>
        <w:tc>
          <w:tcPr>
            <w:tcW w:w="100" w:type="dxa"/>
            <w:vAlign w:val="bottom"/>
          </w:tcPr>
          <w:p>
            <w:pPr>
              <w:spacing w:after="0"/>
              <w:rPr>
                <w:sz w:val="8"/>
                <w:szCs w:val="8"/>
                <w:color w:val="auto"/>
              </w:rPr>
            </w:pPr>
          </w:p>
        </w:tc>
        <w:tc>
          <w:tcPr>
            <w:tcW w:w="2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325</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328</w:t>
            </w:r>
          </w:p>
        </w:tc>
        <w:tc>
          <w:tcPr>
            <w:tcW w:w="0" w:type="dxa"/>
            <w:vAlign w:val="bottom"/>
          </w:tcPr>
          <w:p>
            <w:pPr>
              <w:spacing w:after="0"/>
              <w:rPr>
                <w:sz w:val="1"/>
                <w:szCs w:val="1"/>
                <w:color w:val="auto"/>
              </w:rPr>
            </w:pPr>
          </w:p>
        </w:tc>
      </w:tr>
      <w:tr>
        <w:trPr>
          <w:trHeight w:val="85"/>
        </w:trPr>
        <w:tc>
          <w:tcPr>
            <w:tcW w:w="248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StockBlock Warrants issued in connection with the December</w:t>
            </w: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48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0"/>
                <w:szCs w:val="10"/>
                <w:color w:val="auto"/>
              </w:rPr>
              <w:t>2024 RDO</w:t>
            </w:r>
          </w:p>
        </w:tc>
        <w:tc>
          <w:tcPr>
            <w:tcW w:w="38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4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ind w:left="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1,265</w:t>
            </w:r>
          </w:p>
        </w:tc>
        <w:tc>
          <w:tcPr>
            <w:tcW w:w="10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32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60"/>
              <w:spacing w:after="0" w:line="114"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14" w:lineRule="exact"/>
              <w:rPr>
                <w:sz w:val="20"/>
                <w:szCs w:val="20"/>
                <w:color w:val="auto"/>
              </w:rPr>
            </w:pPr>
            <w:r>
              <w:rPr>
                <w:rFonts w:ascii="Times New Roman" w:cs="Times New Roman" w:eastAsia="Times New Roman" w:hAnsi="Times New Roman"/>
                <w:sz w:val="10"/>
                <w:szCs w:val="10"/>
                <w:color w:val="auto"/>
              </w:rPr>
              <w:t>1,265</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Stock dividend declared, not yet distributed</w:t>
            </w:r>
          </w:p>
        </w:tc>
        <w:tc>
          <w:tcPr>
            <w:tcW w:w="3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00" w:type="dxa"/>
            <w:vAlign w:val="bottom"/>
          </w:tcPr>
          <w:p>
            <w:pPr>
              <w:spacing w:after="0"/>
              <w:rPr>
                <w:sz w:val="8"/>
                <w:szCs w:val="8"/>
                <w:color w:val="auto"/>
              </w:rPr>
            </w:pPr>
          </w:p>
        </w:tc>
        <w:tc>
          <w:tcPr>
            <w:tcW w:w="3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w:t>
            </w:r>
          </w:p>
        </w:tc>
        <w:tc>
          <w:tcPr>
            <w:tcW w:w="4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2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Issuance of common stock upon warrants exercise</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11,230</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2,310</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2,311</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Shares issued under ESPP</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0"/>
                <w:szCs w:val="10"/>
                <w:color w:val="auto"/>
              </w:rPr>
              <w:t>334</w:t>
            </w:r>
          </w:p>
        </w:tc>
        <w:tc>
          <w:tcPr>
            <w:tcW w:w="100" w:type="dxa"/>
            <w:vAlign w:val="bottom"/>
          </w:tcPr>
          <w:p>
            <w:pPr>
              <w:spacing w:after="0"/>
              <w:rPr>
                <w:sz w:val="8"/>
                <w:szCs w:val="8"/>
                <w:color w:val="auto"/>
              </w:rPr>
            </w:pPr>
          </w:p>
        </w:tc>
        <w:tc>
          <w:tcPr>
            <w:tcW w:w="2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246</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246</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Stock options exercised</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154</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227</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227</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3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32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spacing w:after="0"/>
              <w:rPr>
                <w:sz w:val="8"/>
                <w:szCs w:val="8"/>
                <w:color w:val="auto"/>
              </w:rPr>
            </w:pPr>
          </w:p>
        </w:tc>
        <w:tc>
          <w:tcPr>
            <w:tcW w:w="28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15,689</w:t>
            </w:r>
          </w:p>
        </w:tc>
        <w:tc>
          <w:tcPr>
            <w:tcW w:w="100" w:type="dxa"/>
            <w:vAlign w:val="bottom"/>
          </w:tcPr>
          <w:p>
            <w:pPr>
              <w:spacing w:after="0"/>
              <w:rPr>
                <w:sz w:val="8"/>
                <w:szCs w:val="8"/>
                <w:color w:val="auto"/>
              </w:rPr>
            </w:pPr>
          </w:p>
        </w:tc>
        <w:tc>
          <w:tcPr>
            <w:tcW w:w="520" w:type="dxa"/>
            <w:vAlign w:val="bottom"/>
            <w:gridSpan w:val="2"/>
          </w:tcPr>
          <w:p>
            <w:pPr>
              <w:ind w:left="3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5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15,689</w:t>
            </w:r>
          </w:p>
        </w:tc>
        <w:tc>
          <w:tcPr>
            <w:tcW w:w="0" w:type="dxa"/>
            <w:vAlign w:val="bottom"/>
          </w:tcPr>
          <w:p>
            <w:pPr>
              <w:spacing w:after="0"/>
              <w:rPr>
                <w:sz w:val="1"/>
                <w:szCs w:val="1"/>
                <w:color w:val="auto"/>
              </w:rPr>
            </w:pPr>
          </w:p>
        </w:tc>
      </w:tr>
      <w:tr>
        <w:trPr>
          <w:trHeight w:val="99"/>
        </w:trPr>
        <w:tc>
          <w:tcPr>
            <w:tcW w:w="248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w:t>
            </w:r>
          </w:p>
        </w:tc>
        <w:tc>
          <w:tcPr>
            <w:tcW w:w="38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2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spacing w:after="0"/>
              <w:rPr>
                <w:sz w:val="8"/>
                <w:szCs w:val="8"/>
                <w:color w:val="auto"/>
              </w:rPr>
            </w:pPr>
          </w:p>
        </w:tc>
        <w:tc>
          <w:tcPr>
            <w:tcW w:w="520" w:type="dxa"/>
            <w:vAlign w:val="bottom"/>
            <w:gridSpan w:val="2"/>
            <w:shd w:val="clear" w:color="auto" w:fill="CCEEFF"/>
          </w:tcPr>
          <w:p>
            <w:pPr>
              <w:ind w:left="240"/>
              <w:spacing w:after="0" w:line="99" w:lineRule="exact"/>
              <w:rPr>
                <w:sz w:val="20"/>
                <w:szCs w:val="20"/>
                <w:color w:val="auto"/>
              </w:rPr>
            </w:pPr>
            <w:r>
              <w:rPr>
                <w:rFonts w:ascii="Times New Roman" w:cs="Times New Roman" w:eastAsia="Times New Roman" w:hAnsi="Times New Roman"/>
                <w:sz w:val="10"/>
                <w:szCs w:val="10"/>
                <w:color w:val="auto"/>
              </w:rPr>
              <w:t>6,317</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440" w:type="dxa"/>
            <w:vAlign w:val="bottom"/>
            <w:gridSpan w:val="2"/>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6,317</w:t>
            </w:r>
          </w:p>
        </w:tc>
        <w:tc>
          <w:tcPr>
            <w:tcW w:w="0" w:type="dxa"/>
            <w:vAlign w:val="bottom"/>
          </w:tcPr>
          <w:p>
            <w:pPr>
              <w:spacing w:after="0"/>
              <w:rPr>
                <w:sz w:val="1"/>
                <w:szCs w:val="1"/>
                <w:color w:val="auto"/>
              </w:rPr>
            </w:pPr>
          </w:p>
        </w:tc>
      </w:tr>
      <w:tr>
        <w:trPr>
          <w:trHeight w:val="99"/>
        </w:trPr>
        <w:tc>
          <w:tcPr>
            <w:tcW w:w="248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3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340" w:type="dxa"/>
            <w:vAlign w:val="bottom"/>
          </w:tcPr>
          <w:p>
            <w:pPr>
              <w:ind w:left="20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80" w:type="dxa"/>
            <w:vAlign w:val="bottom"/>
          </w:tcPr>
          <w:p>
            <w:pPr>
              <w:spacing w:after="0"/>
              <w:rPr>
                <w:sz w:val="8"/>
                <w:szCs w:val="8"/>
                <w:color w:val="auto"/>
              </w:rPr>
            </w:pPr>
          </w:p>
        </w:tc>
        <w:tc>
          <w:tcPr>
            <w:tcW w:w="4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ind w:left="320"/>
              <w:spacing w:after="0" w:line="99" w:lineRule="exact"/>
              <w:rPr>
                <w:sz w:val="20"/>
                <w:szCs w:val="20"/>
                <w:color w:val="auto"/>
              </w:rPr>
            </w:pPr>
            <w:r>
              <w:rPr>
                <w:rFonts w:ascii="Times New Roman" w:cs="Times New Roman" w:eastAsia="Times New Roman" w:hAnsi="Times New Roman"/>
                <w:sz w:val="10"/>
                <w:szCs w:val="10"/>
                <w:color w:val="auto"/>
                <w:w w:val="79"/>
              </w:rPr>
              <w:t>— </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(72,807)</w:t>
            </w:r>
          </w:p>
        </w:tc>
        <w:tc>
          <w:tcPr>
            <w:tcW w:w="440" w:type="dxa"/>
            <w:vAlign w:val="bottom"/>
            <w:gridSpan w:val="2"/>
          </w:tcPr>
          <w:p>
            <w:pPr>
              <w:ind w:left="180"/>
              <w:spacing w:after="0" w:line="99" w:lineRule="exact"/>
              <w:rPr>
                <w:sz w:val="20"/>
                <w:szCs w:val="20"/>
                <w:color w:val="auto"/>
              </w:rPr>
            </w:pPr>
            <w:r>
              <w:rPr>
                <w:rFonts w:ascii="Times New Roman" w:cs="Times New Roman" w:eastAsia="Times New Roman" w:hAnsi="Times New Roman"/>
                <w:sz w:val="10"/>
                <w:szCs w:val="10"/>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8"/>
                <w:szCs w:val="8"/>
                <w:color w:val="auto"/>
              </w:rPr>
            </w:pPr>
          </w:p>
        </w:tc>
        <w:tc>
          <w:tcPr>
            <w:tcW w:w="48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(72,807)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4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Balance, December 31, 2024</w:t>
            </w: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34,057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w w:val="98"/>
              </w:rPr>
              <w:t>243,312</w:t>
            </w:r>
          </w:p>
        </w:tc>
        <w:tc>
          <w:tcPr>
            <w:tcW w:w="10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10"/>
                <w:szCs w:val="10"/>
                <w:color w:val="auto"/>
              </w:rPr>
              <w:t>24</w:t>
            </w:r>
          </w:p>
        </w:tc>
        <w:tc>
          <w:tcPr>
            <w:tcW w:w="52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w w:val="94"/>
              </w:rPr>
              <w:t>$ 454,591</w:t>
            </w:r>
          </w:p>
        </w:tc>
        <w:tc>
          <w:tcPr>
            <w:tcW w:w="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gridSpan w:val="2"/>
            <w:shd w:val="clear" w:color="auto" w:fill="CCEEFF"/>
          </w:tcPr>
          <w:p>
            <w:pPr>
              <w:ind w:left="240"/>
              <w:spacing w:after="0" w:line="97" w:lineRule="exact"/>
              <w:rPr>
                <w:sz w:val="20"/>
                <w:szCs w:val="20"/>
                <w:color w:val="auto"/>
              </w:rPr>
            </w:pPr>
            <w:r>
              <w:rPr>
                <w:rFonts w:ascii="Times New Roman" w:cs="Times New Roman" w:eastAsia="Times New Roman" w:hAnsi="Times New Roman"/>
                <w:sz w:val="10"/>
                <w:szCs w:val="10"/>
                <w:color w:val="auto"/>
              </w:rPr>
              <w:t>6,317</w:t>
            </w:r>
          </w:p>
        </w:tc>
        <w:tc>
          <w:tcPr>
            <w:tcW w:w="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(563,052)</w:t>
            </w:r>
          </w:p>
        </w:tc>
        <w:tc>
          <w:tcPr>
            <w:tcW w:w="440" w:type="dxa"/>
            <w:vAlign w:val="bottom"/>
            <w:gridSpan w:val="2"/>
            <w:shd w:val="clear" w:color="auto" w:fill="CCEEFF"/>
          </w:tcPr>
          <w:p>
            <w:pPr>
              <w:ind w:left="20"/>
              <w:spacing w:after="0" w:line="97" w:lineRule="exact"/>
              <w:rPr>
                <w:sz w:val="20"/>
                <w:szCs w:val="20"/>
                <w:color w:val="auto"/>
              </w:rPr>
            </w:pPr>
            <w:r>
              <w:rPr>
                <w:rFonts w:ascii="Times New Roman" w:cs="Times New Roman" w:eastAsia="Times New Roman" w:hAnsi="Times New Roman"/>
                <w:sz w:val="10"/>
                <w:szCs w:val="10"/>
                <w:color w:val="auto"/>
              </w:rPr>
              <w:t>(60,069)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42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w w:val="87"/>
              </w:rPr>
              <w:t>(90,522)</w:t>
            </w:r>
          </w:p>
        </w:tc>
        <w:tc>
          <w:tcPr>
            <w:tcW w:w="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(192,641)</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See accompanying notes to audited consolidated financial statements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F-5</w:t>
      </w:r>
    </w:p>
    <w:p>
      <w:pPr>
        <w:sectPr>
          <w:pgSz w:w="11900" w:h="16838" w:orient="portrait"/>
          <w:cols w:equalWidth="0" w:num="1">
            <w:col w:w="10159"/>
          </w:cols>
          <w:pgMar w:left="300" w:top="368"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53" w:lineRule="exact"/>
        <w:rPr>
          <w:sz w:val="20"/>
          <w:szCs w:val="20"/>
          <w:color w:val="auto"/>
        </w:rPr>
      </w:pPr>
    </w:p>
    <w:tbl>
      <w:tblPr>
        <w:tblLayout w:type="fixed"/>
        <w:tblInd w:w="1980" w:type="dxa"/>
        <w:tblCellMar>
          <w:top w:w="0" w:type="dxa"/>
          <w:left w:w="0" w:type="dxa"/>
          <w:bottom w:w="0" w:type="dxa"/>
          <w:right w:w="0" w:type="dxa"/>
        </w:tblCellMar>
      </w:tblPr>
      <w:tr>
        <w:trPr>
          <w:trHeight w:val="92"/>
        </w:trPr>
        <w:tc>
          <w:tcPr>
            <w:tcW w:w="6220" w:type="dxa"/>
            <w:vAlign w:val="bottom"/>
          </w:tcPr>
          <w:p>
            <w:pPr>
              <w:spacing w:after="0"/>
              <w:rPr>
                <w:sz w:val="7"/>
                <w:szCs w:val="7"/>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r>
      <w:tr>
        <w:trPr>
          <w:trHeight w:val="103"/>
        </w:trPr>
        <w:tc>
          <w:tcPr>
            <w:tcW w:w="622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8"/>
                <w:szCs w:val="8"/>
                <w:b w:val="1"/>
                <w:bCs w:val="1"/>
                <w:color w:val="auto"/>
              </w:rPr>
              <w:t>2024</w:t>
            </w:r>
          </w:p>
        </w:tc>
        <w:tc>
          <w:tcPr>
            <w:tcW w:w="2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2023</w:t>
            </w:r>
          </w:p>
        </w:tc>
        <w:tc>
          <w:tcPr>
            <w:tcW w:w="60" w:type="dxa"/>
            <w:vAlign w:val="bottom"/>
            <w:tcBorders>
              <w:bottom w:val="single" w:sz="8" w:color="CCEEFF"/>
            </w:tcBorders>
          </w:tcPr>
          <w:p>
            <w:pPr>
              <w:spacing w:after="0"/>
              <w:rPr>
                <w:sz w:val="8"/>
                <w:szCs w:val="8"/>
                <w:color w:val="auto"/>
              </w:rPr>
            </w:pPr>
          </w:p>
        </w:tc>
      </w:tr>
      <w:tr>
        <w:trPr>
          <w:trHeight w:val="79"/>
        </w:trPr>
        <w:tc>
          <w:tcPr>
            <w:tcW w:w="622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Operating activities</w:t>
            </w:r>
          </w:p>
        </w:tc>
        <w:tc>
          <w:tcPr>
            <w:tcW w:w="4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w w:val="94"/>
              </w:rPr>
              <w:t>$  (72,807)</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w w:val="94"/>
              </w:rPr>
              <w:t>$ (114,331)</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Adjustments to reconcile net loss to net cash proceeds from (used for) operating activities:</w:t>
            </w: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4,046</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4,146</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Amortization of debt issuance costs and debt discount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316</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65</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Non-cash operating lease cost</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718</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507</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15,689</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14,596</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Issuance of shares under Settlement Agreement</w:t>
            </w: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750</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(Gain) loss on derivative liability</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(17,378)</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512</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Allocated expense for financial instruments at fair value</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17,297</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Change in fair value of debt and liability instruments</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4,782</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7,189</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Allowances for expected credit losses</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1,186</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661</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57</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Accounts receivables, net</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(6,267)</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(13,361)</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Inventory</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1,462</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(2,838)</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Prepaid expenses and other</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(479)</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(441)</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Other long-term assets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(30)</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855</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7,419</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19,880</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Accrued payroll</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(1,176)</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1,327</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Accrued expenses</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(8,167)</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2,310</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Accrued rebates and fees</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72,859</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58,765</w:t>
            </w:r>
          </w:p>
        </w:tc>
      </w:tr>
      <w:tr>
        <w:trPr>
          <w:trHeight w:val="99"/>
        </w:trPr>
        <w:tc>
          <w:tcPr>
            <w:tcW w:w="6220" w:type="dxa"/>
            <w:vAlign w:val="bottom"/>
            <w:shd w:val="clear" w:color="auto" w:fill="CCEEFF"/>
          </w:tcPr>
          <w:p>
            <w:pPr>
              <w:ind w:left="380"/>
              <w:spacing w:after="0" w:line="99" w:lineRule="exact"/>
              <w:rPr>
                <w:sz w:val="20"/>
                <w:szCs w:val="20"/>
                <w:color w:val="auto"/>
              </w:rPr>
            </w:pPr>
            <w:r>
              <w:rPr>
                <w:rFonts w:ascii="Times New Roman" w:cs="Times New Roman" w:eastAsia="Times New Roman" w:hAnsi="Times New Roman"/>
                <w:sz w:val="10"/>
                <w:szCs w:val="10"/>
                <w:color w:val="auto"/>
              </w:rPr>
              <w:t>Operating lease liability</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(758)</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(711)</w:t>
            </w:r>
          </w:p>
        </w:tc>
      </w:tr>
      <w:tr>
        <w:trPr>
          <w:trHeight w:val="99"/>
        </w:trPr>
        <w:tc>
          <w:tcPr>
            <w:tcW w:w="6220" w:type="dxa"/>
            <w:vAlign w:val="bottom"/>
          </w:tcPr>
          <w:p>
            <w:pPr>
              <w:ind w:left="380"/>
              <w:spacing w:after="0" w:line="99" w:lineRule="exact"/>
              <w:rPr>
                <w:sz w:val="20"/>
                <w:szCs w:val="20"/>
                <w:color w:val="auto"/>
              </w:rPr>
            </w:pPr>
            <w:r>
              <w:rPr>
                <w:rFonts w:ascii="Times New Roman" w:cs="Times New Roman" w:eastAsia="Times New Roman" w:hAnsi="Times New Roman"/>
                <w:sz w:val="10"/>
                <w:szCs w:val="10"/>
                <w:color w:val="auto"/>
              </w:rPr>
              <w:t>Other long-term liabilities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(24)</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16</w:t>
            </w:r>
          </w:p>
        </w:tc>
      </w:tr>
      <w:tr>
        <w:trPr>
          <w:trHeight w:val="20"/>
        </w:trPr>
        <w:tc>
          <w:tcPr>
            <w:tcW w:w="6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62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cash proceeds from (used for) operating activities</w:t>
            </w:r>
          </w:p>
        </w:tc>
        <w:tc>
          <w:tcPr>
            <w:tcW w:w="4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19,349</w:t>
            </w:r>
          </w:p>
        </w:tc>
        <w:tc>
          <w:tcPr>
            <w:tcW w:w="20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(20,707)</w:t>
            </w: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Acquisition consideration paid in cash for Romeg intangible asset acquisition</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(300)</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 of equity securities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 of convertible promissory note from Denali</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(75)</w:t>
            </w:r>
          </w:p>
        </w:tc>
        <w:tc>
          <w:tcPr>
            <w:tcW w:w="5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Purchase of property and equipment</w:t>
            </w:r>
          </w:p>
        </w:tc>
        <w:tc>
          <w:tcPr>
            <w:tcW w:w="4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— </w:t>
            </w:r>
          </w:p>
        </w:tc>
        <w:tc>
          <w:tcPr>
            <w:tcW w:w="200" w:type="dxa"/>
            <w:vAlign w:val="bottom"/>
          </w:tcPr>
          <w:p>
            <w:pPr>
              <w:spacing w:after="0"/>
              <w:rPr>
                <w:sz w:val="8"/>
                <w:szCs w:val="8"/>
                <w:color w:val="auto"/>
              </w:rPr>
            </w:pP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(30)</w:t>
            </w:r>
          </w:p>
        </w:tc>
      </w:tr>
      <w:tr>
        <w:trPr>
          <w:trHeight w:val="20"/>
        </w:trPr>
        <w:tc>
          <w:tcPr>
            <w:tcW w:w="6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7"/>
        </w:trPr>
        <w:tc>
          <w:tcPr>
            <w:tcW w:w="62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cash used for investing activities</w:t>
            </w:r>
          </w:p>
        </w:tc>
        <w:tc>
          <w:tcPr>
            <w:tcW w:w="62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(2,675)</w:t>
            </w:r>
          </w:p>
        </w:tc>
        <w:tc>
          <w:tcPr>
            <w:tcW w:w="50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(330)</w:t>
            </w:r>
          </w:p>
        </w:tc>
      </w:tr>
      <w:tr>
        <w:trPr>
          <w:trHeight w:val="99"/>
        </w:trPr>
        <w:tc>
          <w:tcPr>
            <w:tcW w:w="622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Financing activities</w:t>
            </w: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shares under Standby Equity Purchase Agreements and ATM Sales Agreement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2,671</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35,458</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Convertible Debentures</w:t>
            </w: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24,000</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Revolving Facility</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95,438</w:t>
            </w:r>
          </w:p>
        </w:tc>
        <w:tc>
          <w:tcPr>
            <w:tcW w:w="5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86,354</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FSF Deposit</w:t>
            </w:r>
          </w:p>
        </w:tc>
        <w:tc>
          <w:tcPr>
            <w:tcW w:w="62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Tranche B Notes and purchased revenue liability</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25,000</w:t>
            </w:r>
          </w:p>
        </w:tc>
        <w:tc>
          <w:tcPr>
            <w:tcW w:w="5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Repayment of Revolving Facility</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(112,791)</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(69,001)</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Repayment of Oramed Note</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(64,200)</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(5,000)</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Cash consideration paid in connection with warrant repurchase</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(300)</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Transaction costs paid related to the Business Combination</w:t>
            </w:r>
          </w:p>
        </w:tc>
        <w:tc>
          <w:tcPr>
            <w:tcW w:w="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(1,372)</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Repayment of Convertible Debentures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(4,375)</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(15,625)</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Repayment of Tranche B Notes</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(3,283)</w:t>
            </w:r>
          </w:p>
        </w:tc>
        <w:tc>
          <w:tcPr>
            <w:tcW w:w="5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Payments of debt issuance costs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(4,172)</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(380)</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Disbursement of funds to Sorrento</w:t>
            </w:r>
          </w:p>
        </w:tc>
        <w:tc>
          <w:tcPr>
            <w:tcW w:w="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(20,000)</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Cash consideration paid in connection with share repurchase</w:t>
            </w:r>
          </w:p>
        </w:tc>
        <w:tc>
          <w:tcPr>
            <w:tcW w:w="6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(10,000)</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Transaction costs paid in connection with share repurchase</w:t>
            </w:r>
          </w:p>
        </w:tc>
        <w:tc>
          <w:tcPr>
            <w:tcW w:w="6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— </w:t>
            </w:r>
          </w:p>
        </w:tc>
        <w:tc>
          <w:tcPr>
            <w:tcW w:w="5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(1,987)</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Excise tax paid in connection with share repurchase</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(450)</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issuance of shares under direct offerings</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41,967</w:t>
            </w:r>
          </w:p>
        </w:tc>
        <w:tc>
          <w:tcPr>
            <w:tcW w:w="5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Payments of direct offering issuance costs</w:t>
            </w:r>
          </w:p>
        </w:tc>
        <w:tc>
          <w:tcPr>
            <w:tcW w:w="6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(4,370)</w:t>
            </w:r>
          </w:p>
        </w:tc>
        <w:tc>
          <w:tcPr>
            <w:tcW w:w="50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Payments of deferred transaction costs related to Semnur Business Combination</w:t>
            </w:r>
          </w:p>
        </w:tc>
        <w:tc>
          <w:tcPr>
            <w:tcW w:w="6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(1,379)</w:t>
            </w:r>
          </w:p>
        </w:tc>
        <w:tc>
          <w:tcPr>
            <w:tcW w:w="5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22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Proceeds from stock options and warrants exercised and ESPP</w:t>
            </w:r>
          </w:p>
        </w:tc>
        <w:tc>
          <w:tcPr>
            <w:tcW w:w="4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2,113</w:t>
            </w:r>
          </w:p>
        </w:tc>
        <w:tc>
          <w:tcPr>
            <w:tcW w:w="200" w:type="dxa"/>
            <w:vAlign w:val="bottom"/>
          </w:tcPr>
          <w:p>
            <w:pPr>
              <w:spacing w:after="0"/>
              <w:rPr>
                <w:sz w:val="8"/>
                <w:szCs w:val="8"/>
                <w:color w:val="auto"/>
              </w:rPr>
            </w:pPr>
          </w:p>
        </w:tc>
        <w:tc>
          <w:tcPr>
            <w:tcW w:w="4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1,135</w:t>
            </w:r>
          </w:p>
        </w:tc>
        <w:tc>
          <w:tcPr>
            <w:tcW w:w="60" w:type="dxa"/>
            <w:vAlign w:val="bottom"/>
          </w:tcPr>
          <w:p>
            <w:pPr>
              <w:spacing w:after="0"/>
              <w:rPr>
                <w:sz w:val="8"/>
                <w:szCs w:val="8"/>
                <w:color w:val="auto"/>
              </w:rPr>
            </w:pPr>
          </w:p>
        </w:tc>
      </w:tr>
      <w:tr>
        <w:trPr>
          <w:trHeight w:val="97"/>
        </w:trPr>
        <w:tc>
          <w:tcPr>
            <w:tcW w:w="62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Net cash (used for) proceeds from financing activities</w:t>
            </w:r>
          </w:p>
        </w:tc>
        <w:tc>
          <w:tcPr>
            <w:tcW w:w="620" w:type="dxa"/>
            <w:vAlign w:val="bottom"/>
            <w:gridSpan w:val="2"/>
            <w:shd w:val="clear" w:color="auto" w:fill="CCEEFF"/>
          </w:tcPr>
          <w:p>
            <w:pPr>
              <w:jc w:val="right"/>
              <w:ind w:right="180"/>
              <w:spacing w:after="0" w:line="97" w:lineRule="exact"/>
              <w:rPr>
                <w:sz w:val="20"/>
                <w:szCs w:val="20"/>
                <w:color w:val="auto"/>
              </w:rPr>
            </w:pPr>
            <w:r>
              <w:rPr>
                <w:rFonts w:ascii="Times New Roman" w:cs="Times New Roman" w:eastAsia="Times New Roman" w:hAnsi="Times New Roman"/>
                <w:sz w:val="10"/>
                <w:szCs w:val="10"/>
                <w:color w:val="auto"/>
              </w:rPr>
              <w:t>(18,131)</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23,582</w:t>
            </w:r>
          </w:p>
        </w:tc>
      </w:tr>
      <w:tr>
        <w:trPr>
          <w:trHeight w:val="20"/>
        </w:trPr>
        <w:tc>
          <w:tcPr>
            <w:tcW w:w="6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F-6</w:t>
      </w:r>
    </w:p>
    <w:p>
      <w:pPr>
        <w:sectPr>
          <w:pgSz w:w="11900" w:h="16838" w:orient="portrait"/>
          <w:cols w:equalWidth="0" w:num="1">
            <w:col w:w="10159"/>
          </w:cols>
          <w:pgMar w:left="300" w:top="368"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tbl>
      <w:tblPr>
        <w:tblLayout w:type="fixed"/>
        <w:tblInd w:w="1980" w:type="dxa"/>
        <w:tblCellMar>
          <w:top w:w="0" w:type="dxa"/>
          <w:left w:w="0" w:type="dxa"/>
          <w:bottom w:w="0" w:type="dxa"/>
          <w:right w:w="0" w:type="dxa"/>
        </w:tblCellMar>
      </w:tblPr>
      <w:tr>
        <w:trPr>
          <w:trHeight w:val="92"/>
        </w:trPr>
        <w:tc>
          <w:tcPr>
            <w:tcW w:w="6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5"/>
          </w:tcPr>
          <w:p>
            <w:pPr>
              <w:jc w:val="right"/>
              <w:ind w:right="120"/>
              <w:spacing w:after="0"/>
              <w:rPr>
                <w:sz w:val="20"/>
                <w:szCs w:val="20"/>
                <w:color w:val="auto"/>
              </w:rPr>
            </w:pPr>
            <w:r>
              <w:rPr>
                <w:rFonts w:ascii="Times New Roman" w:cs="Times New Roman" w:eastAsia="Times New Roman" w:hAnsi="Times New Roman"/>
                <w:sz w:val="8"/>
                <w:szCs w:val="8"/>
                <w:b w:val="1"/>
                <w:bCs w:val="1"/>
                <w:color w:val="auto"/>
              </w:rPr>
              <w:t>Year Ended December 31,</w:t>
            </w:r>
          </w:p>
        </w:tc>
      </w:tr>
      <w:tr>
        <w:trPr>
          <w:trHeight w:val="103"/>
        </w:trPr>
        <w:tc>
          <w:tcPr>
            <w:tcW w:w="61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8"/>
                <w:szCs w:val="8"/>
                <w:b w:val="1"/>
                <w:bCs w:val="1"/>
                <w:color w:val="auto"/>
              </w:rPr>
              <w:t>2024</w:t>
            </w: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8"/>
                <w:szCs w:val="8"/>
                <w:b w:val="1"/>
                <w:bCs w:val="1"/>
                <w:color w:val="auto"/>
              </w:rPr>
              <w:t>2023</w:t>
            </w:r>
          </w:p>
        </w:tc>
        <w:tc>
          <w:tcPr>
            <w:tcW w:w="40" w:type="dxa"/>
            <w:vAlign w:val="bottom"/>
            <w:tcBorders>
              <w:bottom w:val="single" w:sz="8" w:color="CCEEFF"/>
            </w:tcBorders>
          </w:tcPr>
          <w:p>
            <w:pPr>
              <w:spacing w:after="0"/>
              <w:rPr>
                <w:sz w:val="8"/>
                <w:szCs w:val="8"/>
                <w:color w:val="auto"/>
              </w:rPr>
            </w:pPr>
          </w:p>
        </w:tc>
      </w:tr>
      <w:tr>
        <w:trPr>
          <w:trHeight w:val="88"/>
        </w:trPr>
        <w:tc>
          <w:tcPr>
            <w:tcW w:w="618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change in cash, cash equivalents and restricted cash</w:t>
            </w: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95"/>
              </w:rPr>
              <w:t>(1,457)</w:t>
            </w:r>
          </w:p>
        </w:tc>
        <w:tc>
          <w:tcPr>
            <w:tcW w:w="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2,545</w:t>
            </w:r>
          </w:p>
        </w:tc>
        <w:tc>
          <w:tcPr>
            <w:tcW w:w="40" w:type="dxa"/>
            <w:vAlign w:val="bottom"/>
            <w:shd w:val="clear" w:color="auto" w:fill="CCEEFF"/>
          </w:tcPr>
          <w:p>
            <w:pPr>
              <w:spacing w:after="0"/>
              <w:rPr>
                <w:sz w:val="7"/>
                <w:szCs w:val="7"/>
                <w:color w:val="auto"/>
              </w:rPr>
            </w:pPr>
          </w:p>
        </w:tc>
      </w:tr>
      <w:tr>
        <w:trPr>
          <w:trHeight w:val="99"/>
        </w:trPr>
        <w:tc>
          <w:tcPr>
            <w:tcW w:w="618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Cash, cash equivalents and restricted cash at beginning of period</w:t>
            </w:r>
          </w:p>
        </w:tc>
        <w:tc>
          <w:tcPr>
            <w:tcW w:w="80" w:type="dxa"/>
            <w:vAlign w:val="bottom"/>
          </w:tcPr>
          <w:p>
            <w:pPr>
              <w:spacing w:after="0"/>
              <w:rPr>
                <w:sz w:val="8"/>
                <w:szCs w:val="8"/>
                <w:color w:val="auto"/>
              </w:rPr>
            </w:pPr>
          </w:p>
        </w:tc>
        <w:tc>
          <w:tcPr>
            <w:tcW w:w="58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4,729</w:t>
            </w:r>
          </w:p>
        </w:tc>
        <w:tc>
          <w:tcPr>
            <w:tcW w:w="100" w:type="dxa"/>
            <w:vAlign w:val="bottom"/>
          </w:tcPr>
          <w:p>
            <w:pPr>
              <w:spacing w:after="0"/>
              <w:rPr>
                <w:sz w:val="8"/>
                <w:szCs w:val="8"/>
                <w:color w:val="auto"/>
              </w:rPr>
            </w:pPr>
          </w:p>
        </w:tc>
        <w:tc>
          <w:tcPr>
            <w:tcW w:w="4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2,184</w:t>
            </w:r>
          </w:p>
        </w:tc>
      </w:tr>
      <w:tr>
        <w:trPr>
          <w:trHeight w:val="20"/>
        </w:trPr>
        <w:tc>
          <w:tcPr>
            <w:tcW w:w="6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4"/>
        </w:trPr>
        <w:tc>
          <w:tcPr>
            <w:tcW w:w="618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Cash, cash equivalents and restricted cash at end of period</w:t>
            </w:r>
          </w:p>
        </w:tc>
        <w:tc>
          <w:tcPr>
            <w:tcW w:w="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7" w:lineRule="exact"/>
              <w:rPr>
                <w:sz w:val="20"/>
                <w:szCs w:val="20"/>
                <w:color w:val="auto"/>
              </w:rPr>
            </w:pPr>
            <w:r>
              <w:rPr>
                <w:rFonts w:ascii="Times New Roman" w:cs="Times New Roman" w:eastAsia="Times New Roman" w:hAnsi="Times New Roman"/>
                <w:sz w:val="10"/>
                <w:szCs w:val="10"/>
                <w:color w:val="auto"/>
              </w:rPr>
              <w:t>3,272</w:t>
            </w:r>
          </w:p>
        </w:tc>
        <w:tc>
          <w:tcPr>
            <w:tcW w:w="1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4,729</w:t>
            </w:r>
          </w:p>
        </w:tc>
      </w:tr>
      <w:tr>
        <w:trPr>
          <w:trHeight w:val="108"/>
        </w:trPr>
        <w:tc>
          <w:tcPr>
            <w:tcW w:w="618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Supplemental disclosure:</w:t>
            </w: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Cash paid for interest</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1,561</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1,426</w:t>
            </w:r>
          </w:p>
        </w:tc>
      </w:tr>
      <w:tr>
        <w:trPr>
          <w:trHeight w:val="99"/>
        </w:trPr>
        <w:tc>
          <w:tcPr>
            <w:tcW w:w="618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Non-cash investing and financing activities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Issuance of shares to B. Riley pursuant to B. Riley Purchase Agreement</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1,869</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Issuance costs related to direct offerings included in accrued expenses and account payables</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1,845</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Fee Warrants issued and exercised in connection with the Commitment Letter</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610</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Settlement of FSF Deposit</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13,000</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Deferred transaction costs related to Semnur Business Combination included in accrued expenses and account payable</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4,602</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Conversion of Oramed Note into Tranche B Notes</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25,000</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Conversion of Tranche B Notes into common stock</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9,256</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Debt issuance costs included in accrued expenses</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3,063</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Placement Agent Shares and October 2024 Placement Agent Warrants</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3,792</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StockBlock Warrants issued in connection with the December 2024 RDO</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1,265</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— </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Conversion of Convertible Debentures into common stock</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7,735</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Right-of-use assets obtained in exchange for operating lease liabilities with lease modification</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2,523</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Oramed Note issuance at fair value</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106,252</w:t>
            </w:r>
          </w:p>
        </w:tc>
      </w:tr>
      <w:tr>
        <w:trPr>
          <w:trHeight w:val="99"/>
        </w:trPr>
        <w:tc>
          <w:tcPr>
            <w:tcW w:w="6180" w:type="dxa"/>
            <w:vAlign w:val="bottom"/>
          </w:tcPr>
          <w:p>
            <w:pPr>
              <w:ind w:left="180"/>
              <w:spacing w:after="0" w:line="99" w:lineRule="exact"/>
              <w:rPr>
                <w:sz w:val="20"/>
                <w:szCs w:val="20"/>
                <w:color w:val="auto"/>
              </w:rPr>
            </w:pPr>
            <w:r>
              <w:rPr>
                <w:rFonts w:ascii="Times New Roman" w:cs="Times New Roman" w:eastAsia="Times New Roman" w:hAnsi="Times New Roman"/>
                <w:sz w:val="10"/>
                <w:szCs w:val="10"/>
                <w:color w:val="auto"/>
              </w:rPr>
              <w:t>Other non-cash consideration in connection with share repurchase</w:t>
            </w:r>
          </w:p>
        </w:tc>
        <w:tc>
          <w:tcPr>
            <w:tcW w:w="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tcPr>
          <w:p>
            <w:pPr>
              <w:jc w:val="right"/>
              <w:ind w:right="300"/>
              <w:spacing w:after="0" w:line="99" w:lineRule="exact"/>
              <w:rPr>
                <w:sz w:val="20"/>
                <w:szCs w:val="20"/>
                <w:color w:val="auto"/>
              </w:rPr>
            </w:pPr>
            <w:r>
              <w:rPr>
                <w:rFonts w:ascii="Times New Roman" w:cs="Times New Roman" w:eastAsia="Times New Roman" w:hAnsi="Times New Roman"/>
                <w:sz w:val="10"/>
                <w:szCs w:val="10"/>
                <w:color w:val="auto"/>
              </w:rPr>
              <w:t>— </w:t>
            </w:r>
          </w:p>
        </w:tc>
        <w:tc>
          <w:tcPr>
            <w:tcW w:w="1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26,154</w:t>
            </w:r>
          </w:p>
        </w:tc>
      </w:tr>
      <w:tr>
        <w:trPr>
          <w:trHeight w:val="99"/>
        </w:trPr>
        <w:tc>
          <w:tcPr>
            <w:tcW w:w="6180" w:type="dxa"/>
            <w:vAlign w:val="bottom"/>
            <w:shd w:val="clear" w:color="auto" w:fill="CCEEFF"/>
          </w:tcPr>
          <w:p>
            <w:pPr>
              <w:ind w:left="180"/>
              <w:spacing w:after="0" w:line="99" w:lineRule="exact"/>
              <w:rPr>
                <w:sz w:val="20"/>
                <w:szCs w:val="20"/>
                <w:color w:val="auto"/>
              </w:rPr>
            </w:pPr>
            <w:r>
              <w:rPr>
                <w:rFonts w:ascii="Times New Roman" w:cs="Times New Roman" w:eastAsia="Times New Roman" w:hAnsi="Times New Roman"/>
                <w:sz w:val="10"/>
                <w:szCs w:val="10"/>
                <w:color w:val="auto"/>
              </w:rPr>
              <w:t>Excise tax in connection with share repurchase included in accrued expenses</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860</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gridSpan w:val="2"/>
            <w:shd w:val="clear" w:color="auto" w:fill="CCEEFF"/>
          </w:tcPr>
          <w:p>
            <w:pPr>
              <w:jc w:val="right"/>
              <w:ind w:right="40"/>
              <w:spacing w:after="0" w:line="99" w:lineRule="exact"/>
              <w:rPr>
                <w:sz w:val="20"/>
                <w:szCs w:val="20"/>
                <w:color w:val="auto"/>
              </w:rPr>
            </w:pPr>
            <w:r>
              <w:rPr>
                <w:rFonts w:ascii="Times New Roman" w:cs="Times New Roman" w:eastAsia="Times New Roman" w:hAnsi="Times New Roman"/>
                <w:sz w:val="10"/>
                <w:szCs w:val="10"/>
                <w:color w:val="auto"/>
              </w:rPr>
              <w:t>1,310</w:t>
            </w:r>
          </w:p>
        </w:tc>
      </w:tr>
    </w:tbl>
    <w:p>
      <w:pPr>
        <w:spacing w:after="0" w:line="1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See accompanying notes to audited consolidated financial statements</w:t>
      </w:r>
    </w:p>
    <w:p>
      <w:pPr>
        <w:spacing w:after="0" w:line="10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F-7</w:t>
      </w:r>
    </w:p>
    <w:p>
      <w:pPr>
        <w:sectPr>
          <w:pgSz w:w="11900" w:h="16838" w:orient="portrait"/>
          <w:cols w:equalWidth="0" w:num="1">
            <w:col w:w="10159"/>
          </w:cols>
          <w:pgMar w:left="300" w:top="368" w:right="1440"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 Nature of Operations and Basis of Presentation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Organization and Principal Activities</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Scilex Holding Company (“Scilex” and together with its wholly owned subsidiaries, the “Company”) is an innovative revenue-generating company focused on acquiring, developing and commercializing non-opioid pain management products for the treatment of acute and chronic pain. The Company was originally formed in 2019 and currently has five wholly owned subsidiaries, Scilex Inc. (“Legacy Scilex”), Scilex Pharmaceuticals Inc. (“Scilex Pharma”), Semnur Pharmaceuticals, Inc. (“Semnur”), SCLX DRE Holdings LLC and SCLX Stock Acquisition JV LLC. The business combination with Vickers (the “Business Combination”) was closed in November 2022.</w:t>
      </w:r>
    </w:p>
    <w:p>
      <w:pPr>
        <w:spacing w:after="0" w:line="125"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The Company launched its first commercial product in October 2018, ZTlido (lidocaine topical system) 1.8% (“ZTlido”), a prescription lidocaine topical system that is designed with novel technology to address the limitations of current prescription lidocaine therapies by providing significantly improved adhesion and continuous pain relief throughout the 12-hour administration period. In June 2022, the Company in-licensed the exclusive right to commercialize GLOPERBA (colchicine USP) oral solution (“GLOPERBA”), a U.S. Food and Drug Administration (“FDA”)-approved prophylactic treatment for painful gout flares in adults, in the United States (“U.S.”). In February 2023, the Company acquired the rights related to ELYXYB (celecoxib oral solution) (“ELYXYB”) and the commercialization thereof in the U.S. and Canada. ELYXYB is a first-line treatment and the only FDA-approved, ready-to-use oral solution for the acute treatment of migraine, with or without aura, in adults. The Company launched ELYXYB in the U.S. in April 2023 and commercialized GLOPERBA in the U.S. in June 2024.</w:t>
      </w:r>
    </w:p>
    <w:p>
      <w:pPr>
        <w:spacing w:after="0" w:line="128"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The Company is currently developing three product candidates, SP-102 (10 mg, dexamethasone sodium phosphate viscous gel), a novel, viscous gel formulation of a widely used corticosteroid for epidural injections to treat lumbosacral radicular pain, or sciatica for which the Company has completed a Phase 3 study (“SP-102” or “SEMDEXA”), SP-103 (lidocaine topical system) 5.4% (“SP-103”), a next-generation, triple-strength formulation of ZTlido, for the treatment of chronic neck pain and for which the Company completed a Phase 2 trial in acute low back pain (“LBP”) in the third quarter of 2023, and SP-104 (4.5 mg, low-dose naltrexone hydrochloride delayed-burst release low dose naltrexone hydrochloride capsules) (“SP-104”), a novel low-dose delayed-release naltrexone hydrochloride being developed for the treatment of fibromyalgia, for which Phase 1 trials were completed in the second quarter of 2022. Since inception, the Company has devoted substantially all of its efforts to the development of SP-102, SP-103 and SP-104, and the commercialization of ZTlido.</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Sorrento Chapter 11 Filing</w:t>
      </w:r>
    </w:p>
    <w:p>
      <w:pPr>
        <w:spacing w:after="0" w:line="82"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On February 13, 2023, Sorrento Therapeutics, Inc. (“Sorrento”), the Company’s then-controlling stockholder, and Sorrento’s wholly owned direct subsidiary, Scintilla Pharmaceuticals, Inc. (“Scintilla” and together with Sorrento, the “Debtors”), commenced voluntary proceedings under Chapter 11 of the United States Bankruptcy Code (the “Bankruptcy Code”) in the United States Bankruptcy Court for the Southern District of Texas (the “Bankruptcy Court”). The Debtors’ Chapter 11 proceedings are jointly administered under the caption In re Sorrento Therapeutics, Inc., et al., Case Number 23-90085 (DRJ) (the “Chapter 11 Cases”). While the Company was majority-owned by Sorrento, the Company was not a debtor in the Chapter 11 Cases. Pursuant to that certain Stock Purchase Agreement that the Company entered into with Sorrento on September 21, 2023 (the “Sorrento SPA”), the Company repurchased shares of its Common Stock, par value $0.0001 per share (the “Common Stock”), and Series A Preferred Stock, par value $0.0001 per share (the “Series A Preferred Stock”), from Sorrento. As a result, Sorrento no longer holds a majority of the voting power of the Company’s outstanding capital stock entitled to vote. As of December 31, 2024, the Company had a $3.2 million receivable from Sorrento, which was fully reserved.</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F-8</w:t>
      </w:r>
    </w:p>
    <w:p>
      <w:pPr>
        <w:sectPr>
          <w:pgSz w:w="11900" w:h="16838" w:orient="portrait"/>
          <w:cols w:equalWidth="0" w:num="1">
            <w:col w:w="10159"/>
          </w:cols>
          <w:pgMar w:left="300" w:top="368" w:right="1440"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 and Principles of Consolidation</w:t>
      </w:r>
    </w:p>
    <w:p>
      <w:pPr>
        <w:spacing w:after="0" w:line="82" w:lineRule="exact"/>
        <w:rPr>
          <w:sz w:val="20"/>
          <w:szCs w:val="20"/>
          <w:color w:val="auto"/>
        </w:rPr>
      </w:pPr>
    </w:p>
    <w:p>
      <w:pPr>
        <w:jc w:val="both"/>
        <w:ind w:left="1980" w:right="1059"/>
        <w:spacing w:after="0" w:line="265"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in accordance with accounting principles generally accepted in the United States of America (“U.S. GAAP”) and include all adjustments necessary for the fair presentation of the Company’s financial position for the periods presented.</w:t>
      </w:r>
    </w:p>
    <w:p>
      <w:pPr>
        <w:spacing w:after="0" w:line="119"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accounts of the Company as well as its wholly owned subsidiaries. All intercompany balances and transactions have been eliminated in consolidation.</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Segments</w:t>
      </w:r>
    </w:p>
    <w:p>
      <w:pPr>
        <w:spacing w:after="0" w:line="82"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Operating segments are identified as components of an entity where separate discrete financial information is available for evaluation by the chief operating decision maker (the “CODM”) in making decisions on how to allocate resources and assessing performance. The Company has determined that its CODM is its Chief Executive Officer. The Company is engaged primarily in the development of non-opioid products focused on pain management based on its platform technologies and all sales are based in the United States. Accordingly, the Company has determined that it operates its business as a single reportable segment. The CODM reviews consolidated operating results to make decisions about allocating resources and assessing performance for the entire Company based on consolidated results that are reported on the consolidated statements of operations and comprehensive loss. The Company has also evaluated the significant segment expenses incurred by the single segment that are regularly provided to the CODM and concluded they are consistent with those reported on the consolidated statements of operations and comprehensive loss and include cost of revenue, research and development, selling, general and administrative. The Company manages assets on a consolidated basis as reported on the consolidated balance sheets. Accordingly, the consolidated financial statements and accompanying notes contained herein include the measure of profit or loss, net revenue, categories of expenses, assets and other financial information that is evaluated by the CODM.</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The preparation of these consolidated financial statements in conformity with U.S. GAAP requires the Company to make estimates and assumptions that affect the reported amounts of assets and liabilities and disclosure of contingent assets and liabilities at the date of these consolidated financial statements and the reported amounts of expenses during the reporting period. These estimates include, but are not limited to, revenue recognition, fair value of financial instruments and certain assumptions used in estimating stock-based compensation. Management believes that these estimates are reasonable; however, actual results may differ from these estimates.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Customer and Supplier Concentration Risk</w:t>
      </w:r>
    </w:p>
    <w:p>
      <w:pPr>
        <w:spacing w:after="0" w:line="82"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color w:val="auto"/>
        </w:rPr>
        <w:t>The Company had three customers during the years ended December 31, 2024 and 2023, each of which individually generated 10% or more of the Company’s total revenue. These customers accounted for 86% and 85% of the Company’s revenue for the years ended December 31, 2024 and 2023, respectively, individually ranging from 23% to 34% and 22% to 32%, respectively. As of December 31, 2024 and 2023, three customers represented 95% and 91% of the Company’s outstanding accounts receivable, respectively, individually ranging between 30% and 33% and 24% and 36% for respective periods. Additionally, during the years ended December 31, 2024 and 2023, the Company purchased ZTlido inventory from its sole supplier, Itochu Chemical Frontier Corporation (“Itochu”). In November 2023 and February 2024, respectively, the Company started purchasing ELYXYB and GLOPERBA inventories from its sole suppliers, Contract Pharmaceuticals Ltd Canada (CPL) and Ferndale Laboratories, Inc., respectively. This exposes the Company to concentration of customer and supplier risk. The Company monitors the financial condition of its customers and limits its credit exposure by setting credit limits. During the years ended December 31, 2024 and 2023, the Company had allowances for expected credit losses of $1.2 million and nil, respectively.</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F-9</w:t>
      </w:r>
    </w:p>
    <w:p>
      <w:pPr>
        <w:sectPr>
          <w:pgSz w:w="11900" w:h="16838" w:orient="portrait"/>
          <w:cols w:equalWidth="0" w:num="1">
            <w:col w:w="10159"/>
          </w:cols>
          <w:pgMar w:left="300" w:top="368"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82"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Financial assets and liabilities are recorded at fair value on a recurring basis in the consolidated balance sheets. The carrying values of the Company’s financial assets and liabilities, including cash and cash equivalents, restricted cash, prepaid and other current assets, accounts payable and accrued expenses approximate to their fair value due to the short-term nature of these instruments. The valuation of the derivative warrant liability for the Private Warrants, the February 2024 BDO Firm Warrants, the Deposit Warrant, the April RDO Warrants, the October 2024 Noteholder Warrants and the December 2024 RDO Common Warrants (each as defined below) is outlined in Note 4, utilizing the Black-Scholes option pricing model. The Company has chosen the fair value option for the Convertible Debentures, Oramed Note, FSF Deposit and Tranche B Notes (each as defined below), with the valuation methodologies detailed in Note 7. Fair value is defined as the price that would be received to sell an asset or paid to transfer a liability (an exit price) in an orderly transaction between market participants at the reporting date. Assets and liabilities recorded at fair value are categorized based upon the level of judgment associated with the inputs used to measure their fair value. Hierarchical levels are directly related to the amount of subjectivity with the inputs to the valuation of these assets or liabilities as follows:</w:t>
      </w:r>
    </w:p>
    <w:p>
      <w:pPr>
        <w:spacing w:after="0" w:line="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color w:val="auto"/>
        </w:rPr>
        <w:t>Level 1—</w:t>
      </w:r>
      <w:r>
        <w:rPr>
          <w:rFonts w:ascii="Times New Roman" w:cs="Times New Roman" w:eastAsia="Times New Roman" w:hAnsi="Times New Roman"/>
          <w:sz w:val="12"/>
          <w:szCs w:val="12"/>
          <w:color w:val="auto"/>
        </w:rPr>
        <w:t>Observable inputs such as unadjusted, quoted prices in active markets for identical assets or liabilities at the measurement date;</w:t>
      </w:r>
    </w:p>
    <w:p>
      <w:pPr>
        <w:spacing w:after="0" w:line="78" w:lineRule="exact"/>
        <w:rPr>
          <w:sz w:val="20"/>
          <w:szCs w:val="20"/>
          <w:color w:val="auto"/>
        </w:rPr>
      </w:pPr>
    </w:p>
    <w:p>
      <w:pPr>
        <w:ind w:left="2260" w:right="879"/>
        <w:spacing w:after="0" w:line="268" w:lineRule="auto"/>
        <w:rPr>
          <w:sz w:val="20"/>
          <w:szCs w:val="20"/>
          <w:color w:val="auto"/>
        </w:rPr>
      </w:pPr>
      <w:r>
        <w:rPr>
          <w:rFonts w:ascii="Times New Roman" w:cs="Times New Roman" w:eastAsia="Times New Roman" w:hAnsi="Times New Roman"/>
          <w:sz w:val="12"/>
          <w:szCs w:val="12"/>
          <w:b w:val="1"/>
          <w:bCs w:val="1"/>
          <w:color w:val="auto"/>
        </w:rPr>
        <w:t>Level 2—</w:t>
      </w:r>
      <w:r>
        <w:rPr>
          <w:rFonts w:ascii="Times New Roman" w:cs="Times New Roman" w:eastAsia="Times New Roman" w:hAnsi="Times New Roman"/>
          <w:sz w:val="12"/>
          <w:szCs w:val="12"/>
          <w:color w:val="auto"/>
        </w:rPr>
        <w:t>Inputs (other than quoted prices included in Level 1) that are either directly or indirectly observable inputs for similar assets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liabilities. These include quoted prices for identical or similar assets or liabilities in active markets and quoted prices for identical or similar assets or liabilities in markets that are not active; and</w:t>
      </w:r>
    </w:p>
    <w:p>
      <w:pPr>
        <w:spacing w:after="0" w:line="4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b w:val="1"/>
          <w:bCs w:val="1"/>
          <w:color w:val="auto"/>
        </w:rPr>
        <w:t>Level 3—</w:t>
      </w:r>
      <w:r>
        <w:rPr>
          <w:rFonts w:ascii="Times New Roman" w:cs="Times New Roman" w:eastAsia="Times New Roman" w:hAnsi="Times New Roman"/>
          <w:sz w:val="12"/>
          <w:szCs w:val="12"/>
          <w:color w:val="auto"/>
        </w:rPr>
        <w:t>Unobservable inputs that are supported by little or no market activity and that are significant to the fair value of the assets or liabilities.</w:t>
      </w:r>
    </w:p>
    <w:p>
      <w:pPr>
        <w:spacing w:after="0" w:line="2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Cash, Cash Equivalents and Restricted Cash</w:t>
      </w:r>
    </w:p>
    <w:p>
      <w:pPr>
        <w:spacing w:after="0" w:line="82"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The Company considers all highly liquid investments that are readily convertible into cash without penalty and with original maturities of three months or less at the date of purchase to be cash equivalents. The carrying amounts reported in the consolidated balance sheets for cash and cash equivalents are valued at cost, which approximate their fair value.</w:t>
      </w:r>
    </w:p>
    <w:p>
      <w:pPr>
        <w:spacing w:after="0" w:line="119" w:lineRule="exact"/>
        <w:rPr>
          <w:sz w:val="20"/>
          <w:szCs w:val="20"/>
          <w:color w:val="auto"/>
        </w:rPr>
      </w:pPr>
    </w:p>
    <w:p>
      <w:pPr>
        <w:ind w:left="1980" w:right="1039"/>
        <w:spacing w:after="0" w:line="260" w:lineRule="auto"/>
        <w:rPr>
          <w:sz w:val="20"/>
          <w:szCs w:val="20"/>
          <w:color w:val="auto"/>
        </w:rPr>
      </w:pPr>
      <w:r>
        <w:rPr>
          <w:rFonts w:ascii="Times New Roman" w:cs="Times New Roman" w:eastAsia="Times New Roman" w:hAnsi="Times New Roman"/>
          <w:sz w:val="12"/>
          <w:szCs w:val="12"/>
          <w:color w:val="auto"/>
        </w:rPr>
        <w:t>Restricted cash as of December 31, 2023 consisted of deposits placed in a segregated bank account as required under the terms of the eCapital Credit Agreement (as defined below), which is discussed further in Note 7. Restricted cash was recorded as other long-term assets within the Company’s consolidated balance sheet. There is no restricted cash as of December 31, 2024, because Scilex Pharma paid off the outstanding amount of all obligations and indebtedness under the eCapital Credit Agreement in October 2024, which agreement was terminated thereafter.</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Cash equivalents were immaterial as of December 31, 2024 and 2023.</w:t>
      </w:r>
    </w:p>
    <w:p>
      <w:pPr>
        <w:spacing w:after="0" w:line="150" w:lineRule="exact"/>
        <w:rPr>
          <w:sz w:val="20"/>
          <w:szCs w:val="20"/>
          <w:color w:val="auto"/>
        </w:rPr>
      </w:pPr>
    </w:p>
    <w:p>
      <w:pPr>
        <w:ind w:left="1980" w:right="939"/>
        <w:spacing w:after="0" w:line="279" w:lineRule="auto"/>
        <w:rPr>
          <w:sz w:val="20"/>
          <w:szCs w:val="20"/>
          <w:color w:val="auto"/>
        </w:rPr>
      </w:pPr>
      <w:r>
        <w:rPr>
          <w:rFonts w:ascii="Times New Roman" w:cs="Times New Roman" w:eastAsia="Times New Roman" w:hAnsi="Times New Roman"/>
          <w:sz w:val="12"/>
          <w:szCs w:val="12"/>
          <w:color w:val="auto"/>
        </w:rPr>
        <w:t>The following table provides a reconciliation of cash, cash equivalents and restricted cash reported within the consolidated balance sheets that together reflect the same amounts shown in the consolidated statements of cash flows (in thousands):</w:t>
      </w:r>
    </w:p>
    <w:p>
      <w:pPr>
        <w:spacing w:after="0" w:line="10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260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33"/>
        </w:trPr>
        <w:tc>
          <w:tcPr>
            <w:tcW w:w="2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3,272</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3,921</w:t>
            </w:r>
          </w:p>
        </w:tc>
        <w:tc>
          <w:tcPr>
            <w:tcW w:w="40" w:type="dxa"/>
            <w:vAlign w:val="bottom"/>
            <w:shd w:val="clear" w:color="auto" w:fill="CCEEFF"/>
          </w:tcPr>
          <w:p>
            <w:pPr>
              <w:spacing w:after="0"/>
              <w:rPr>
                <w:sz w:val="11"/>
                <w:szCs w:val="11"/>
                <w:color w:val="auto"/>
              </w:rPr>
            </w:pPr>
          </w:p>
        </w:tc>
      </w:tr>
      <w:tr>
        <w:trPr>
          <w:trHeight w:val="144"/>
        </w:trPr>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w:t>
            </w:r>
          </w:p>
        </w:tc>
        <w:tc>
          <w:tcPr>
            <w:tcW w:w="40" w:type="dxa"/>
            <w:vAlign w:val="bottom"/>
          </w:tcPr>
          <w:p>
            <w:pPr>
              <w:spacing w:after="0"/>
              <w:rPr>
                <w:sz w:val="12"/>
                <w:szCs w:val="12"/>
                <w:color w:val="auto"/>
              </w:rPr>
            </w:pPr>
          </w:p>
        </w:tc>
      </w:tr>
      <w:tr>
        <w:trPr>
          <w:trHeight w:val="149"/>
        </w:trPr>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cash, cash equivalents, and restricted cash</w:t>
            </w: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3,272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4,729</w:t>
            </w:r>
          </w:p>
        </w:tc>
      </w:tr>
      <w:tr>
        <w:trPr>
          <w:trHeight w:val="252"/>
        </w:trPr>
        <w:tc>
          <w:tcPr>
            <w:tcW w:w="2600" w:type="dxa"/>
            <w:vAlign w:val="bottom"/>
          </w:tcPr>
          <w:p>
            <w:pPr>
              <w:spacing w:after="0"/>
              <w:rPr>
                <w:sz w:val="21"/>
                <w:szCs w:val="21"/>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F-10</w:t>
            </w: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Accounts Receivable, Net</w:t>
      </w:r>
    </w:p>
    <w:p>
      <w:pPr>
        <w:spacing w:after="0" w:line="82"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Accounts receivable are presented net of allowances for expected credit losses and prompt payment discounts. Accounts receivable consists of trade receivables from product sales to customers, which are generally unsecured. Estimated credit losses related to trade accounts receivable are recorded as general and administrative expenses and as an allowance for expected credit losses within accounts receivable, net. The Company reviews reserves and makes adjustments based on historical experience and known collectability issues and disputes. When internal collection efforts on accounts have been exhausted, the accounts are written off by reducing the allowance for expected credit losses. As of December 31, 2024, the Company recorded</w:t>
      </w:r>
    </w:p>
    <w:p>
      <w:pPr>
        <w:spacing w:after="0" w:line="1" w:lineRule="exact"/>
        <w:rPr>
          <w:sz w:val="20"/>
          <w:szCs w:val="20"/>
          <w:color w:val="auto"/>
        </w:rPr>
      </w:pPr>
    </w:p>
    <w:p>
      <w:pPr>
        <w:ind w:left="1980" w:right="1259"/>
        <w:spacing w:after="0" w:line="260" w:lineRule="auto"/>
        <w:rPr>
          <w:sz w:val="20"/>
          <w:szCs w:val="20"/>
          <w:color w:val="auto"/>
        </w:rPr>
      </w:pPr>
      <w:r>
        <w:rPr>
          <w:rFonts w:ascii="Times New Roman" w:cs="Times New Roman" w:eastAsia="Times New Roman" w:hAnsi="Times New Roman"/>
          <w:sz w:val="12"/>
          <w:szCs w:val="12"/>
          <w:color w:val="auto"/>
        </w:rPr>
        <w:t>$1.2 million of allowances for credit losses on its accounts receivable. As of December 31, 2023, the Company did not deem any allowances for expected credit losses on its accounts receivable necessary.</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Inventory</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The Company determines inventory cost on a first-in, first-out basis. The Company reduces the carrying value of inventories to a lower of cost or net realizable value for those items that are potentially excess, obsolete or slow- moving. The Company reserves for excess and obsolete inventory based upon historical experience, sales trends, and specific categories of inventory and expiration dates for on-hand inventory. Inventory costs resulting from these adjustments are recognized as cost of sales in the period in which they are incurred. When future commercialization is considered probable and the future economic benefit is expected to be realized, based on management’s judgment, the Company capitalizes pre-launch inventory costs prior to regulatory approval. As of December 31, 2024 and 2023, the Company’s inventory was primarily comprised of finished goods.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p>
      <w:pPr>
        <w:spacing w:after="0" w:line="82" w:lineRule="exact"/>
        <w:rPr>
          <w:sz w:val="20"/>
          <w:szCs w:val="20"/>
          <w:color w:val="auto"/>
        </w:rPr>
      </w:pPr>
    </w:p>
    <w:p>
      <w:pPr>
        <w:jc w:val="both"/>
        <w:ind w:left="1980" w:right="979"/>
        <w:spacing w:after="0" w:line="265" w:lineRule="auto"/>
        <w:rPr>
          <w:sz w:val="20"/>
          <w:szCs w:val="20"/>
          <w:color w:val="auto"/>
        </w:rPr>
      </w:pPr>
      <w:r>
        <w:rPr>
          <w:rFonts w:ascii="Times New Roman" w:cs="Times New Roman" w:eastAsia="Times New Roman" w:hAnsi="Times New Roman"/>
          <w:sz w:val="12"/>
          <w:szCs w:val="12"/>
          <w:color w:val="auto"/>
        </w:rPr>
        <w:t>Property and equipment are carried at cost less accumulated depreciation. Depreciation of property and equipment is computed using the straight-line method over the estimated useful lives of the assets, which are generally five to seven years. Leasehold improvements are amortized over the lesser of their estimated useful lives or the term of the respective lease on a straight-line basis. The cost of repairs and maintenance is expensed as incurred.</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Acquisitions</w:t>
      </w:r>
    </w:p>
    <w:p>
      <w:pPr>
        <w:spacing w:after="0" w:line="82"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The Company accounts for business combinations using the acquisition method of accounting, which requires that assets acquired, including in-process research and development (“IPR&amp;D”) projects and liabilities assumed be recorded at their fair values as of the acquisition date on the Company`s consolidated balance sheets. Any excess of purchase price over the fair value of net assets acquired is recorded as goodwill. The determination of estimated fair value requires the Company to make significant estimates and assumptions. As a result, the Company may record adjustments to the fair values of assets acquired and liabilities assumed within the measurement period (up to one year from the acquisition date) with the corresponding offset to goodwill. Transaction costs associated with business combinations are expensed as they are incurred.</w:t>
      </w:r>
    </w:p>
    <w:p>
      <w:pPr>
        <w:spacing w:after="0" w:line="125"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When the Company determines net assets acquired do not meet the definition of a business combination under the acquisition method of accounting, the transaction is accounted for as an acquisition of assets and, therefore,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and subsequent milestone payments are charged to expense in the Company`s consolidated statements of operations and comprehensive loss unless there is an alternative future use.</w:t>
      </w:r>
    </w:p>
    <w:p>
      <w:pPr>
        <w:spacing w:after="0" w:line="125"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The Company has acquired and may continue to acquire the rights to develop and commercialize new product candidates. Intangible assets acquired in a business combination that are used for IPR&amp;D activities are</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F-11</w:t>
      </w:r>
    </w:p>
    <w:p>
      <w:pPr>
        <w:sectPr>
          <w:pgSz w:w="11900" w:h="16838" w:orient="portrait"/>
          <w:cols w:equalWidth="0" w:num="1">
            <w:col w:w="10159"/>
          </w:cols>
          <w:pgMar w:left="300" w:top="368" w:right="1440"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60" w:lineRule="auto"/>
        <w:rPr>
          <w:sz w:val="20"/>
          <w:szCs w:val="20"/>
          <w:color w:val="auto"/>
        </w:rPr>
      </w:pPr>
      <w:r>
        <w:rPr>
          <w:rFonts w:ascii="Times New Roman" w:cs="Times New Roman" w:eastAsia="Times New Roman" w:hAnsi="Times New Roman"/>
          <w:sz w:val="12"/>
          <w:szCs w:val="12"/>
          <w:color w:val="auto"/>
        </w:rPr>
        <w:t>considered indefinite-lived until the completion or abandonment of the associated research and development efforts. Upon commercialization of the relevant research and development project, the Company amortizes the acquired IPR&amp;D over its estimated useful life. Capitalized IPR&amp;D is reviewed annually for impairment or more frequently as changes in circumstance or the occurrence of events suggest that the remaining value may not be recoverable.</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Goodwill and Other Long-Lived Assets</w:t>
      </w:r>
    </w:p>
    <w:p>
      <w:pPr>
        <w:spacing w:after="0" w:line="82" w:lineRule="exact"/>
        <w:rPr>
          <w:sz w:val="20"/>
          <w:szCs w:val="20"/>
          <w:color w:val="auto"/>
        </w:rPr>
      </w:pPr>
    </w:p>
    <w:p>
      <w:pPr>
        <w:ind w:left="1980" w:right="899"/>
        <w:spacing w:after="0" w:line="254" w:lineRule="auto"/>
        <w:rPr>
          <w:sz w:val="20"/>
          <w:szCs w:val="20"/>
          <w:color w:val="auto"/>
        </w:rPr>
      </w:pPr>
      <w:r>
        <w:rPr>
          <w:rFonts w:ascii="Times New Roman" w:cs="Times New Roman" w:eastAsia="Times New Roman" w:hAnsi="Times New Roman"/>
          <w:sz w:val="12"/>
          <w:szCs w:val="12"/>
          <w:color w:val="auto"/>
        </w:rPr>
        <w:t>Goodwill, which has an indefinite life, represents the excess cost over fair value of net assets acquired. Goodwill is reviewed for impairment at least annually during the fourth quarter, or more frequently if events occur indicating the potential for impairment. The Company has one reporting unit. During its goodwill impairment review, the Company may assess qualitative factors to determine whether it is more likely than not that the fair value of its reporting unit is less than its carrying amount, including goodwill. The qualitative factors include, but are not limited to, macroeconomic conditions, industry and market considerations, and the overall financial performance of the Company. If, after assessing the totality of these qualitative factors, the Company determines that it is not more likely than not that the fair value of its reporting unit is less than its carrying amount, then no additional assessment is deemed necessary. Otherwise, the Company performs a quantitative goodwill impairment test. The Company may also elect to bypass the qualitative assessment in a period and elect to proceed to perform the quantitative goodwill impairment test.</w:t>
      </w:r>
    </w:p>
    <w:p>
      <w:pPr>
        <w:spacing w:after="0" w:line="128" w:lineRule="exact"/>
        <w:rPr>
          <w:sz w:val="20"/>
          <w:szCs w:val="20"/>
          <w:color w:val="auto"/>
        </w:rPr>
      </w:pPr>
    </w:p>
    <w:p>
      <w:pPr>
        <w:jc w:val="both"/>
        <w:ind w:left="1980" w:right="879"/>
        <w:spacing w:after="0" w:line="284" w:lineRule="auto"/>
        <w:rPr>
          <w:sz w:val="20"/>
          <w:szCs w:val="20"/>
          <w:color w:val="auto"/>
        </w:rPr>
      </w:pPr>
      <w:r>
        <w:rPr>
          <w:rFonts w:ascii="Times New Roman" w:cs="Times New Roman" w:eastAsia="Times New Roman" w:hAnsi="Times New Roman"/>
          <w:sz w:val="11"/>
          <w:szCs w:val="11"/>
          <w:color w:val="auto"/>
        </w:rPr>
        <w:t>The Company evaluates its long-lived and intangible assets with definite lives, such as property and equipment, patent rights, and acquired technology, for impairment by considering competition by products prescribed for the same indication, the likelihood and estimated future entry of non-generic and generic competition with the same or similar indication and other related factors. The factors that drive the estimate of useful life are often uncertain and are reviewed on a periodic basis or when events occur that warrant review. Recoverability is measured by comparison of the assets’ book value to future net undiscounted cash flows that the assets are expected to generate to determine if a write-down to the recoverable amount is appropriate. If such assets are written down, an impairment will be recognized as the amount by which the book value of the asset group exceeds the recoverable amount.</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Contingent Consideration</w:t>
      </w:r>
    </w:p>
    <w:p>
      <w:pPr>
        <w:spacing w:after="0" w:line="82"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 xml:space="preserve">The fair value of contingent consideration liabilities assumed in business combinations is recorded as part of the purchase price consideration of the acquisition, and is determined using a discounted cash flow model or Monte Carlo simulation model. The significant inputs of such models are not observable in the market, such as certain financial metric growth rates, volatility rates, projections associated with applicable milestones, discount rates and the related probabilities and payment structure in the contingent consideration arrangement. Fair value adjustments to contingent consideration liabilities are recorded through operating expenses in the consolidated statements of operations and comprehensive loss. Other than contingent consideration that is accounted for in accordance with Financial Accounting Standards Board (“FASB”) Accounting Standards Codification (“ASC”) Topic 480, </w:t>
      </w:r>
      <w:r>
        <w:rPr>
          <w:rFonts w:ascii="Times New Roman" w:cs="Times New Roman" w:eastAsia="Times New Roman" w:hAnsi="Times New Roman"/>
          <w:sz w:val="12"/>
          <w:szCs w:val="12"/>
          <w:i w:val="1"/>
          <w:iCs w:val="1"/>
          <w:color w:val="auto"/>
        </w:rPr>
        <w:t>Distinguishing Liabilities from Equity, and Topic 815, Derivatives and Hedging</w:t>
      </w:r>
      <w:r>
        <w:rPr>
          <w:rFonts w:ascii="Times New Roman" w:cs="Times New Roman" w:eastAsia="Times New Roman" w:hAnsi="Times New Roman"/>
          <w:sz w:val="12"/>
          <w:szCs w:val="12"/>
          <w:color w:val="auto"/>
        </w:rPr>
        <w:t>, contingent consideration arrangements assumed in an asset acquisition will be measured and accrued when such contingency is resolved.</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Warrants</w:t>
      </w:r>
    </w:p>
    <w:p>
      <w:pPr>
        <w:spacing w:after="0" w:line="80" w:lineRule="exact"/>
        <w:rPr>
          <w:sz w:val="20"/>
          <w:szCs w:val="20"/>
          <w:color w:val="auto"/>
        </w:rPr>
      </w:pPr>
    </w:p>
    <w:p>
      <w:pPr>
        <w:ind w:left="1980" w:right="899"/>
        <w:spacing w:after="0" w:line="258" w:lineRule="auto"/>
        <w:rPr>
          <w:sz w:val="20"/>
          <w:szCs w:val="20"/>
          <w:color w:val="auto"/>
        </w:rPr>
      </w:pPr>
      <w:r>
        <w:rPr>
          <w:rFonts w:ascii="Times New Roman" w:cs="Times New Roman" w:eastAsia="Times New Roman" w:hAnsi="Times New Roman"/>
          <w:sz w:val="12"/>
          <w:szCs w:val="12"/>
          <w:color w:val="auto"/>
        </w:rPr>
        <w:t xml:space="preserve">In accordance with ASC Subtopic No. 815-40, </w:t>
      </w:r>
      <w:r>
        <w:rPr>
          <w:rFonts w:ascii="Times New Roman" w:cs="Times New Roman" w:eastAsia="Times New Roman" w:hAnsi="Times New Roman"/>
          <w:sz w:val="12"/>
          <w:szCs w:val="12"/>
          <w:i w:val="1"/>
          <w:iCs w:val="1"/>
          <w:color w:val="auto"/>
        </w:rPr>
        <w:t>Contracts on an Entity’s Own Equity,</w:t>
      </w:r>
      <w:r>
        <w:rPr>
          <w:rFonts w:ascii="Times New Roman" w:cs="Times New Roman" w:eastAsia="Times New Roman" w:hAnsi="Times New Roman"/>
          <w:sz w:val="12"/>
          <w:szCs w:val="12"/>
          <w:color w:val="auto"/>
        </w:rPr>
        <w:t xml:space="preserve"> the Company determines how to account for warrants either assumed in connection with the Business Combination or issued under various financing arrangements. Warrants classified as equity are recorded at their issuance cost and are not subject to remeasurement at each subsequent balance sheet date. The Company records them in additional paid-in capital in the Company’s consolidated balance sheets. Warrants accounted for as liabilities are recorded at their estimated fair value on the date of issuance and are revalued at each subsequent balance sheet date, with fair value changes</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F-12</w:t>
      </w:r>
    </w:p>
    <w:p>
      <w:pPr>
        <w:sectPr>
          <w:pgSz w:w="11900" w:h="16838" w:orient="portrait"/>
          <w:cols w:equalWidth="0" w:num="1">
            <w:col w:w="10159"/>
          </w:cols>
          <w:pgMar w:left="300" w:top="368" w:right="1440"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239"/>
        <w:spacing w:after="0" w:line="279" w:lineRule="auto"/>
        <w:rPr>
          <w:sz w:val="20"/>
          <w:szCs w:val="20"/>
          <w:color w:val="auto"/>
        </w:rPr>
      </w:pPr>
      <w:r>
        <w:rPr>
          <w:rFonts w:ascii="Times New Roman" w:cs="Times New Roman" w:eastAsia="Times New Roman" w:hAnsi="Times New Roman"/>
          <w:sz w:val="12"/>
          <w:szCs w:val="12"/>
          <w:color w:val="auto"/>
        </w:rPr>
        <w:t>recognized in the consolidated statement of operations. The Company estimates the value of these warrants using a Black-Scholes option pricing formula.</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Debt</w:t>
      </w:r>
    </w:p>
    <w:p>
      <w:pPr>
        <w:spacing w:after="0" w:line="82"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The Company may enter into financing arrangements, the terms of which involve significant assumptions and estimates. This involves estimating future net product sales, determining interest expense, determining the amortization period of the debt discount, as well as determining the classification between current and long-term portions.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Convertible Debentures, the Oramed Note, FSF Deposit and Tranche B Notes</w:t>
      </w:r>
    </w:p>
    <w:p>
      <w:pPr>
        <w:spacing w:after="0" w:line="82" w:lineRule="exact"/>
        <w:rPr>
          <w:sz w:val="20"/>
          <w:szCs w:val="20"/>
          <w:color w:val="auto"/>
        </w:rPr>
      </w:pPr>
    </w:p>
    <w:p>
      <w:pPr>
        <w:ind w:left="1980" w:right="839"/>
        <w:spacing w:after="0" w:line="254" w:lineRule="auto"/>
        <w:rPr>
          <w:sz w:val="20"/>
          <w:szCs w:val="20"/>
          <w:color w:val="auto"/>
        </w:rPr>
      </w:pPr>
      <w:r>
        <w:rPr>
          <w:rFonts w:ascii="Times New Roman" w:cs="Times New Roman" w:eastAsia="Times New Roman" w:hAnsi="Times New Roman"/>
          <w:sz w:val="12"/>
          <w:szCs w:val="12"/>
          <w:color w:val="auto"/>
        </w:rPr>
        <w:t>The Company has elected the fair value option to account for the Convertible Debentures, the FSF Deposit, the Tranche B Notes (each as defined in Note 2 “</w:t>
      </w:r>
      <w:r>
        <w:rPr>
          <w:rFonts w:ascii="Times New Roman" w:cs="Times New Roman" w:eastAsia="Times New Roman" w:hAnsi="Times New Roman"/>
          <w:sz w:val="12"/>
          <w:szCs w:val="12"/>
          <w:i w:val="1"/>
          <w:iCs w:val="1"/>
          <w:color w:val="auto"/>
        </w:rPr>
        <w:t>Liquidity and Going Concern</w:t>
      </w:r>
      <w:r>
        <w:rPr>
          <w:rFonts w:ascii="Times New Roman" w:cs="Times New Roman" w:eastAsia="Times New Roman" w:hAnsi="Times New Roman"/>
          <w:sz w:val="12"/>
          <w:szCs w:val="12"/>
          <w:color w:val="auto"/>
        </w:rPr>
        <w:t>” below) and the Oramed Note (as defined in Note 4 “</w:t>
      </w:r>
      <w:r>
        <w:rPr>
          <w:rFonts w:ascii="Times New Roman" w:cs="Times New Roman" w:eastAsia="Times New Roman" w:hAnsi="Times New Roman"/>
          <w:sz w:val="12"/>
          <w:szCs w:val="12"/>
          <w:i w:val="1"/>
          <w:iCs w:val="1"/>
          <w:color w:val="auto"/>
        </w:rPr>
        <w:t>Fair Value Measurements</w:t>
      </w:r>
      <w:r>
        <w:rPr>
          <w:rFonts w:ascii="Times New Roman" w:cs="Times New Roman" w:eastAsia="Times New Roman" w:hAnsi="Times New Roman"/>
          <w:sz w:val="12"/>
          <w:szCs w:val="12"/>
          <w:color w:val="auto"/>
        </w:rPr>
        <w:t>” below) that were issued in March and April 2023, June 2024, October 2024 and September 2023, respectively, as discussed further in Note 7. The Company recorded these financial instruments at fair value upon issuance with changes in fair value recorded as change in fair value of debt and liability instruments in the consolidated statements of operations, with the exception of changes in fair value due to instrument-specific credit risk, if any, which are recorded as a component of other comprehensive income. Interest expense related to these financial instruments is included in the changes in fair value. As a result of applying the fair value option, direct costs and fees related to these financial instruments were expensed as incurred. The weighted-average interest rates for the short-term loans, including these financial instruments, were 6.67% and 13.55% for the years ended December 31, 2024 and 2023, respectively.</w:t>
      </w:r>
    </w:p>
    <w:p>
      <w:pPr>
        <w:spacing w:after="0" w:line="19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Purchased Revenue Liability</w:t>
      </w:r>
    </w:p>
    <w:p>
      <w:pPr>
        <w:spacing w:after="0" w:line="8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The purchased revenue liability is associated with the Purchase and Sale Agreement (the “ZTlido Royalty Purchase Agreement”) that the Company entered into in October 2024 (Note 7). The Company elected the fair value option to account for the purchased revenue liability (as described in Note 4 “Fair Value Measurements” below). The Company recorded the ZTlido Royalty Purchase Agreement at fair value upon issuance with changes in fair value recorded as change in fair value of debt and liability instruments in the consolidated statements of operations, with the exception of changes in fair value due to instrument-specific credit risk, if any, which are recorded as a component of other comprehensive income. Interest expense related to these financial instruments is included in the changes in fair value. As a result of applying the fair value option, direct costs and fees related to the purchased revenue liability were expensed as incurred.</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Derivative Liabilities</w:t>
      </w:r>
    </w:p>
    <w:p>
      <w:pPr>
        <w:spacing w:after="0" w:line="82"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Derivative liabilities are recorded on the Company’s consolidated balance sheets at their fair value on the date of issuance and are revalued on each balance sheet date until such instruments are exercised or expire, with changes in the fair value between reporting periods recorded as other income or expense.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Costs</w:t>
      </w:r>
    </w:p>
    <w:p>
      <w:pPr>
        <w:spacing w:after="0" w:line="82"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 xml:space="preserve">The Company expenses the cost of research and development as incurred. Research and development expenses are comprised of costs incurred in performing research and development activities, including clinical trial costs, manufacturing costs for both clinical and preclinical materials as well as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FASB ASC Topic 730, </w:t>
      </w:r>
      <w:r>
        <w:rPr>
          <w:rFonts w:ascii="Times New Roman" w:cs="Times New Roman" w:eastAsia="Times New Roman" w:hAnsi="Times New Roman"/>
          <w:sz w:val="12"/>
          <w:szCs w:val="12"/>
          <w:i w:val="1"/>
          <w:iCs w:val="1"/>
          <w:color w:val="auto"/>
        </w:rPr>
        <w:t>Research and Development</w:t>
      </w:r>
      <w:r>
        <w:rPr>
          <w:rFonts w:ascii="Times New Roman" w:cs="Times New Roman" w:eastAsia="Times New Roman" w:hAnsi="Times New Roman"/>
          <w:sz w:val="12"/>
          <w:szCs w:val="12"/>
          <w:color w:val="auto"/>
        </w:rPr>
        <w:t>.</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F-13</w:t>
      </w:r>
    </w:p>
    <w:p>
      <w:pPr>
        <w:sectPr>
          <w:pgSz w:w="11900" w:h="16838" w:orient="portrait"/>
          <w:cols w:equalWidth="0" w:num="1">
            <w:col w:w="10159"/>
          </w:cols>
          <w:pgMar w:left="300" w:top="368" w:right="1440"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80" w:lineRule="exact"/>
        <w:rPr>
          <w:sz w:val="20"/>
          <w:szCs w:val="20"/>
          <w:color w:val="auto"/>
        </w:rPr>
      </w:pPr>
    </w:p>
    <w:p>
      <w:pPr>
        <w:ind w:left="1980" w:right="859"/>
        <w:spacing w:after="0" w:line="261" w:lineRule="auto"/>
        <w:rPr>
          <w:sz w:val="20"/>
          <w:szCs w:val="20"/>
          <w:color w:val="auto"/>
        </w:rPr>
      </w:pPr>
      <w:r>
        <w:rPr>
          <w:rFonts w:ascii="Times New Roman" w:cs="Times New Roman" w:eastAsia="Times New Roman" w:hAnsi="Times New Roman"/>
          <w:sz w:val="12"/>
          <w:szCs w:val="12"/>
          <w:color w:val="auto"/>
        </w:rPr>
        <w:t xml:space="preserve">The provisions of the FASB ASC Topic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address the determination of whether tax benefits claimed or expected to be claimed on a tax return should be recorded in the consolidated financial statements. Under ASC Subtopic 740-10, the Company may recognize the tax benefit from an uncertain tax position only if it is more likely than not that the tax position will be sustained on examination by taxing authorities, based on the technical merits of the position. The Company has determined that it has uncertain tax positions.</w:t>
      </w:r>
    </w:p>
    <w:p>
      <w:pPr>
        <w:spacing w:after="0" w:line="122"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The Company accounts for income taxes using the asset and liability method to compute the differences between the tax basis of assets and liabilities and the related financial amounts, using currently enacted tax rates.</w:t>
      </w:r>
    </w:p>
    <w:p>
      <w:pPr>
        <w:spacing w:after="0" w:line="111"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The Company has deferred tax assets, which are subject to periodic recoverability assessments. Valuation allowances are established, when necessary, to reduce deferred tax assets to the amount that more likely than not will be realized. As of December 31, 2024 and 2023, the Company maintained a full valuation allowance against its deferred tax assets.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The Company determines if an arrangement is a lease at inception. Operating lease right-of-use (“ROU”) assets and liabilities are recognized at the commencement date based on the present value of lease payments over the lease term. As the Company’s leases do not provide an implicit rate, it uses its incremental borrowing rate based on the information available at the commencement date in determining the present value of lease payments. The operating lease ROU asset also includes any lease payments made and is reduced by lease incentives. The Company’s lease terms may include options to extend or terminate the lease when it is reasonably certain that the Company will exercise that option. Lease expense for lease payments is recognized on a straight-line basis over the lease term in selling, general and administrative expenses.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82" w:lineRule="exact"/>
        <w:rPr>
          <w:sz w:val="20"/>
          <w:szCs w:val="20"/>
          <w:color w:val="auto"/>
        </w:rPr>
      </w:pPr>
    </w:p>
    <w:p>
      <w:pPr>
        <w:ind w:left="1980" w:right="1279"/>
        <w:spacing w:after="0" w:line="279" w:lineRule="auto"/>
        <w:rPr>
          <w:sz w:val="20"/>
          <w:szCs w:val="20"/>
          <w:color w:val="auto"/>
        </w:rPr>
      </w:pPr>
      <w:r>
        <w:rPr>
          <w:rFonts w:ascii="Times New Roman" w:cs="Times New Roman" w:eastAsia="Times New Roman" w:hAnsi="Times New Roman"/>
          <w:sz w:val="12"/>
          <w:szCs w:val="12"/>
          <w:color w:val="auto"/>
        </w:rPr>
        <w:t>The Company’s revenue is generated from product sales within the United States. The Company does not incur significant direct costs to obtain contracts with its customers.</w:t>
      </w:r>
    </w:p>
    <w:p>
      <w:pPr>
        <w:spacing w:after="0" w:line="111" w:lineRule="exact"/>
        <w:rPr>
          <w:sz w:val="20"/>
          <w:szCs w:val="20"/>
          <w:color w:val="auto"/>
        </w:rPr>
      </w:pPr>
    </w:p>
    <w:p>
      <w:pPr>
        <w:ind w:left="1980" w:right="839"/>
        <w:spacing w:after="0" w:line="256" w:lineRule="auto"/>
        <w:rPr>
          <w:sz w:val="20"/>
          <w:szCs w:val="20"/>
          <w:color w:val="auto"/>
        </w:rPr>
      </w:pPr>
      <w:r>
        <w:rPr>
          <w:rFonts w:ascii="Times New Roman" w:cs="Times New Roman" w:eastAsia="Times New Roman" w:hAnsi="Times New Roman"/>
          <w:sz w:val="12"/>
          <w:szCs w:val="12"/>
          <w:color w:val="auto"/>
        </w:rPr>
        <w:t>Revenue from product sales is comprised of sales of ZTlido, ELYXYB and GLOPERBA. The Company’s performance obligation with respect to sales of ZTlido, ELYXYB and GLOPERBA is satisfied at a point-in-time, when control is transferred upon delivery of product to the customer. The Company considers control to have transferred upon delivery because the customer has legal title to the product, physical possession of the product has been transferred to the customer, the customer has significant risks and rewards of ownership of the product, and the Company has a present right to payment at that time. Invoicing typically occurs upon shipment and the length of time between invoicing and when payment is due is not significant. The aggregate dollar value of unfulfilled orders as of December 31, 2024 and 2023 were not material.</w:t>
      </w:r>
    </w:p>
    <w:p>
      <w:pPr>
        <w:spacing w:after="0" w:line="125" w:lineRule="exact"/>
        <w:rPr>
          <w:sz w:val="20"/>
          <w:szCs w:val="20"/>
          <w:color w:val="auto"/>
        </w:rPr>
      </w:pP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Revenues from product sales are recorded net of reserves established for commercial and government rebates, fees and chargebacks, wholesaler and distributor fees, sales returns, special marketing programs and prompt payment discounts. Such variable consideration is estimated in the period of the sale and is estimated using a most likely amount approach based primarily upon provisions included in the Company’s customer contract, customary industry practices and current government regulations.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Rebates and Chargebacks</w:t>
      </w:r>
    </w:p>
    <w:p>
      <w:pPr>
        <w:spacing w:after="0" w:line="80"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Rebates are discounts which the Company pays under either government or private health care programs. Government rebate programs include state Medicaid drug rebate programs, the Medicare coverage gap discount programs and the Tricare programs. Commercial rebate and fee programs relate to contractual</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F-14</w:t>
      </w:r>
    </w:p>
    <w:p>
      <w:pPr>
        <w:sectPr>
          <w:pgSz w:w="11900" w:h="16838" w:orient="portrait"/>
          <w:cols w:equalWidth="0" w:num="1">
            <w:col w:w="10159"/>
          </w:cols>
          <w:pgMar w:left="300" w:top="368"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84" w:lineRule="auto"/>
        <w:rPr>
          <w:sz w:val="20"/>
          <w:szCs w:val="20"/>
          <w:color w:val="auto"/>
        </w:rPr>
      </w:pPr>
      <w:r>
        <w:rPr>
          <w:rFonts w:ascii="Times New Roman" w:cs="Times New Roman" w:eastAsia="Times New Roman" w:hAnsi="Times New Roman"/>
          <w:sz w:val="11"/>
          <w:szCs w:val="11"/>
          <w:color w:val="auto"/>
        </w:rPr>
        <w:t>agreements with commercial healthcare providers, under which the Company pays rebates and fees for access to and position on that provider’s patient drug formulary. Rebates and chargebacks paid under government programs are generally mandated under law, whereas private rebates and fees are generally contractually negotiated by the Company with commercial healthcare providers. Both types of rebates vary over time. The Company records a reduction to gross product sales at the time the customer takes title to the product based on estimates of expected rebate claims. The Company monitors the sales trends and adjusts for these rebates on a regular basis to reflect the most recent rebate experience and contractual obligations. Reserves for rebates and chargebacks are separately presented as accrued rebates and fees under current liabilities within the Company’s consolidated balance sheets.</w:t>
      </w:r>
    </w:p>
    <w:p>
      <w:pPr>
        <w:spacing w:after="0" w:line="1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Prompt Payment Discounts</w:t>
      </w:r>
    </w:p>
    <w:p>
      <w:pPr>
        <w:spacing w:after="0" w:line="80" w:lineRule="exact"/>
        <w:rPr>
          <w:sz w:val="20"/>
          <w:szCs w:val="20"/>
          <w:color w:val="auto"/>
        </w:rPr>
      </w:pPr>
    </w:p>
    <w:p>
      <w:pPr>
        <w:ind w:left="1980" w:right="1199"/>
        <w:spacing w:after="0" w:line="300" w:lineRule="auto"/>
        <w:rPr>
          <w:sz w:val="20"/>
          <w:szCs w:val="20"/>
          <w:color w:val="auto"/>
        </w:rPr>
      </w:pPr>
      <w:r>
        <w:rPr>
          <w:rFonts w:ascii="Times New Roman" w:cs="Times New Roman" w:eastAsia="Times New Roman" w:hAnsi="Times New Roman"/>
          <w:sz w:val="11"/>
          <w:szCs w:val="11"/>
          <w:color w:val="auto"/>
        </w:rPr>
        <w:t>The Company provides its customers with prompt payment discounts which may result in adjustments to the price that is invoiced for the product transferred, in the case that payments are made within a defined period. The prompt payment discount reserve is based on actual gross sales and contractual discount rates. Reserves for prompt payment discounts are included in accounts receivable, net on the consolidated balance sheets.</w:t>
      </w:r>
    </w:p>
    <w:p>
      <w:pPr>
        <w:spacing w:after="0" w:line="1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Service Fees</w:t>
      </w:r>
    </w:p>
    <w:p>
      <w:pPr>
        <w:spacing w:after="0" w:line="80" w:lineRule="exact"/>
        <w:rPr>
          <w:sz w:val="20"/>
          <w:szCs w:val="20"/>
          <w:color w:val="auto"/>
        </w:rPr>
      </w:pPr>
    </w:p>
    <w:p>
      <w:pPr>
        <w:ind w:left="1980" w:right="879"/>
        <w:spacing w:after="0" w:line="300" w:lineRule="auto"/>
        <w:rPr>
          <w:sz w:val="20"/>
          <w:szCs w:val="20"/>
          <w:color w:val="auto"/>
        </w:rPr>
      </w:pPr>
      <w:r>
        <w:rPr>
          <w:rFonts w:ascii="Times New Roman" w:cs="Times New Roman" w:eastAsia="Times New Roman" w:hAnsi="Times New Roman"/>
          <w:sz w:val="11"/>
          <w:szCs w:val="11"/>
          <w:color w:val="auto"/>
        </w:rPr>
        <w:t>The Company compensates its customer and others in the distribution chain for wholesaler and distribution services. The Company has determined such services received to date are not distinct from the Company’s sale of products to the customer and, therefore, these payments have been recorded as a reduction of revenue. Service fees are presented as accrued rebates and fees under current liabilities within the Company’s consolidated balance sheets.</w:t>
      </w:r>
    </w:p>
    <w:p>
      <w:pPr>
        <w:spacing w:after="0" w:line="17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Product Returns</w:t>
      </w:r>
    </w:p>
    <w:p>
      <w:pPr>
        <w:spacing w:after="0" w:line="80"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The Company is obligated to accept the return of products sold that are expiring within six months, damaged or do not meet certain specifications. The Company may authorize the return of products sold in accordance with the term of its sales contracts, and estimates allowances for such amounts at the time of sale. The Company estimates the amount of its product sales that may be returned by its customer and records this estimate as a reduction of revenue in the period the related product revenue is recognized. Product returns are presented as accrued rebates and fees under current liabilities within the Company’s consolidated balance sheets.</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Co-Payment Assistance</w:t>
      </w:r>
    </w:p>
    <w:p>
      <w:pPr>
        <w:spacing w:after="0" w:line="80" w:lineRule="exact"/>
        <w:rPr>
          <w:sz w:val="20"/>
          <w:szCs w:val="20"/>
          <w:color w:val="auto"/>
        </w:rPr>
      </w:pPr>
    </w:p>
    <w:p>
      <w:pPr>
        <w:ind w:left="1980" w:right="1139"/>
        <w:spacing w:after="0" w:line="260" w:lineRule="auto"/>
        <w:rPr>
          <w:sz w:val="20"/>
          <w:szCs w:val="20"/>
          <w:color w:val="auto"/>
        </w:rPr>
      </w:pPr>
      <w:r>
        <w:rPr>
          <w:rFonts w:ascii="Times New Roman" w:cs="Times New Roman" w:eastAsia="Times New Roman" w:hAnsi="Times New Roman"/>
          <w:sz w:val="12"/>
          <w:szCs w:val="12"/>
          <w:color w:val="auto"/>
        </w:rPr>
        <w:t>Patients who have commercial insurance or pay cash and meet certain eligibility requirements may receive co- payment assistance. The Company accrues for co-payment assistance based on actual program participation and estimates of program redemption using data provided by third-party administrators. Co-payment assistance is presented as accrued rebates and fees under current liabilities within the Company’s consolidated balance sheets.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80" w:lineRule="exact"/>
        <w:rPr>
          <w:sz w:val="20"/>
          <w:szCs w:val="20"/>
          <w:color w:val="auto"/>
        </w:rPr>
      </w:pPr>
    </w:p>
    <w:p>
      <w:pPr>
        <w:ind w:left="1980" w:right="859"/>
        <w:spacing w:after="0" w:line="258" w:lineRule="auto"/>
        <w:rPr>
          <w:sz w:val="20"/>
          <w:szCs w:val="20"/>
          <w:color w:val="auto"/>
        </w:rPr>
      </w:pPr>
      <w:r>
        <w:rPr>
          <w:rFonts w:ascii="Times New Roman" w:cs="Times New Roman" w:eastAsia="Times New Roman" w:hAnsi="Times New Roman"/>
          <w:sz w:val="12"/>
          <w:szCs w:val="12"/>
          <w:color w:val="auto"/>
        </w:rPr>
        <w:t xml:space="preserve">The Company accounts for stock-based compensation in accordance with FASB ASC Topic 718, </w:t>
      </w:r>
      <w:r>
        <w:rPr>
          <w:rFonts w:ascii="Times New Roman" w:cs="Times New Roman" w:eastAsia="Times New Roman" w:hAnsi="Times New Roman"/>
          <w:sz w:val="12"/>
          <w:szCs w:val="12"/>
          <w:i w:val="1"/>
          <w:iCs w:val="1"/>
          <w:color w:val="auto"/>
        </w:rPr>
        <w:t>Compensation—Stock Compensation</w:t>
      </w:r>
      <w:r>
        <w:rPr>
          <w:rFonts w:ascii="Times New Roman" w:cs="Times New Roman" w:eastAsia="Times New Roman" w:hAnsi="Times New Roman"/>
          <w:sz w:val="12"/>
          <w:szCs w:val="12"/>
          <w:color w:val="auto"/>
        </w:rPr>
        <w:t>, which establishes accounting for equity instruments exchanged for employee and consulting services. Under such provisions, stock-based compensation cost is measured at the grant date, based on the calculated fair value of the award, and is recognized as an expense, under the straight-line method, over the employee’s requisite service period (generally the vesting period of the equity grant) or non-employee’s vesting period. The Company accounts for forfeitures as incurred.</w:t>
      </w:r>
    </w:p>
    <w:p>
      <w:pPr>
        <w:spacing w:after="0" w:line="124" w:lineRule="exact"/>
        <w:rPr>
          <w:sz w:val="20"/>
          <w:szCs w:val="20"/>
          <w:color w:val="auto"/>
        </w:rPr>
      </w:pPr>
    </w:p>
    <w:p>
      <w:pPr>
        <w:ind w:left="1980" w:right="959"/>
        <w:spacing w:after="0" w:line="279" w:lineRule="auto"/>
        <w:rPr>
          <w:sz w:val="20"/>
          <w:szCs w:val="20"/>
          <w:color w:val="auto"/>
        </w:rPr>
      </w:pPr>
      <w:r>
        <w:rPr>
          <w:rFonts w:ascii="Times New Roman" w:cs="Times New Roman" w:eastAsia="Times New Roman" w:hAnsi="Times New Roman"/>
          <w:sz w:val="12"/>
          <w:szCs w:val="12"/>
          <w:color w:val="auto"/>
        </w:rPr>
        <w:t>For purposes of determining the inputs used in the calculation of stock-based compensation, the Company determines the expected life assumption for options issued using the simplified method, which is an average of</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F-15</w:t>
      </w:r>
    </w:p>
    <w:p>
      <w:pPr>
        <w:sectPr>
          <w:pgSz w:w="11900" w:h="16838" w:orient="portrait"/>
          <w:cols w:equalWidth="0" w:num="1">
            <w:col w:w="10159"/>
          </w:cols>
          <w:pgMar w:left="300" w:top="368"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59"/>
        <w:spacing w:after="0" w:line="257" w:lineRule="auto"/>
        <w:rPr>
          <w:sz w:val="20"/>
          <w:szCs w:val="20"/>
          <w:color w:val="auto"/>
        </w:rPr>
      </w:pPr>
      <w:r>
        <w:rPr>
          <w:rFonts w:ascii="Times New Roman" w:cs="Times New Roman" w:eastAsia="Times New Roman" w:hAnsi="Times New Roman"/>
          <w:sz w:val="12"/>
          <w:szCs w:val="12"/>
          <w:color w:val="auto"/>
        </w:rPr>
        <w:t>the contractual term of the option and its ordinary vesting period since the Company does not have historic exercise behavior. Then the Company determines an estimate of option volatility based on an assessment of historical volatilities of comparable companies whose share prices are publicly available. The Company uses these estimates as variables in the Black-Scholes option pricing model. Depending upon the number of stock options granted, any fluctuations in these calculations could have a material effect on the results presented in our consolidated statements of operations and comprehensive loss.</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Treasury Stock</w:t>
      </w:r>
    </w:p>
    <w:p>
      <w:pPr>
        <w:spacing w:after="0" w:line="82"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The Company uses the cost method to account for repurchases of its stock. In the computation of net (loss) income per share, treasury shares are not included as part of the outstanding shares.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82" w:lineRule="exact"/>
        <w:rPr>
          <w:sz w:val="20"/>
          <w:szCs w:val="20"/>
          <w:color w:val="auto"/>
        </w:rPr>
      </w:pPr>
    </w:p>
    <w:p>
      <w:pPr>
        <w:ind w:left="1980" w:right="899"/>
        <w:spacing w:after="0" w:line="279" w:lineRule="auto"/>
        <w:rPr>
          <w:sz w:val="20"/>
          <w:szCs w:val="20"/>
          <w:color w:val="auto"/>
        </w:rPr>
      </w:pPr>
      <w:r>
        <w:rPr>
          <w:rFonts w:ascii="Times New Roman" w:cs="Times New Roman" w:eastAsia="Times New Roman" w:hAnsi="Times New Roman"/>
          <w:sz w:val="12"/>
          <w:szCs w:val="12"/>
          <w:color w:val="auto"/>
        </w:rPr>
        <w:t>Basic and diluted net loss per share attributable to common stockholders is presented in conformity with the two-class method required for participating securities.</w:t>
      </w:r>
    </w:p>
    <w:p>
      <w:pPr>
        <w:spacing w:after="0" w:line="111"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Under the two-class method,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warrants, which consists of the incremental Common Stock issuable upon the exercise of stock options and warrants (using the treasury stock method or the reverse treasury stock method, as applicable).</w:t>
      </w:r>
    </w:p>
    <w:p>
      <w:pPr>
        <w:spacing w:after="0" w:line="123" w:lineRule="exact"/>
        <w:rPr>
          <w:sz w:val="20"/>
          <w:szCs w:val="20"/>
          <w:color w:val="auto"/>
        </w:rPr>
      </w:pPr>
    </w:p>
    <w:p>
      <w:pPr>
        <w:ind w:left="1980" w:right="839"/>
        <w:spacing w:after="0" w:line="266" w:lineRule="auto"/>
        <w:rPr>
          <w:sz w:val="20"/>
          <w:szCs w:val="20"/>
          <w:color w:val="auto"/>
        </w:rPr>
      </w:pPr>
      <w:r>
        <w:rPr>
          <w:rFonts w:ascii="Times New Roman" w:cs="Times New Roman" w:eastAsia="Times New Roman" w:hAnsi="Times New Roman"/>
          <w:sz w:val="12"/>
          <w:szCs w:val="12"/>
          <w:color w:val="auto"/>
        </w:rPr>
        <w:t xml:space="preserve">In accordance with FASB ASC 260,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 xml:space="preserve"> Penny Warrants are warrants that would be exercised for no or little consideration and therefore should be included in the calculation of weighted average shares outstanding for purposes of calculating basic and diluted net income (loss) per share to the extent all vesting conditions or exercise contingencies are removed except for the passage of time.</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80"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 xml:space="preserve">In November 2023, the FASB issued ASU No. 2023-07, </w:t>
      </w:r>
      <w:r>
        <w:rPr>
          <w:rFonts w:ascii="Times New Roman" w:cs="Times New Roman" w:eastAsia="Times New Roman" w:hAnsi="Times New Roman"/>
          <w:sz w:val="12"/>
          <w:szCs w:val="12"/>
          <w:i w:val="1"/>
          <w:iCs w:val="1"/>
          <w:color w:val="auto"/>
        </w:rPr>
        <w:t>Improvements to Reportable Segment Disclosures</w:t>
      </w:r>
      <w:r>
        <w:rPr>
          <w:rFonts w:ascii="Times New Roman" w:cs="Times New Roman" w:eastAsia="Times New Roman" w:hAnsi="Times New Roman"/>
          <w:sz w:val="12"/>
          <w:szCs w:val="12"/>
          <w:color w:val="auto"/>
        </w:rPr>
        <w:t xml:space="preserve"> (Topic 280), which requires disclosures of significant reportable segment expenses that are regularly provided to the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The Company adopted this ASU retrospectively on December 31, 2024.</w:t>
      </w:r>
    </w:p>
    <w:p>
      <w:pPr>
        <w:spacing w:after="0" w:line="121"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 xml:space="preserve">In December 2023, the FASB issued ASU 2023-09,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(Topic 740): Improvements to Income Tax Disclosures. The update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Adoption of the ASU allows for either the prospective or retrospective application of the amendment and is effective for annual periods beginning after December 15, 2024, with early adoption permitted. The Company is currently evaluating the impact of this amendment on its consolidated financial statements.</w:t>
      </w:r>
    </w:p>
    <w:p>
      <w:pPr>
        <w:spacing w:after="0" w:line="126" w:lineRule="exact"/>
        <w:rPr>
          <w:sz w:val="20"/>
          <w:szCs w:val="20"/>
          <w:color w:val="auto"/>
        </w:rPr>
      </w:pPr>
    </w:p>
    <w:p>
      <w:pPr>
        <w:ind w:left="1980" w:right="1159"/>
        <w:spacing w:after="0" w:line="283"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w:t>
      </w:r>
      <w:r>
        <w:rPr>
          <w:rFonts w:ascii="Times New Roman" w:cs="Times New Roman" w:eastAsia="Times New Roman" w:hAnsi="Times New Roman"/>
          <w:sz w:val="12"/>
          <w:szCs w:val="12"/>
          <w:color w:val="auto"/>
        </w:rPr>
        <w:t>, which will require additional expense disclosures for all public entities.</w:t>
      </w:r>
    </w:p>
    <w:p>
      <w:pPr>
        <w:spacing w:after="0" w:line="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F-16</w:t>
      </w:r>
    </w:p>
    <w:p>
      <w:pPr>
        <w:sectPr>
          <w:pgSz w:w="11900" w:h="16838" w:orient="portrait"/>
          <w:cols w:equalWidth="0" w:num="1">
            <w:col w:w="10159"/>
          </w:cols>
          <w:pgMar w:left="300" w:top="368" w:right="1440"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The amendments require that at each interim and annual reporting period, an entity will disclose certain disaggregated expenses included in each relevant expense caption, as well as the total amount of selling expenses and, in annual periods, an entity’s definition of selling expenses. ASU 2024-03 is effective for annual reporting periods beginning with the fiscal year ending December 31, 2027, and interim periods thereafter, with early adoption permitted. The Company is currently evaluating the incremental disclosures that will be required in its consolidated financial statements.</w:t>
      </w:r>
    </w:p>
    <w:p>
      <w:pPr>
        <w:spacing w:after="0" w:line="120" w:lineRule="exact"/>
        <w:rPr>
          <w:sz w:val="20"/>
          <w:szCs w:val="20"/>
          <w:color w:val="auto"/>
        </w:rPr>
      </w:pPr>
    </w:p>
    <w:p>
      <w:pPr>
        <w:ind w:left="1980" w:right="999"/>
        <w:spacing w:after="0" w:line="258"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2024-04, </w:t>
      </w:r>
      <w:r>
        <w:rPr>
          <w:rFonts w:ascii="Times New Roman" w:cs="Times New Roman" w:eastAsia="Times New Roman" w:hAnsi="Times New Roman"/>
          <w:sz w:val="12"/>
          <w:szCs w:val="12"/>
          <w:i w:val="1"/>
          <w:iCs w:val="1"/>
          <w:color w:val="auto"/>
        </w:rPr>
        <w:t>Debt—Debt with Conversion and Other Options</w:t>
      </w:r>
      <w:r>
        <w:rPr>
          <w:rFonts w:ascii="Times New Roman" w:cs="Times New Roman" w:eastAsia="Times New Roman" w:hAnsi="Times New Roman"/>
          <w:sz w:val="12"/>
          <w:szCs w:val="12"/>
          <w:color w:val="auto"/>
        </w:rPr>
        <w:t>, which clarify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ASU 2020-06. The Company is currently evaluating the impact of this amendment on its consolidated financial statements.</w:t>
      </w:r>
    </w:p>
    <w:p>
      <w:pPr>
        <w:spacing w:after="0" w:line="19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2. Liquidity and Going Concern</w:t>
      </w:r>
    </w:p>
    <w:p>
      <w:pPr>
        <w:spacing w:after="0" w:line="82"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consolidated financial statements.</w:t>
      </w:r>
    </w:p>
    <w:p>
      <w:pPr>
        <w:spacing w:after="0" w:line="119" w:lineRule="exact"/>
        <w:rPr>
          <w:sz w:val="20"/>
          <w:szCs w:val="20"/>
          <w:color w:val="auto"/>
        </w:rPr>
      </w:pPr>
    </w:p>
    <w:p>
      <w:pPr>
        <w:ind w:left="1980" w:right="879"/>
        <w:spacing w:after="0" w:line="291" w:lineRule="auto"/>
        <w:rPr>
          <w:sz w:val="20"/>
          <w:szCs w:val="20"/>
          <w:color w:val="auto"/>
        </w:rPr>
      </w:pPr>
      <w:r>
        <w:rPr>
          <w:rFonts w:ascii="Times New Roman" w:cs="Times New Roman" w:eastAsia="Times New Roman" w:hAnsi="Times New Roman"/>
          <w:sz w:val="11"/>
          <w:szCs w:val="11"/>
          <w:color w:val="auto"/>
        </w:rPr>
        <w:t>On November 17, 2022, the Company entered into a standby equity purchase agreement (the “Original Purchase Agreement”) with YA II PN, Ltd., a Cayman Islands exempt limited partnership (“Yorkville”). On February 8, 2023, the Company entered into an amended and restated standby equity purchase agreement with Yorkville (the “A&amp;R Yorkville Purchase Agreement”), amending, restating and superseding the Original Purchase Agreement. On, and effective as of, March 25, 2024, the Company and Yorkville mutually agreed to terminate the A&amp;R Yorkville Purchase Agreement.</w:t>
      </w:r>
    </w:p>
    <w:p>
      <w:pPr>
        <w:spacing w:after="0" w:line="107" w:lineRule="exact"/>
        <w:rPr>
          <w:sz w:val="20"/>
          <w:szCs w:val="20"/>
          <w:color w:val="auto"/>
        </w:rPr>
      </w:pPr>
    </w:p>
    <w:p>
      <w:pPr>
        <w:ind w:left="1980" w:right="999"/>
        <w:spacing w:after="0" w:line="256" w:lineRule="auto"/>
        <w:rPr>
          <w:sz w:val="20"/>
          <w:szCs w:val="20"/>
          <w:color w:val="auto"/>
        </w:rPr>
      </w:pPr>
      <w:r>
        <w:rPr>
          <w:rFonts w:ascii="Times New Roman" w:cs="Times New Roman" w:eastAsia="Times New Roman" w:hAnsi="Times New Roman"/>
          <w:sz w:val="12"/>
          <w:szCs w:val="12"/>
          <w:color w:val="auto"/>
        </w:rPr>
        <w:t>On January 8, 2023, the Company entered into a standby equity purchase agreement (the “B. Riley Purchase Agreement” and together with A&amp;R Yorkville Purchase Agreement, the “Standby Equity Purchase Agreements”) with B. Riley Principal Capital II, LLC (“B. Riley”). Pursuant to each of the Standby Equity Purchase Agreements, the Company had the right, but not the obligation, to sell to each of Yorkville and B. Riley up to</w:t>
      </w:r>
    </w:p>
    <w:p>
      <w:pPr>
        <w:spacing w:after="0" w:line="1" w:lineRule="exact"/>
        <w:rPr>
          <w:sz w:val="20"/>
          <w:szCs w:val="20"/>
          <w:color w:val="auto"/>
        </w:rPr>
      </w:pPr>
    </w:p>
    <w:p>
      <w:pPr>
        <w:ind w:left="1980" w:right="939"/>
        <w:spacing w:after="0" w:line="252" w:lineRule="auto"/>
        <w:rPr>
          <w:sz w:val="20"/>
          <w:szCs w:val="20"/>
          <w:color w:val="auto"/>
        </w:rPr>
      </w:pPr>
      <w:r>
        <w:rPr>
          <w:rFonts w:ascii="Times New Roman" w:cs="Times New Roman" w:eastAsia="Times New Roman" w:hAnsi="Times New Roman"/>
          <w:sz w:val="12"/>
          <w:szCs w:val="12"/>
          <w:color w:val="auto"/>
        </w:rPr>
        <w:t>$500.0 million of shares of the Company’s common stock, par value $0.0001 per share (the “Common Stock”) at its request any time during the 36 months following the date on which the registration statement related to each such purchase agreement was initially declared effective by the SEC, subject to certain conditions, which are discussed further in Note 9. As consideration for Yorkville’s and B. Riley’s respective commitment to purchase shares of Common Stock at the Company’s direction, the Company issued 250,000 commitment shares to each of Yorkville (the “Yorkville Commitment Shares”) and B. Riley (the “B. Riley Commitment Shares”). On, and effective as of, February 16, 2024, the Company and B. Riley mutually agreed to terminate the B. Riley Purchase Agreement.</w:t>
      </w:r>
    </w:p>
    <w:p>
      <w:pPr>
        <w:spacing w:after="0" w:line="128"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On March 21, 2023, the Company entered into a securities purchase agreement with Yorkville (the “Yorkville SPA”), pursuant to which the Company issued and sold to Yorkville convertible debentures in an aggregate principal amount of up to $25.0 million (the “Convertible Debentures”) for net cash proceeds of $24.0 million, as discussed further in Note 7. The Company fully repaid the Convertible Debentures in March 2024.</w:t>
      </w:r>
    </w:p>
    <w:p>
      <w:pPr>
        <w:spacing w:after="0" w:line="119" w:lineRule="exact"/>
        <w:rPr>
          <w:sz w:val="20"/>
          <w:szCs w:val="20"/>
          <w:color w:val="auto"/>
        </w:rPr>
      </w:pPr>
    </w:p>
    <w:p>
      <w:pPr>
        <w:jc w:val="both"/>
        <w:ind w:left="1980" w:right="959"/>
        <w:spacing w:after="0" w:line="280" w:lineRule="auto"/>
        <w:rPr>
          <w:sz w:val="20"/>
          <w:szCs w:val="20"/>
          <w:color w:val="auto"/>
        </w:rPr>
      </w:pPr>
      <w:r>
        <w:rPr>
          <w:rFonts w:ascii="Times New Roman" w:cs="Times New Roman" w:eastAsia="Times New Roman" w:hAnsi="Times New Roman"/>
          <w:sz w:val="11"/>
          <w:szCs w:val="11"/>
          <w:color w:val="auto"/>
        </w:rPr>
        <w:t>On June 27, 2023, Scilex Pharma entered into a Credit and Security Agreement (the “eCapital Credit Agreement”) with eCapital Healthcare Corp. (the “Lender”), pursuant to which the Lender made available loans (the “Revolving Facility”) in an aggregate principal amount of up to $30.0 million (the “Facility Cap”). The proceeds of the Revolving Facility were used for (i) transaction fees incurred in connection with the eCapital Credit Agreement,</w:t>
      </w:r>
    </w:p>
    <w:p>
      <w:pPr>
        <w:ind w:left="1980" w:right="879" w:hanging="8"/>
        <w:spacing w:after="0" w:line="260" w:lineRule="auto"/>
        <w:tabs>
          <w:tab w:leader="none" w:pos="2157"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working capital needs of Scilex Pharma and (iii) other uses not prohibited under the eCapital Credit Agreement. See Note 7 for additional discussion of the terms of the eCapital Credit Agreement.</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F-17</w:t>
      </w:r>
    </w:p>
    <w:p>
      <w:pPr>
        <w:sectPr>
          <w:pgSz w:w="11900" w:h="16838" w:orient="portrait"/>
          <w:cols w:equalWidth="0" w:num="1">
            <w:col w:w="10159"/>
          </w:cols>
          <w:pgMar w:left="300" w:top="368" w:right="1440"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On October 8, 2024, Scilex Pharma paid off the outstanding amount of all obligations and indebtedness of Scilex Pharma owing to the Lender under the eCapital Credit Agreement. Accordingly, the eCapital Credit Agreement, the related Loan Documents and the Subordination Agreement (each as defined in the eCapital Credit Agreement) were terminated, canceled and are of no further force and effect.</w:t>
      </w:r>
    </w:p>
    <w:p>
      <w:pPr>
        <w:spacing w:after="0" w:line="119"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On December 22, 2023, the Company entered into a Sales Agreement (the “ATM Sales Agreement”) with B. Riley Securities, Inc., Cantor Fitzgerald &amp; Co. and H.C. Wainwright &amp; Co., LLC (the “Sales Agents”), which agreement was voluntarily terminated by us effective as of March 5, 2025. Pursuant to the ATM Sales Agreement, the Company was able to offer and sell (the “Offering”) shares of Common Stock up to $170.0 million (the “ATM Shares”), through or to the Sales Agents as part of the Offering. The Company had no obligation to sell any shares of Common Stock under the ATM Sales Agreement and could suspend offers thereunder at any time. As of December 31, 2024, the Company sold 2,764,187 shares of Common Stock pursuant to the ATM Sales Agreement for net proceeds of approximately $2.7 million. As of December 31, 2023, no sales of Common Stock had been made under the ATM Sales Agreement.</w:t>
      </w:r>
    </w:p>
    <w:p>
      <w:pPr>
        <w:spacing w:after="0" w:line="126" w:lineRule="exact"/>
        <w:rPr>
          <w:sz w:val="20"/>
          <w:szCs w:val="20"/>
          <w:color w:val="auto"/>
        </w:rPr>
      </w:pPr>
    </w:p>
    <w:p>
      <w:pPr>
        <w:ind w:left="1980" w:right="979"/>
        <w:spacing w:after="0" w:line="253" w:lineRule="auto"/>
        <w:rPr>
          <w:sz w:val="20"/>
          <w:szCs w:val="20"/>
          <w:color w:val="auto"/>
        </w:rPr>
      </w:pPr>
      <w:r>
        <w:rPr>
          <w:rFonts w:ascii="Times New Roman" w:cs="Times New Roman" w:eastAsia="Times New Roman" w:hAnsi="Times New Roman"/>
          <w:sz w:val="12"/>
          <w:szCs w:val="12"/>
          <w:color w:val="auto"/>
        </w:rPr>
        <w:t>On June 11, 2024, the Company entered into that certain Commitment Side Letter (the “Commitment Letter”) with FSF 33433 LLC (“FSF Lender”), pursuant to which FSF Lender committed to provide the Company a loan (the “FSF Loan”) in the aggregate amount of $100.0 million (the “Commitment Amount”). The Commitment Amount shall be payable as follows: (i) $85.0 million no later than the date that is 70 days following the date on which the Company receives the FSF Deposit (as defined below) (the “Outside Date” and the funding of the initial $85.0 million, the “Initial Closing”) and (ii) the remaining $15.0 million within 60 days following the Initial Closing (the funding of the second $15.0 million, the “Second Closing”). Pursuant to the Commitment Letter, FSF Lender was required to provide the Company a non-refundable deposit in immediately available funds in the aggregate principal amount of $10.0 million (the “FSF Deposit” and the date on which such funds are fully received, the “Deposit Date”), which amount will be creditable towards the $85.0 million required to be funded by FSF Lender at the Initial Closing. The Company received the FSF Deposit on June 18, 2024 and issued to FSF Lender a warrant to purchase up to an aggregate of 3,250,000 shares of the Common Stock (subject to adjustment for any stock dividend, stock split, reverse stock split or similar transaction) (the “Deposit Warrant”), with an exercise price of $1.20 per share. The Deposit Warrant is immediately exercisable and will expire five years from the date of issuance.</w:t>
      </w:r>
    </w:p>
    <w:p>
      <w:pPr>
        <w:spacing w:after="0" w:line="128"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On September 17, 2024, the Company entered into a Satisfaction Agreement (the “Satisfaction Agreement”) with FSF Lender and Endeavor Distribution LLC, a Delaware limited liability company and affiliate of FSF Lender (“Endeavor”), pursuant to which the remaining obligations in respect of the FSF Deposit shall be fully satisfied by the Company’s delivery of 28,000 cartons of ZTlido to Endeavor (the “Additional Product”), which delivery shall occur no later than December 31, 2024. Upon satisfaction of such remaining obligations, the Commitment Letter shall be terminated and of no further force or effect and neither FSF Lender nor the Company shall have any further liability or obligations thereunder. In consideration of Endeavor assuming the payment obligation of the Company in respect of the FSF Deposit, Endeavor will not be responsible for making any payment to the Company for (i) the product already delivered as of the date of such agreement in an amount of approximately $13.2 million and (ii) the Additional Product. Pursuant to the terms of the Satisfaction Agreement, if the Company fails to fully deliver the Additional Product by December 31, 2024, the Company shall be liable to Endeavor for liquidated damages in the amount of $20,000,000. In November 2024, the Company delivered the Additional Product to Endeavor and fully satisfied the remaining obligations in respect of the FSF Deposit.</w:t>
      </w:r>
    </w:p>
    <w:p>
      <w:pPr>
        <w:spacing w:after="0" w:line="129"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On October 8, 2024, the Company entered into a securities purchase agreement (the “Tranche B Securities Purchase Agreement”) with certain institutional investors (collectively, the “Tranche B Investors”) and Oramed Pharmaceuticals Inc. (“Oramed”) (together with the Tranche B Investors, the “Tranche B Noteholders”), to issue and sell, in a registered offering by the Company directly to the Tranche B Noteholders, a new tranche B of senior secured convertible notes of the Company in the aggregate principal amount of $50.0 million (the “Tranche B Notes”) which notes will mature on the two-year anniversary of the issuance date and will be convertible into shares of Common Stock at a conversion price equal to $1.09 per share (which was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F-18</w:t>
      </w:r>
    </w:p>
    <w:p>
      <w:pPr>
        <w:sectPr>
          <w:pgSz w:w="11900" w:h="16838" w:orient="portrait"/>
          <w:cols w:equalWidth="0" w:num="1">
            <w:col w:w="10159"/>
          </w:cols>
          <w:pgMar w:left="300" w:top="368" w:right="1440"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19"/>
        <w:spacing w:after="0" w:line="260" w:lineRule="auto"/>
        <w:rPr>
          <w:sz w:val="20"/>
          <w:szCs w:val="20"/>
          <w:color w:val="auto"/>
        </w:rPr>
      </w:pPr>
      <w:r>
        <w:rPr>
          <w:rFonts w:ascii="Times New Roman" w:cs="Times New Roman" w:eastAsia="Times New Roman" w:hAnsi="Times New Roman"/>
          <w:sz w:val="12"/>
          <w:szCs w:val="12"/>
          <w:color w:val="auto"/>
        </w:rPr>
        <w:t>automatically reduced to $1.04 per share of Common Stock subsequent to the December 2024 RDO (as defined below) in accordance with the terms of such notes). The Company has received in exchange for the issuance of the Tranche B Notes to the Tranche B Investors an aggregate amount in cash of $22,500,000, excluding fees and expenses payable by the Company. The Company has received from Oramed in consideration for the Tranche B Notes issued to Oramed an exchange and reduction of the principal balance under the Oramed Note (as defined below) of $22,500,000.</w:t>
      </w:r>
    </w:p>
    <w:p>
      <w:pPr>
        <w:spacing w:after="0" w:line="122" w:lineRule="exact"/>
        <w:rPr>
          <w:sz w:val="20"/>
          <w:szCs w:val="20"/>
          <w:color w:val="auto"/>
        </w:rPr>
      </w:pPr>
    </w:p>
    <w:p>
      <w:pPr>
        <w:jc w:val="both"/>
        <w:ind w:left="1980" w:right="1319"/>
        <w:spacing w:after="0" w:line="265" w:lineRule="auto"/>
        <w:rPr>
          <w:sz w:val="20"/>
          <w:szCs w:val="20"/>
          <w:color w:val="auto"/>
        </w:rPr>
      </w:pPr>
      <w:r>
        <w:rPr>
          <w:rFonts w:ascii="Times New Roman" w:cs="Times New Roman" w:eastAsia="Times New Roman" w:hAnsi="Times New Roman"/>
          <w:sz w:val="12"/>
          <w:szCs w:val="12"/>
          <w:color w:val="auto"/>
        </w:rPr>
        <w:t>As of December 31, 2024, the Company’s negative working capital was $218.1 million, including cash and cash equivalents of approximately $3.3 million. During the year ended December 31, 2024, the Company had operating losses of $83.4 million and cash flows from operations of $19.3 million. The Company had an accumulated deficit of $563.1 million as of December 31, 2024.</w:t>
      </w:r>
    </w:p>
    <w:p>
      <w:pPr>
        <w:spacing w:after="0" w:line="119" w:lineRule="exact"/>
        <w:rPr>
          <w:sz w:val="20"/>
          <w:szCs w:val="20"/>
          <w:color w:val="auto"/>
        </w:rPr>
      </w:pPr>
    </w:p>
    <w:p>
      <w:pPr>
        <w:ind w:left="1980" w:right="999"/>
        <w:spacing w:after="0" w:line="257" w:lineRule="auto"/>
        <w:rPr>
          <w:sz w:val="20"/>
          <w:szCs w:val="20"/>
          <w:color w:val="auto"/>
        </w:rPr>
      </w:pPr>
      <w:r>
        <w:rPr>
          <w:rFonts w:ascii="Times New Roman" w:cs="Times New Roman" w:eastAsia="Times New Roman" w:hAnsi="Times New Roman"/>
          <w:sz w:val="12"/>
          <w:szCs w:val="12"/>
          <w:color w:val="auto"/>
        </w:rPr>
        <w:t>The Company has plans to obtain additional resources to fund its currently planned operations and expenditures and to service its debt obligations (whether under the Oramed Note, the Tranche B Notes or otherwise) for at least twelve months from the issuance of these consolidated financial statements through a combination of equity offerings, debt financings, collaborations, government contracts or other strategic transactions. The Company’s plans are also dependent upon the success of future sales of ZTlido, ELYXYB and GLOPERBA, among which GLOPERBA is still in the early stages of commercialization.</w:t>
      </w:r>
    </w:p>
    <w:p>
      <w:pPr>
        <w:spacing w:after="0" w:line="125" w:lineRule="exact"/>
        <w:rPr>
          <w:sz w:val="20"/>
          <w:szCs w:val="20"/>
          <w:color w:val="auto"/>
        </w:rPr>
      </w:pP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consolidated financial statements are issued.</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3. Acquisitions and License Agreements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SP-104 Acquisition</w:t>
      </w:r>
    </w:p>
    <w:p>
      <w:pPr>
        <w:spacing w:after="0" w:line="82" w:lineRule="exact"/>
        <w:rPr>
          <w:sz w:val="20"/>
          <w:szCs w:val="20"/>
          <w:color w:val="auto"/>
        </w:rPr>
      </w:pPr>
    </w:p>
    <w:p>
      <w:pPr>
        <w:ind w:left="1980" w:right="899"/>
        <w:spacing w:after="0" w:line="278" w:lineRule="auto"/>
        <w:rPr>
          <w:sz w:val="20"/>
          <w:szCs w:val="20"/>
          <w:color w:val="auto"/>
        </w:rPr>
      </w:pPr>
      <w:r>
        <w:rPr>
          <w:rFonts w:ascii="Times New Roman" w:cs="Times New Roman" w:eastAsia="Times New Roman" w:hAnsi="Times New Roman"/>
          <w:sz w:val="11"/>
          <w:szCs w:val="11"/>
          <w:color w:val="auto"/>
        </w:rPr>
        <w:t>In May 2022, the Company acquired the Delayed Burst Release Low Dose Naltrexone asset and intellectual property rights for the treatment of chronic pain, fibromyalgia and chronic post-COVID syndrome (collectively, the “SP-104 Assets”). Pursuant to the acquisition provisions, the Company is obligated to pay Aardvark Therapeutics, Inc. (“Aardvark”) (i) $3.0 million upon initial approval by the FDA of a new drug application for the SP-104 Assets (which amount may be paid in shares of Common Stock or cash, in the Company’s sole discretion) (the “Development Milestone Payment”) and</w:t>
      </w:r>
    </w:p>
    <w:p>
      <w:pPr>
        <w:spacing w:after="0" w:line="1" w:lineRule="exact"/>
        <w:rPr>
          <w:sz w:val="20"/>
          <w:szCs w:val="20"/>
          <w:color w:val="auto"/>
        </w:rPr>
      </w:pPr>
    </w:p>
    <w:p>
      <w:pPr>
        <w:ind w:left="1980" w:right="1199" w:hanging="8"/>
        <w:spacing w:after="0" w:line="255" w:lineRule="auto"/>
        <w:tabs>
          <w:tab w:leader="none" w:pos="2157"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$20.0 million in cash, upon achievement of certain net sales by the Company of a commercial product that uses the SP-104 Assets (the “Sales Milestone Payment”). The Company will also pay Aardvark certain royalties in the single digits based on percentages of annual net sales by the Company of a commercial product that uses the SP-104 Assets.</w:t>
      </w:r>
    </w:p>
    <w:p>
      <w:pPr>
        <w:spacing w:after="0" w:line="125"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The Sales Milestone Payment and sale volume-based future royalties were determined to meet a scope exception for derivative accounting and will not be recognized until the contingencies are realized. The Development Milestone Payment represents a liability, which will be measured at fair value for each reporting period. As of December 31, 2024 and December 31, 2023, the contingent consideration associated with the Development Milestone Payment was $0.2 million, recorded in the other long-term liabilities.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 License Agreement</w:t>
      </w:r>
    </w:p>
    <w:p>
      <w:pPr>
        <w:spacing w:after="0" w:line="82" w:lineRule="exact"/>
        <w:rPr>
          <w:sz w:val="20"/>
          <w:szCs w:val="20"/>
          <w:color w:val="auto"/>
        </w:rPr>
      </w:pPr>
    </w:p>
    <w:p>
      <w:pPr>
        <w:ind w:left="1980" w:right="1019"/>
        <w:spacing w:after="0" w:line="260" w:lineRule="auto"/>
        <w:rPr>
          <w:sz w:val="20"/>
          <w:szCs w:val="20"/>
          <w:color w:val="auto"/>
        </w:rPr>
      </w:pPr>
      <w:r>
        <w:rPr>
          <w:rFonts w:ascii="Times New Roman" w:cs="Times New Roman" w:eastAsia="Times New Roman" w:hAnsi="Times New Roman"/>
          <w:sz w:val="12"/>
          <w:szCs w:val="12"/>
          <w:color w:val="auto"/>
        </w:rPr>
        <w:t>On June 14, 2022 (the “Original Signing Date”), the Company entered into a License and Commercialization Agreement with RxOmeg Therapeutics LLC (a/k/a Romeg Therapeutics, LLC) (“Romeg”) for the in-licensing of certain intellectual property rights from Romeg with respect to the commercialization of GLOPERBA, which was amended by that First Amendment to License and Commercialization Agreement, dated as of January 16, 2025 (such agreement, as amended, the “Romeg License Agreement”). Under the Romeg License Agreement,</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F-19</w:t>
      </w:r>
    </w:p>
    <w:p>
      <w:pPr>
        <w:sectPr>
          <w:pgSz w:w="11900" w:h="16838" w:orient="portrait"/>
          <w:cols w:equalWidth="0" w:num="1">
            <w:col w:w="10159"/>
          </w:cols>
          <w:pgMar w:left="300" w:top="368" w:right="1440"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among other things, Romeg granted the Company (1) a license, with the right to sublicense, under the patents and know-how specified therein to</w:t>
      </w:r>
    </w:p>
    <w:p>
      <w:pPr>
        <w:spacing w:after="0" w:line="17" w:lineRule="exact"/>
        <w:rPr>
          <w:sz w:val="20"/>
          <w:szCs w:val="20"/>
          <w:color w:val="auto"/>
        </w:rPr>
      </w:pPr>
    </w:p>
    <w:p>
      <w:pPr>
        <w:ind w:left="1980" w:right="879" w:hanging="8"/>
        <w:spacing w:after="0" w:line="276" w:lineRule="auto"/>
        <w:tabs>
          <w:tab w:leader="none" w:pos="2143" w:val="left"/>
        </w:tabs>
        <w:numPr>
          <w:ilvl w:val="0"/>
          <w:numId w:val="1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commercialize a pharmaceutical product comprising liquid formulations of colchicine for the prophylactic treatment of gout in adult humans (the “Initial Licensed Product”) in the United States (including its territories) (the “Romeg U.S. Territory”), (b) develop other products comprising the Initial Licensed Product as an active pharmaceutical ingredient (together with the Initial Licensed Product, the “Licensed Products”) and commercialize any such products in the Romeg U.S. Territory and (c) manufacture Licensed Products anywhere in the world, solely for commercialization in the Romeg U.S. Territory; (2) an exclusive license, with right to sublicense, to use the trademark “GLOPERBA” and logos, designs, translations, and modifications thereof (collectively, the “Licensed Trademark”) in connection with the commercialization of the Initial Licensed Product solely in the Romeg U.S. Territory; and (3) pursuant to the amendment thereto, a license, with the right to (a) sublicense under the know-how and, if any, patents existing worldwide other than the Romeg U.S. Territory (the “Romeg Ex-U.S. Territory”), as specified therein, to develop, manufacture and commercialize Licensed Products in the Romeg Ex-U.S. Territory and (b) to use the Licensed Trademark in connection with the commercialization of the Licensed Products in the Romeg Ex-U.S. Territory. The Initial Licensed Product, GLOPERBA, was approved and made available in the United States in 2020.</w:t>
      </w:r>
    </w:p>
    <w:p>
      <w:pPr>
        <w:spacing w:after="0" w:line="1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consideration for the license under the Romeg License Agreement, the Company agreed to pay Romeg (1) an up-front license fee of $2.0 million,</w:t>
      </w:r>
    </w:p>
    <w:p>
      <w:pPr>
        <w:spacing w:after="0" w:line="17" w:lineRule="exact"/>
        <w:rPr>
          <w:sz w:val="20"/>
          <w:szCs w:val="20"/>
          <w:color w:val="auto"/>
        </w:rPr>
      </w:pPr>
    </w:p>
    <w:p>
      <w:pPr>
        <w:ind w:left="2140" w:hanging="168"/>
        <w:spacing w:after="0"/>
        <w:tabs>
          <w:tab w:leader="none" w:pos="2140"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Company’s achievement of certain net sales milestones, certain milestone payments in the aggregate amount of up to $13.0 million,</w:t>
      </w:r>
    </w:p>
    <w:p>
      <w:pPr>
        <w:spacing w:after="0" w:line="6" w:lineRule="exact"/>
        <w:rPr>
          <w:rFonts w:ascii="Times New Roman" w:cs="Times New Roman" w:eastAsia="Times New Roman" w:hAnsi="Times New Roman"/>
          <w:sz w:val="12"/>
          <w:szCs w:val="12"/>
          <w:color w:val="auto"/>
        </w:rPr>
      </w:pPr>
    </w:p>
    <w:p>
      <w:pPr>
        <w:ind w:left="1980" w:right="899" w:hanging="8"/>
        <w:spacing w:after="0" w:line="281" w:lineRule="auto"/>
        <w:tabs>
          <w:tab w:leader="none" w:pos="2150" w:val="left"/>
        </w:tabs>
        <w:numPr>
          <w:ilvl w:val="0"/>
          <w:numId w:val="1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royalties in the mid-single digit percentage based on annual net sales of the Licensed Products attributable to sales of the Licensed Products occurring in the Romeg U.S. Territory during the Romeg U.S. Territory Royalty Term, with a quarterly minimum royalty of $150,000, and (4) pursuant to the amendment thereto, (a) certain royalties at rates in the low-single digit percentage, based on annual net sales of the Licensed Products attributable to sales of License Products in the Romeg Ex-U.S. Territory during the Romeg Ex-U.S. Territory Royalty Term and (b) a one-time, non-refundable, non-creditable payment of $700,000. Pursuant to the amendment agreement, we also transferred to Romeg 779,371 shares of our Common Stock.</w:t>
      </w:r>
    </w:p>
    <w:p>
      <w:pPr>
        <w:spacing w:after="0" w:line="113" w:lineRule="exact"/>
        <w:rPr>
          <w:sz w:val="20"/>
          <w:szCs w:val="20"/>
          <w:color w:val="auto"/>
        </w:rPr>
      </w:pPr>
    </w:p>
    <w:p>
      <w:pPr>
        <w:ind w:left="1980" w:right="939"/>
        <w:spacing w:after="0" w:line="280" w:lineRule="auto"/>
        <w:rPr>
          <w:sz w:val="20"/>
          <w:szCs w:val="20"/>
          <w:color w:val="auto"/>
        </w:rPr>
      </w:pPr>
      <w:r>
        <w:rPr>
          <w:rFonts w:ascii="Times New Roman" w:cs="Times New Roman" w:eastAsia="Times New Roman" w:hAnsi="Times New Roman"/>
          <w:sz w:val="11"/>
          <w:szCs w:val="11"/>
          <w:color w:val="auto"/>
        </w:rPr>
        <w:t>In connection with the Romeg License Agreement, the Company recorded an intangible asset for acquired licenses of $5.7 million, which is comprised of the upfront license fee of $2.0 million and deferred consideration of $3.7 million that is the present value of the future minimum royalty payments and immaterial transaction costs. During the years ended December 31, 2024 and 2023, the Company made royalty payments in the amount of</w:t>
      </w:r>
    </w:p>
    <w:p>
      <w:pPr>
        <w:ind w:left="1980" w:right="1099"/>
        <w:spacing w:after="0" w:line="260" w:lineRule="auto"/>
        <w:rPr>
          <w:sz w:val="20"/>
          <w:szCs w:val="20"/>
          <w:color w:val="auto"/>
        </w:rPr>
      </w:pPr>
      <w:r>
        <w:rPr>
          <w:rFonts w:ascii="Times New Roman" w:cs="Times New Roman" w:eastAsia="Times New Roman" w:hAnsi="Times New Roman"/>
          <w:sz w:val="12"/>
          <w:szCs w:val="12"/>
          <w:color w:val="auto"/>
        </w:rPr>
        <w:t>$0.6 million and $0.3 million, respectively. No contingent consideration was recognized as a liability or included in the fair value of the assets as of December 31, 2024 or December 31, 2023.</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ELYXYB Acquisition</w:t>
      </w:r>
    </w:p>
    <w:p>
      <w:pPr>
        <w:spacing w:after="0" w:line="82" w:lineRule="exact"/>
        <w:rPr>
          <w:sz w:val="20"/>
          <w:szCs w:val="20"/>
          <w:color w:val="auto"/>
        </w:rPr>
      </w:pPr>
    </w:p>
    <w:p>
      <w:pPr>
        <w:ind w:left="1980" w:right="919"/>
        <w:spacing w:after="0" w:line="260" w:lineRule="auto"/>
        <w:rPr>
          <w:sz w:val="20"/>
          <w:szCs w:val="20"/>
          <w:color w:val="auto"/>
        </w:rPr>
      </w:pPr>
      <w:r>
        <w:rPr>
          <w:rFonts w:ascii="Times New Roman" w:cs="Times New Roman" w:eastAsia="Times New Roman" w:hAnsi="Times New Roman"/>
          <w:sz w:val="12"/>
          <w:szCs w:val="12"/>
          <w:color w:val="auto"/>
        </w:rPr>
        <w:t>In February 2023, the Company entered into an asset purchase agreement (the “ELYXYB APA”) with BioDelivery Sciences International, Inc. (“BDSI”) and Collegium Pharmaceutical, Inc. (“Collegium”, and together with BDSI, the “Sellers”) to acquire the rights to certain patents, trademarks, regulatory approvals, data, contracts, and other rights related to ELYXYB and its commercialization in the United States and Canada (the “ELYXYB Territory”).</w:t>
      </w:r>
    </w:p>
    <w:p>
      <w:pPr>
        <w:spacing w:after="0" w:line="122"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As consideration for the acquisition, the Company assumed various rights and obligations under the asset purchase agreement between BDSI and Dr. Reddy’s Laboratories Limited, a company incorporated under the laws of India (“DRL”), dated August 3, 2021 (the “DRL APA”), including an irrevocable, royalty-free, exclusive license to know-how and patents of DRL related to ELYXYB and necessary or used to exploit ELYXYB in the ELYXYB Territory. No cash consideration was or will be payable to the Sellers for such acquisition; however, the obligations under the DRL APA that were assumed by the Company include contingent sales and regulatory milestone payments and sales royalties. The Company is also obligated to make quarterly royalty payments to DRL on net sales of ELYXYB in the ELYXYB Territory. In April 2023, the Company launched ELYXYB in the U.S. As of December 31, 2024 and 2023, the Company had ending balances of accrued royalty payables of $0.1 million and $5.0 thousand, respectively, which was recorded as accrued expenses under current liabilities on</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F-20</w:t>
      </w:r>
    </w:p>
    <w:p>
      <w:pPr>
        <w:sectPr>
          <w:pgSz w:w="11900" w:h="16838" w:orient="portrait"/>
          <w:cols w:equalWidth="0" w:num="1">
            <w:col w:w="10159"/>
          </w:cols>
          <w:pgMar w:left="300" w:top="368" w:right="1440"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consolidated balance sheets. During the years ended December 31, 2024 and 2023, the Company made royalty payments in the amount of</w:t>
      </w:r>
    </w:p>
    <w:p>
      <w:pPr>
        <w:spacing w:after="0" w:line="17" w:lineRule="exact"/>
        <w:rPr>
          <w:sz w:val="20"/>
          <w:szCs w:val="20"/>
          <w:color w:val="auto"/>
        </w:rPr>
      </w:pPr>
    </w:p>
    <w:p>
      <w:pPr>
        <w:ind w:left="1980" w:right="959"/>
        <w:spacing w:after="0" w:line="260" w:lineRule="auto"/>
        <w:rPr>
          <w:sz w:val="20"/>
          <w:szCs w:val="20"/>
          <w:color w:val="auto"/>
        </w:rPr>
      </w:pPr>
      <w:r>
        <w:rPr>
          <w:rFonts w:ascii="Times New Roman" w:cs="Times New Roman" w:eastAsia="Times New Roman" w:hAnsi="Times New Roman"/>
          <w:sz w:val="12"/>
          <w:szCs w:val="12"/>
          <w:color w:val="auto"/>
        </w:rPr>
        <w:t>$0.3 million and $26.0 thousand, respectively. As of December 31, 2024, no sales or regulatory milestone payments had been accrued as there were no potential milestones yet considered probable of achievement.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4. Fair Value Measurements</w:t>
      </w:r>
    </w:p>
    <w:p>
      <w:pPr>
        <w:spacing w:after="0" w:line="82" w:lineRule="exact"/>
        <w:rPr>
          <w:sz w:val="20"/>
          <w:szCs w:val="20"/>
          <w:color w:val="auto"/>
        </w:rPr>
      </w:pPr>
    </w:p>
    <w:p>
      <w:pPr>
        <w:ind w:left="1980" w:right="1079"/>
        <w:spacing w:after="0" w:line="279" w:lineRule="auto"/>
        <w:rPr>
          <w:sz w:val="20"/>
          <w:szCs w:val="20"/>
          <w:color w:val="auto"/>
        </w:rPr>
      </w:pPr>
      <w:r>
        <w:rPr>
          <w:rFonts w:ascii="Times New Roman" w:cs="Times New Roman" w:eastAsia="Times New Roman" w:hAnsi="Times New Roman"/>
          <w:sz w:val="12"/>
          <w:szCs w:val="12"/>
          <w:color w:val="auto"/>
        </w:rPr>
        <w:t>The following table presents the Company’s financial assets and liabilities that are measured at fair value on a recurring basis and the level of inputs used in such measurements (in thousands):</w:t>
      </w:r>
    </w:p>
    <w:p>
      <w:pPr>
        <w:spacing w:after="0" w:line="124"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Quoted Prices</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jc w:val="center"/>
              <w:ind w:right="25"/>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4"/>
              </w:rPr>
              <w:t>in Active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00" w:type="dxa"/>
            <w:vAlign w:val="bottom"/>
          </w:tcPr>
          <w:p>
            <w:pPr>
              <w:spacing w:after="0"/>
              <w:rPr>
                <w:sz w:val="8"/>
                <w:szCs w:val="8"/>
                <w:color w:val="auto"/>
              </w:rPr>
            </w:pPr>
          </w:p>
        </w:tc>
        <w:tc>
          <w:tcPr>
            <w:tcW w:w="520" w:type="dxa"/>
            <w:vAlign w:val="bottom"/>
          </w:tcPr>
          <w:p>
            <w:pPr>
              <w:jc w:val="center"/>
              <w:ind w:right="5"/>
              <w:spacing w:after="0" w:line="99" w:lineRule="exact"/>
              <w:rPr>
                <w:sz w:val="20"/>
                <w:szCs w:val="20"/>
                <w:color w:val="auto"/>
              </w:rPr>
            </w:pPr>
            <w:r>
              <w:rPr>
                <w:rFonts w:ascii="Times New Roman" w:cs="Times New Roman" w:eastAsia="Times New Roman" w:hAnsi="Times New Roman"/>
                <w:sz w:val="10"/>
                <w:szCs w:val="10"/>
                <w:b w:val="1"/>
                <w:bCs w:val="1"/>
                <w:color w:val="auto"/>
                <w:w w:val="94"/>
              </w:rPr>
              <w:t>Markets</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8"/>
              </w:rPr>
              <w:t>Observable</w:t>
            </w:r>
          </w:p>
        </w:tc>
        <w:tc>
          <w:tcPr>
            <w:tcW w:w="480" w:type="dxa"/>
            <w:vAlign w:val="bottom"/>
          </w:tcPr>
          <w:p>
            <w:pPr>
              <w:spacing w:after="0"/>
              <w:rPr>
                <w:sz w:val="8"/>
                <w:szCs w:val="8"/>
                <w:color w:val="auto"/>
              </w:rPr>
            </w:pPr>
          </w:p>
        </w:tc>
        <w:tc>
          <w:tcPr>
            <w:tcW w:w="700" w:type="dxa"/>
            <w:vAlign w:val="bottom"/>
            <w:gridSpan w:val="3"/>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115"/>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Inputs (Level 2)</w:t>
            </w:r>
          </w:p>
        </w:tc>
        <w:tc>
          <w:tcPr>
            <w:tcW w:w="48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Inputs (Level 3)</w:t>
            </w:r>
          </w:p>
        </w:tc>
        <w:tc>
          <w:tcPr>
            <w:tcW w:w="0" w:type="dxa"/>
            <w:vAlign w:val="bottom"/>
          </w:tcPr>
          <w:p>
            <w:pPr>
              <w:spacing w:after="0"/>
              <w:rPr>
                <w:sz w:val="1"/>
                <w:szCs w:val="1"/>
                <w:color w:val="auto"/>
              </w:rPr>
            </w:pPr>
          </w:p>
        </w:tc>
      </w:tr>
      <w:tr>
        <w:trPr>
          <w:trHeight w:val="124"/>
        </w:trPr>
        <w:tc>
          <w:tcPr>
            <w:tcW w:w="28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w:t>
            </w: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right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520" w:type="dxa"/>
            <w:vAlign w:val="bottom"/>
            <w:tcBorders>
              <w:top w:val="single" w:sz="8" w:color="auto"/>
              <w:right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Oramed Note</w:t>
            </w:r>
          </w:p>
        </w:tc>
        <w:tc>
          <w:tcPr>
            <w:tcW w:w="960" w:type="dxa"/>
            <w:vAlign w:val="bottom"/>
            <w:gridSpan w:val="4"/>
          </w:tcPr>
          <w:p>
            <w:pPr>
              <w:jc w:val="right"/>
              <w:ind w:right="460"/>
              <w:spacing w:after="0"/>
              <w:rPr>
                <w:sz w:val="20"/>
                <w:szCs w:val="20"/>
                <w:color w:val="auto"/>
              </w:rPr>
            </w:pPr>
            <w:r>
              <w:rPr>
                <w:rFonts w:ascii="Times New Roman" w:cs="Times New Roman" w:eastAsia="Times New Roman" w:hAnsi="Times New Roman"/>
                <w:sz w:val="12"/>
                <w:szCs w:val="12"/>
                <w:color w:val="auto"/>
              </w:rPr>
              <w:t>$12,161</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77"/>
              </w:rPr>
              <w:t>— </w:t>
            </w:r>
          </w:p>
        </w:tc>
        <w:tc>
          <w:tcPr>
            <w:tcW w:w="560" w:type="dxa"/>
            <w:vAlign w:val="bottom"/>
            <w:gridSpan w:val="2"/>
          </w:tcPr>
          <w:p>
            <w:pPr>
              <w:ind w:left="50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77"/>
              </w:rPr>
              <w:t>— </w:t>
            </w:r>
          </w:p>
        </w:tc>
        <w:tc>
          <w:tcPr>
            <w:tcW w:w="5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12,161</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Tranche B Notes</w:t>
            </w:r>
          </w:p>
        </w:tc>
        <w:tc>
          <w:tcPr>
            <w:tcW w:w="9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23,560</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23,560</w:t>
            </w:r>
          </w:p>
        </w:tc>
        <w:tc>
          <w:tcPr>
            <w:tcW w:w="0" w:type="dxa"/>
            <w:vAlign w:val="bottom"/>
          </w:tcPr>
          <w:p>
            <w:pPr>
              <w:spacing w:after="0"/>
              <w:rPr>
                <w:sz w:val="1"/>
                <w:szCs w:val="1"/>
                <w:color w:val="auto"/>
              </w:rPr>
            </w:pPr>
          </w:p>
        </w:tc>
      </w:tr>
      <w:tr>
        <w:trPr>
          <w:trHeight w:val="144"/>
        </w:trPr>
        <w:tc>
          <w:tcPr>
            <w:tcW w:w="2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Purchased Revenue Liability</w:t>
            </w:r>
          </w:p>
        </w:tc>
        <w:tc>
          <w:tcPr>
            <w:tcW w:w="960" w:type="dxa"/>
            <w:vAlign w:val="bottom"/>
            <w:gridSpan w:val="4"/>
          </w:tcPr>
          <w:p>
            <w:pPr>
              <w:jc w:val="right"/>
              <w:ind w:right="460"/>
              <w:spacing w:after="0"/>
              <w:rPr>
                <w:sz w:val="20"/>
                <w:szCs w:val="20"/>
                <w:color w:val="auto"/>
              </w:rPr>
            </w:pPr>
            <w:r>
              <w:rPr>
                <w:rFonts w:ascii="Times New Roman" w:cs="Times New Roman" w:eastAsia="Times New Roman" w:hAnsi="Times New Roman"/>
                <w:sz w:val="12"/>
                <w:szCs w:val="12"/>
                <w:color w:val="auto"/>
              </w:rPr>
              <w:t>6,800</w:t>
            </w:r>
          </w:p>
        </w:tc>
        <w:tc>
          <w:tcPr>
            <w:tcW w:w="10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6,800</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Derivative liabilities</w:t>
            </w:r>
          </w:p>
        </w:tc>
        <w:tc>
          <w:tcPr>
            <w:tcW w:w="96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18,303</w:t>
            </w: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18,303</w:t>
            </w:r>
          </w:p>
        </w:tc>
        <w:tc>
          <w:tcPr>
            <w:tcW w:w="0" w:type="dxa"/>
            <w:vAlign w:val="bottom"/>
          </w:tcPr>
          <w:p>
            <w:pPr>
              <w:spacing w:after="0"/>
              <w:rPr>
                <w:sz w:val="1"/>
                <w:szCs w:val="1"/>
                <w:color w:val="auto"/>
              </w:rPr>
            </w:pPr>
          </w:p>
        </w:tc>
      </w:tr>
      <w:tr>
        <w:trPr>
          <w:trHeight w:val="144"/>
        </w:trPr>
        <w:tc>
          <w:tcPr>
            <w:tcW w:w="2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10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77"/>
              </w:rPr>
              <w: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155</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liabilities measured at fair value</w:t>
            </w:r>
          </w:p>
        </w:tc>
        <w:tc>
          <w:tcPr>
            <w:tcW w:w="100" w:type="dxa"/>
            <w:vAlign w:val="bottom"/>
            <w:shd w:val="clear" w:color="auto" w:fill="CCEEFF"/>
          </w:tcPr>
          <w:p>
            <w:pPr>
              <w:spacing w:after="0"/>
              <w:rPr>
                <w:sz w:val="12"/>
                <w:szCs w:val="12"/>
                <w:color w:val="auto"/>
              </w:rPr>
            </w:pP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60,979</w:t>
            </w: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77"/>
              </w:rPr>
              <w:t>— </w:t>
            </w:r>
          </w:p>
        </w:tc>
        <w:tc>
          <w:tcPr>
            <w:tcW w:w="560" w:type="dxa"/>
            <w:vAlign w:val="bottom"/>
            <w:tcBorders>
              <w:right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right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2"/>
                <w:szCs w:val="12"/>
                <w:color w:val="auto"/>
                <w:w w:val="77"/>
              </w:rPr>
              <w:t>— </w:t>
            </w:r>
          </w:p>
        </w:tc>
        <w:tc>
          <w:tcPr>
            <w:tcW w:w="5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60,979</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4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2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Quoted Prices</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jc w:val="center"/>
              <w:ind w:right="65"/>
              <w:spacing w:after="0" w:line="72" w:lineRule="exact"/>
              <w:rPr>
                <w:sz w:val="20"/>
                <w:szCs w:val="20"/>
                <w:color w:val="auto"/>
              </w:rPr>
            </w:pPr>
            <w:r>
              <w:rPr>
                <w:rFonts w:ascii="Times New Roman" w:cs="Times New Roman" w:eastAsia="Times New Roman" w:hAnsi="Times New Roman"/>
                <w:sz w:val="8"/>
                <w:szCs w:val="8"/>
                <w:b w:val="1"/>
                <w:bCs w:val="1"/>
                <w:color w:val="auto"/>
              </w:rPr>
              <w:t>Significant</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Significant</w:t>
            </w: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85"/>
              <w:spacing w:after="0" w:line="99" w:lineRule="exact"/>
              <w:rPr>
                <w:sz w:val="20"/>
                <w:szCs w:val="20"/>
                <w:color w:val="auto"/>
              </w:rPr>
            </w:pPr>
            <w:r>
              <w:rPr>
                <w:rFonts w:ascii="Times New Roman" w:cs="Times New Roman" w:eastAsia="Times New Roman" w:hAnsi="Times New Roman"/>
                <w:sz w:val="10"/>
                <w:szCs w:val="10"/>
                <w:b w:val="1"/>
                <w:bCs w:val="1"/>
                <w:color w:val="auto"/>
                <w:w w:val="99"/>
              </w:rPr>
              <w:t>in Active</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65"/>
              <w:spacing w:after="0" w:line="99"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40" w:type="dxa"/>
            <w:vAlign w:val="bottom"/>
          </w:tcPr>
          <w:p>
            <w:pPr>
              <w:spacing w:after="0"/>
              <w:rPr>
                <w:sz w:val="8"/>
                <w:szCs w:val="8"/>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00" w:type="dxa"/>
            <w:vAlign w:val="bottom"/>
          </w:tcPr>
          <w:p>
            <w:pPr>
              <w:spacing w:after="0"/>
              <w:rPr>
                <w:sz w:val="8"/>
                <w:szCs w:val="8"/>
                <w:color w:val="auto"/>
              </w:rPr>
            </w:pPr>
          </w:p>
        </w:tc>
        <w:tc>
          <w:tcPr>
            <w:tcW w:w="520" w:type="dxa"/>
            <w:vAlign w:val="bottom"/>
          </w:tcPr>
          <w:p>
            <w:pPr>
              <w:jc w:val="center"/>
              <w:ind w:right="85"/>
              <w:spacing w:after="0" w:line="99" w:lineRule="exact"/>
              <w:rPr>
                <w:sz w:val="20"/>
                <w:szCs w:val="20"/>
                <w:color w:val="auto"/>
              </w:rPr>
            </w:pPr>
            <w:r>
              <w:rPr>
                <w:rFonts w:ascii="Times New Roman" w:cs="Times New Roman" w:eastAsia="Times New Roman" w:hAnsi="Times New Roman"/>
                <w:sz w:val="10"/>
                <w:szCs w:val="10"/>
                <w:b w:val="1"/>
                <w:bCs w:val="1"/>
                <w:color w:val="auto"/>
                <w:w w:val="94"/>
              </w:rPr>
              <w:t>Markets</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3"/>
              </w:rPr>
              <w:t>Observable</w:t>
            </w:r>
          </w:p>
        </w:tc>
        <w:tc>
          <w:tcPr>
            <w:tcW w:w="480" w:type="dxa"/>
            <w:vAlign w:val="bottom"/>
          </w:tcPr>
          <w:p>
            <w:pPr>
              <w:spacing w:after="0"/>
              <w:rPr>
                <w:sz w:val="8"/>
                <w:szCs w:val="8"/>
                <w:color w:val="auto"/>
              </w:rPr>
            </w:pPr>
          </w:p>
        </w:tc>
        <w:tc>
          <w:tcPr>
            <w:tcW w:w="700" w:type="dxa"/>
            <w:vAlign w:val="bottom"/>
            <w:gridSpan w:val="3"/>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0" w:type="dxa"/>
            <w:vAlign w:val="bottom"/>
          </w:tcPr>
          <w:p>
            <w:pPr>
              <w:spacing w:after="0"/>
              <w:rPr>
                <w:sz w:val="1"/>
                <w:szCs w:val="1"/>
                <w:color w:val="auto"/>
              </w:rPr>
            </w:pPr>
          </w:p>
        </w:tc>
      </w:tr>
      <w:tr>
        <w:trPr>
          <w:trHeight w:val="115"/>
        </w:trPr>
        <w:tc>
          <w:tcPr>
            <w:tcW w:w="2840" w:type="dxa"/>
            <w:vAlign w:val="bottom"/>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48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4"/>
              </w:rPr>
              <w:t>Inputs (Level 2)</w:t>
            </w:r>
          </w:p>
        </w:tc>
        <w:tc>
          <w:tcPr>
            <w:tcW w:w="480" w:type="dxa"/>
            <w:vAlign w:val="bottom"/>
          </w:tcPr>
          <w:p>
            <w:pPr>
              <w:spacing w:after="0"/>
              <w:rPr>
                <w:sz w:val="10"/>
                <w:szCs w:val="10"/>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Inputs (Level 3)</w:t>
            </w:r>
          </w:p>
        </w:tc>
        <w:tc>
          <w:tcPr>
            <w:tcW w:w="0" w:type="dxa"/>
            <w:vAlign w:val="bottom"/>
          </w:tcPr>
          <w:p>
            <w:pPr>
              <w:spacing w:after="0"/>
              <w:rPr>
                <w:sz w:val="1"/>
                <w:szCs w:val="1"/>
                <w:color w:val="auto"/>
              </w:rPr>
            </w:pPr>
          </w:p>
        </w:tc>
      </w:tr>
      <w:tr>
        <w:trPr>
          <w:trHeight w:val="124"/>
        </w:trPr>
        <w:tc>
          <w:tcPr>
            <w:tcW w:w="28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Liabilities</w:t>
            </w:r>
          </w:p>
        </w:tc>
        <w:tc>
          <w:tcPr>
            <w:tcW w:w="1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right w:val="single" w:sz="8" w:color="CCEEFF"/>
            </w:tcBorders>
            <w:shd w:val="clear" w:color="auto" w:fill="CCEEFF"/>
          </w:tcPr>
          <w:p>
            <w:pPr>
              <w:spacing w:after="0"/>
              <w:rPr>
                <w:sz w:val="10"/>
                <w:szCs w:val="10"/>
                <w:color w:val="auto"/>
              </w:rPr>
            </w:pPr>
          </w:p>
        </w:tc>
        <w:tc>
          <w:tcPr>
            <w:tcW w:w="520" w:type="dxa"/>
            <w:vAlign w:val="bottom"/>
            <w:tcBorders>
              <w:top w:val="single" w:sz="8" w:color="auto"/>
              <w:right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600" w:type="dxa"/>
            <w:vAlign w:val="bottom"/>
            <w:tcBorders>
              <w:top w:val="single" w:sz="8" w:color="auto"/>
              <w:right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Oramed Note</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w w:val="97"/>
              </w:rPr>
              <w:t>$104,089</w:t>
            </w:r>
          </w:p>
        </w:tc>
        <w:tc>
          <w:tcPr>
            <w:tcW w:w="4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9"/>
              </w:rPr>
              <w:t>— </w:t>
            </w:r>
          </w:p>
        </w:tc>
        <w:tc>
          <w:tcPr>
            <w:tcW w:w="56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5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104,089</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Convertible Debentures</w:t>
            </w:r>
          </w:p>
        </w:tc>
        <w:tc>
          <w:tcPr>
            <w:tcW w:w="5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4,340</w:t>
            </w: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w w:val="99"/>
              </w:rPr>
              <w:t>— </w:t>
            </w:r>
          </w:p>
        </w:tc>
        <w:tc>
          <w:tcPr>
            <w:tcW w:w="4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4,340</w:t>
            </w:r>
          </w:p>
        </w:tc>
        <w:tc>
          <w:tcPr>
            <w:tcW w:w="0" w:type="dxa"/>
            <w:vAlign w:val="bottom"/>
          </w:tcPr>
          <w:p>
            <w:pPr>
              <w:spacing w:after="0"/>
              <w:rPr>
                <w:sz w:val="1"/>
                <w:szCs w:val="1"/>
                <w:color w:val="auto"/>
              </w:rPr>
            </w:pPr>
          </w:p>
        </w:tc>
      </w:tr>
      <w:tr>
        <w:trPr>
          <w:trHeight w:val="144"/>
        </w:trPr>
        <w:tc>
          <w:tcPr>
            <w:tcW w:w="28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Derivative liabilities</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1,518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2"/>
                <w:szCs w:val="12"/>
                <w:color w:val="auto"/>
                <w:w w:val="99"/>
              </w:rPr>
              <w: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1,518</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5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179</w:t>
            </w:r>
          </w:p>
        </w:tc>
        <w:tc>
          <w:tcPr>
            <w:tcW w:w="4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w w:val="99"/>
              </w:rPr>
              <w:t>— </w:t>
            </w:r>
          </w:p>
        </w:tc>
        <w:tc>
          <w:tcPr>
            <w:tcW w:w="4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179</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measured at fair value</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w w:val="91"/>
              </w:rPr>
              <w:t>$</w:t>
            </w:r>
            <w:r>
              <w:rPr>
                <w:rFonts w:ascii="Times New Roman" w:cs="Times New Roman" w:eastAsia="Times New Roman" w:hAnsi="Times New Roman"/>
                <w:sz w:val="12"/>
                <w:szCs w:val="12"/>
                <w:color w:val="auto"/>
                <w:w w:val="91"/>
              </w:rPr>
              <w:t xml:space="preserve"> 110,126</w:t>
            </w:r>
          </w:p>
        </w:tc>
        <w:tc>
          <w:tcPr>
            <w:tcW w:w="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w w:val="99"/>
              </w:rPr>
              <w:t>— </w:t>
            </w: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w w:val="88"/>
              </w:rPr>
              <w:t>— </w:t>
            </w:r>
          </w:p>
        </w:tc>
        <w:tc>
          <w:tcPr>
            <w:tcW w:w="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110,126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Oramed Note</w:t>
      </w:r>
    </w:p>
    <w:p>
      <w:pPr>
        <w:spacing w:after="0" w:line="82" w:lineRule="exact"/>
        <w:rPr>
          <w:sz w:val="20"/>
          <w:szCs w:val="20"/>
          <w:color w:val="auto"/>
        </w:rPr>
      </w:pPr>
    </w:p>
    <w:p>
      <w:pPr>
        <w:ind w:left="1980" w:right="919"/>
        <w:spacing w:after="0" w:line="253" w:lineRule="auto"/>
        <w:rPr>
          <w:sz w:val="20"/>
          <w:szCs w:val="20"/>
          <w:color w:val="auto"/>
        </w:rPr>
      </w:pPr>
      <w:r>
        <w:rPr>
          <w:rFonts w:ascii="Times New Roman" w:cs="Times New Roman" w:eastAsia="Times New Roman" w:hAnsi="Times New Roman"/>
          <w:sz w:val="12"/>
          <w:szCs w:val="12"/>
          <w:color w:val="auto"/>
        </w:rPr>
        <w:t>In September 2023, the Company issued a senior secured promissory note to Oramed in the principal amount of $101.9 million (the “Oramed Note”) (see Note 7). The Company elected the fair value option to account for the Oramed Note with any changes in the fair value of such note recorded in the consolidated statements of operations, with the exception of changes in fair value due to instrument-specific credit risk, if any, which are recorded as a component of other comprehensive income. The Company uses a discounted cash flow model to determine the fair value of the Oramed Note based on Level 3 inputs. This methodology discounts the interest and principal payments using a risk-adjusted discount rate. The fair value as of December 31, 2024 and 2023 was determined to be $12.2 million and $104.1 million, respectively, by applying a discount rate of 128.82% and 13.05%, respectively. For the years ended December 31, 2024 and 2023, the Company recorded a loss of $3.6 million and $2.8 million in change in fair value of the Oramed Note, respectively. For the years ended December 31, 2024 and 2023, the change in fair value due to instrument-specific credit risk recorded as a component of other comprehensive income was $6.3 million and nil, respectively. During the year ended December 31, 2024 the Company reclassified $5.0 million from accumulated other comprehensive income to the consolidated statement of operations. This reclassification was related to the principal payments and partial conversion of the Oramed Note balance into the Tranche B Notes (see Note 7).</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F-21</w:t>
      </w:r>
    </w:p>
    <w:p>
      <w:pPr>
        <w:sectPr>
          <w:pgSz w:w="11900" w:h="16838" w:orient="portrait"/>
          <w:cols w:equalWidth="0" w:num="1">
            <w:col w:w="10159"/>
          </w:cols>
          <w:pgMar w:left="300" w:top="368" w:right="1440"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FSF Deposit</w:t>
      </w:r>
    </w:p>
    <w:p>
      <w:pPr>
        <w:spacing w:after="0" w:line="82"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In June 2024, the Company received the FSF Deposit in the aggregate principal amount of $10.0 million from FSF Lender (see Note 2 and Note 7). The Company elected the fair value option to account for the FSF Deposit with any changes in the fair value of the deposit recorded in the consolidated statements of operations and comprehensive loss. For the year ended December 31, 2024, the Company recorded a loss of $4.7 million in change in fair value of the FSF Deposit in the consolidated statement of operations. In November 2024, the Company delivered the Additional Product to Endeavor and fully satisfied the remaining obligations in respect of the FSF Deposit. Upon the satisfaction of the FSF Deposit, the Deposit Warrant became a freestanding instrument under ASC 480 and was included in derivative liabilities on the Company’s consolidated balance sheet.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Tranche B Notes</w:t>
      </w:r>
    </w:p>
    <w:p>
      <w:pPr>
        <w:spacing w:after="0" w:line="82"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In October 2024, the Company entered into the Tranche B Securities Purchase Agreement to issue and sell the Tranche B Notes in the principal amount of $50.0 million (see Note 7). The Company elected the fair value option to account for the Tranche B Notes with any changes in the fair value of such notes recorded in the consolidated statements of operations, with the exception of changes in fair value due to instrument-specific credit risk, if any, which are recorded as a component of other comprehensive income. The Tranche B Notes are measured at fair value on a recurring basis using the Level 3 inputs. The Company uses the Binomial Lattice Model valuation technique to measure the fair value of the Tranche B Notes. The fair value as of December 31, 2024, was determined to be $23.6 million. For the year ended December 31, 2024, the Company recorded a gain of $6.6 million in change in fair value of the Tranche B Notes in the consolidated statement of operations.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Purchased Revenue Liability</w:t>
      </w:r>
    </w:p>
    <w:p>
      <w:pPr>
        <w:spacing w:after="0" w:line="8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In October 2024, the Company entered into the ZTlido Royalty Purchase Agreement with certain institutional investors (collectively, the “ZTlido Royalty Investors”) and Oramed (see Note 7). The Company elected the fair value option for the purchased revenue liability with changes in fair value recorded as change in fair value of debt and liability instruments in the consolidated statements of operations, with the exception of changes in fair value due to instrument-specific credit risk, if any, which are recorded as a component of other comprehensive income. The Company uses a Scenario-Based Method valuation technique to measure the fair value of the purchased revenue liability. The fair value as of December 31, 2024, was determined to be $6.8 million. For the year ended December 31, 2024, the Company recorded a loss of $0.9 million in change in fair value of the purchased revenue liability in the consolidated statement of operations.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Convertible Debentures</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In March and April 2023, the Company issued the Convertible Debentures in the principal amount of $25.0 million (see Note 7). The Convertible Debentures were measured at fair value on a recurring basis using Level 3 inputs. The Company used the Binomial Lattice Model valuation technique to measure the fair value of the Convertible Debentures with any changes in the fair value of the Convertible Debentures recorded in the consolidated statements of operations and comprehensive loss. Interest expense related to the Convertible Debentures is included in the changes in fair value. For the years ended December 31, 2024 and 2023, the Company recorded a loss of $35.0 thousand and a loss of $4.4 million in change in fair value of the Convertible Debentures, respectively. The Company fully repaid the Convertible Debentures in March 2024.</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Derivative Liabilities</w:t>
      </w:r>
    </w:p>
    <w:p>
      <w:pPr>
        <w:spacing w:after="0" w:line="82"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The Company recorded a gain of $17.4 million for the year ended December 31, 2024, attributed to warrant liabilities consisting of the Private Warrants, the February 2024 BDO Firm Warrants, the April 2024 RDO Common Warrants, the October 2024 Noteholder Warrants, and December 2024 RDO Common Warrants (each</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F-22</w:t>
      </w:r>
    </w:p>
    <w:p>
      <w:pPr>
        <w:sectPr>
          <w:pgSz w:w="11900" w:h="16838" w:orient="portrait"/>
          <w:cols w:equalWidth="0" w:num="1">
            <w:col w:w="10159"/>
          </w:cols>
          <w:pgMar w:left="300" w:top="368" w:right="1440"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327" w:lineRule="auto"/>
        <w:rPr>
          <w:sz w:val="20"/>
          <w:szCs w:val="20"/>
          <w:color w:val="auto"/>
        </w:rPr>
      </w:pPr>
      <w:r>
        <w:rPr>
          <w:rFonts w:ascii="Times New Roman" w:cs="Times New Roman" w:eastAsia="Times New Roman" w:hAnsi="Times New Roman"/>
          <w:sz w:val="11"/>
          <w:szCs w:val="11"/>
          <w:color w:val="auto"/>
        </w:rPr>
        <w:t>as defined below). The Company recorded a loss of $0.5 million for the year ended December 31, 2023, on derivative liabilities which was attributed to the Private Warrants that the Company assumed from Vickers in November 2022 in connection with the Business Combination (“Private Warrants”).</w:t>
      </w:r>
    </w:p>
    <w:p>
      <w:pPr>
        <w:spacing w:after="0" w:line="87" w:lineRule="exact"/>
        <w:rPr>
          <w:sz w:val="20"/>
          <w:szCs w:val="20"/>
          <w:color w:val="auto"/>
        </w:rPr>
      </w:pPr>
    </w:p>
    <w:p>
      <w:pPr>
        <w:ind w:left="1980" w:right="1079"/>
        <w:spacing w:after="0" w:line="260" w:lineRule="auto"/>
        <w:rPr>
          <w:sz w:val="20"/>
          <w:szCs w:val="20"/>
          <w:color w:val="auto"/>
        </w:rPr>
      </w:pPr>
      <w:r>
        <w:rPr>
          <w:rFonts w:ascii="Times New Roman" w:cs="Times New Roman" w:eastAsia="Times New Roman" w:hAnsi="Times New Roman"/>
          <w:sz w:val="12"/>
          <w:szCs w:val="12"/>
          <w:color w:val="auto"/>
        </w:rPr>
        <w:t>As of December 31, 2024, the following warrants to purchase Common Stock that are included in derivative liabilities were outstanding: 1,000,000 Private Warrants, 3,803,447 February 2024 BDO Firm Warrants, 15,000,000 April 2024 RDO Common Warrants, 3,250,000 Deposit Warrant, 7,500,000 October 2024 Noteholder Warrants and 57,512,958 December 2024 RDO Common Warrants. As of December 31, 2024, the fair value of derivative warrant liabilities related to these warrants was $18.3 million.</w:t>
      </w:r>
    </w:p>
    <w:p>
      <w:pPr>
        <w:spacing w:after="0" w:line="122" w:lineRule="exact"/>
        <w:rPr>
          <w:sz w:val="20"/>
          <w:szCs w:val="20"/>
          <w:color w:val="auto"/>
        </w:rPr>
      </w:pPr>
    </w:p>
    <w:p>
      <w:pPr>
        <w:ind w:left="1980" w:right="1139"/>
        <w:spacing w:after="0" w:line="279" w:lineRule="auto"/>
        <w:rPr>
          <w:sz w:val="20"/>
          <w:szCs w:val="20"/>
          <w:color w:val="auto"/>
        </w:rPr>
      </w:pPr>
      <w:r>
        <w:rPr>
          <w:rFonts w:ascii="Times New Roman" w:cs="Times New Roman" w:eastAsia="Times New Roman" w:hAnsi="Times New Roman"/>
          <w:sz w:val="12"/>
          <w:szCs w:val="12"/>
          <w:color w:val="auto"/>
        </w:rPr>
        <w:t>The following table includes a summary of the derivative liabilities measured at fair value during the years ended December 31, 2024 and 2023 (in thousands):</w:t>
      </w:r>
    </w:p>
    <w:p>
      <w:pPr>
        <w:spacing w:after="0" w:line="124"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33"/>
        </w:trPr>
        <w:tc>
          <w:tcPr>
            <w:tcW w:w="44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Ending Balance as of December 31, 2022</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1,231</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measurement</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512</w:t>
            </w: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Forfeiture of Private Warrants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(225)</w:t>
            </w:r>
          </w:p>
        </w:tc>
      </w:tr>
      <w:tr>
        <w:trPr>
          <w:trHeight w:val="142"/>
        </w:trPr>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 as of December 31, 2023</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1,518</w:t>
            </w:r>
          </w:p>
        </w:tc>
        <w:tc>
          <w:tcPr>
            <w:tcW w:w="80" w:type="dxa"/>
            <w:vAlign w:val="bottom"/>
          </w:tcPr>
          <w:p>
            <w:pPr>
              <w:spacing w:after="0"/>
              <w:rPr>
                <w:sz w:val="12"/>
                <w:szCs w:val="12"/>
                <w:color w:val="auto"/>
              </w:rPr>
            </w:pPr>
          </w:p>
        </w:tc>
      </w:tr>
      <w:tr>
        <w:trPr>
          <w:trHeight w:val="133"/>
        </w:trPr>
        <w:tc>
          <w:tcPr>
            <w:tcW w:w="446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Issuance of February 2024 BDO Firm Warrants as part of February 2024 BDO,</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April 2024 RDO Common Warrants as part of April 2024 RDO, October</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2024 Noteholder Warrants as part of Tranche B Notes, December 2024 RDO</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Common Warrants as part of December 2024 RDO, and December 2024</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RDO Pre-Funded Warrants as part of December 2024 RDO</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34,330</w:t>
            </w: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Reclass of Deposit Warrant liability upon satisfaction of FSF Deposit</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1,690</w:t>
            </w: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Cancellation of Private Warrants as part of Oramed Letter Agreement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(445)</w:t>
            </w: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Warrant amendment and exercise as part of December 2024 RDO</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(428)</w:t>
            </w:r>
          </w:p>
        </w:tc>
      </w:tr>
      <w:tr>
        <w:trPr>
          <w:trHeight w:val="144"/>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Settlement of December 2024 RDO Pre-Funded Warrants</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(984)</w:t>
            </w:r>
          </w:p>
        </w:tc>
      </w:tr>
      <w:tr>
        <w:trPr>
          <w:trHeight w:val="144"/>
        </w:trPr>
        <w:tc>
          <w:tcPr>
            <w:tcW w:w="44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measurement</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7"/>
              </w:rPr>
              <w:t>(17,378)</w:t>
            </w:r>
          </w:p>
        </w:tc>
      </w:tr>
      <w:tr>
        <w:trPr>
          <w:trHeight w:val="20"/>
        </w:trPr>
        <w:tc>
          <w:tcPr>
            <w:tcW w:w="4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Ending Balance as of December 31, 2024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18,303</w:t>
            </w:r>
          </w:p>
        </w:tc>
      </w:tr>
      <w:tr>
        <w:trPr>
          <w:trHeight w:val="27"/>
        </w:trPr>
        <w:tc>
          <w:tcPr>
            <w:tcW w:w="4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Warrant Liability Measurement</w:t>
      </w:r>
    </w:p>
    <w:p>
      <w:pPr>
        <w:spacing w:after="0" w:line="82" w:lineRule="exact"/>
        <w:rPr>
          <w:sz w:val="20"/>
          <w:szCs w:val="20"/>
          <w:color w:val="auto"/>
        </w:rPr>
      </w:pPr>
    </w:p>
    <w:p>
      <w:pPr>
        <w:ind w:left="1980" w:right="1039"/>
        <w:spacing w:after="0" w:line="300" w:lineRule="auto"/>
        <w:rPr>
          <w:sz w:val="20"/>
          <w:szCs w:val="20"/>
          <w:color w:val="auto"/>
        </w:rPr>
      </w:pPr>
      <w:r>
        <w:rPr>
          <w:rFonts w:ascii="Times New Roman" w:cs="Times New Roman" w:eastAsia="Times New Roman" w:hAnsi="Times New Roman"/>
          <w:sz w:val="11"/>
          <w:szCs w:val="11"/>
          <w:color w:val="auto"/>
        </w:rPr>
        <w:t>The derivative warrant liability was valued using the Black-Scholes option pricing model, which is considered to be Level 3 fair value measurement. The primary unobservable input utilized in determining the fair value of the warrant is the expected volatility of the Common Stock. The expected volatility assumption is based on the Company’s historical volatility, historical volatilities of comparable companies whose share prices are publicly</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F-23</w:t>
      </w:r>
    </w:p>
    <w:p>
      <w:pPr>
        <w:sectPr>
          <w:pgSz w:w="11900" w:h="16838" w:orient="portrait"/>
          <w:cols w:equalWidth="0" w:num="1">
            <w:col w:w="10159"/>
          </w:cols>
          <w:pgMar w:left="300" w:top="368"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79" w:lineRule="auto"/>
        <w:rPr>
          <w:sz w:val="20"/>
          <w:szCs w:val="20"/>
          <w:color w:val="auto"/>
        </w:rPr>
      </w:pPr>
      <w:r>
        <w:rPr>
          <w:rFonts w:ascii="Times New Roman" w:cs="Times New Roman" w:eastAsia="Times New Roman" w:hAnsi="Times New Roman"/>
          <w:sz w:val="12"/>
          <w:szCs w:val="12"/>
          <w:color w:val="auto"/>
        </w:rPr>
        <w:t>available as well as the implied volatility of the Public Warrants (see Note 9). A summary of the inputs used in valuing the derivative warrant liabilities is as follows:</w:t>
      </w:r>
    </w:p>
    <w:p>
      <w:pPr>
        <w:spacing w:after="0" w:line="10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February</w:t>
            </w: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April 2024</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October</w:t>
            </w: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December</w:t>
            </w: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December</w:t>
            </w:r>
          </w:p>
        </w:tc>
        <w:tc>
          <w:tcPr>
            <w:tcW w:w="0" w:type="dxa"/>
            <w:vAlign w:val="bottom"/>
          </w:tcPr>
          <w:p>
            <w:pPr>
              <w:spacing w:after="0"/>
              <w:rPr>
                <w:sz w:val="1"/>
                <w:szCs w:val="1"/>
                <w:color w:val="auto"/>
              </w:rPr>
            </w:pPr>
          </w:p>
        </w:tc>
      </w:tr>
      <w:tr>
        <w:trPr>
          <w:trHeight w:val="99"/>
        </w:trPr>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860" w:type="dxa"/>
            <w:vAlign w:val="bottom"/>
            <w:gridSpan w:val="3"/>
          </w:tcPr>
          <w:p>
            <w:pPr>
              <w:ind w:left="220"/>
              <w:spacing w:after="0" w:line="99" w:lineRule="exact"/>
              <w:rPr>
                <w:sz w:val="20"/>
                <w:szCs w:val="20"/>
                <w:color w:val="auto"/>
              </w:rPr>
            </w:pPr>
            <w:r>
              <w:rPr>
                <w:rFonts w:ascii="Times New Roman" w:cs="Times New Roman" w:eastAsia="Times New Roman" w:hAnsi="Times New Roman"/>
                <w:sz w:val="10"/>
                <w:szCs w:val="10"/>
                <w:b w:val="1"/>
                <w:bCs w:val="1"/>
                <w:color w:val="auto"/>
              </w:rPr>
              <w:t>2024 RDO</w:t>
            </w:r>
          </w:p>
        </w:tc>
        <w:tc>
          <w:tcPr>
            <w:tcW w:w="680" w:type="dxa"/>
            <w:vAlign w:val="bottom"/>
            <w:gridSpan w:val="3"/>
          </w:tcPr>
          <w:p>
            <w:pPr>
              <w:ind w:left="120"/>
              <w:spacing w:after="0" w:line="99" w:lineRule="exact"/>
              <w:rPr>
                <w:sz w:val="20"/>
                <w:szCs w:val="20"/>
                <w:color w:val="auto"/>
              </w:rPr>
            </w:pPr>
            <w:r>
              <w:rPr>
                <w:rFonts w:ascii="Times New Roman" w:cs="Times New Roman" w:eastAsia="Times New Roman" w:hAnsi="Times New Roman"/>
                <w:sz w:val="10"/>
                <w:szCs w:val="10"/>
                <w:b w:val="1"/>
                <w:bCs w:val="1"/>
                <w:color w:val="auto"/>
              </w:rPr>
              <w:t>2024 RDO</w:t>
            </w:r>
          </w:p>
        </w:tc>
        <w:tc>
          <w:tcPr>
            <w:tcW w:w="0" w:type="dxa"/>
            <w:vAlign w:val="bottom"/>
          </w:tcPr>
          <w:p>
            <w:pPr>
              <w:spacing w:after="0"/>
              <w:rPr>
                <w:sz w:val="1"/>
                <w:szCs w:val="1"/>
                <w:color w:val="auto"/>
              </w:rPr>
            </w:pPr>
          </w:p>
        </w:tc>
      </w:tr>
      <w:tr>
        <w:trPr>
          <w:trHeight w:val="99"/>
        </w:trPr>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Private</w:t>
            </w:r>
          </w:p>
        </w:tc>
        <w:tc>
          <w:tcPr>
            <w:tcW w:w="74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10"/>
                <w:szCs w:val="10"/>
                <w:b w:val="1"/>
                <w:bCs w:val="1"/>
                <w:color w:val="auto"/>
              </w:rPr>
              <w:t>2024 BDO</w:t>
            </w:r>
          </w:p>
        </w:tc>
        <w:tc>
          <w:tcPr>
            <w:tcW w:w="200" w:type="dxa"/>
            <w:vAlign w:val="bottom"/>
          </w:tcPr>
          <w:p>
            <w:pPr>
              <w:spacing w:after="0"/>
              <w:rPr>
                <w:sz w:val="8"/>
                <w:szCs w:val="8"/>
                <w:color w:val="auto"/>
              </w:rPr>
            </w:pPr>
          </w:p>
        </w:tc>
        <w:tc>
          <w:tcPr>
            <w:tcW w:w="480" w:type="dxa"/>
            <w:vAlign w:val="bottom"/>
          </w:tcPr>
          <w:p>
            <w:pPr>
              <w:jc w:val="center"/>
              <w:ind w:right="142"/>
              <w:spacing w:after="0" w:line="99" w:lineRule="exact"/>
              <w:rPr>
                <w:sz w:val="20"/>
                <w:szCs w:val="20"/>
                <w:color w:val="auto"/>
              </w:rPr>
            </w:pPr>
            <w:r>
              <w:rPr>
                <w:rFonts w:ascii="Times New Roman" w:cs="Times New Roman" w:eastAsia="Times New Roman" w:hAnsi="Times New Roman"/>
                <w:sz w:val="10"/>
                <w:szCs w:val="10"/>
                <w:b w:val="1"/>
                <w:bCs w:val="1"/>
                <w:color w:val="auto"/>
                <w:w w:val="89"/>
              </w:rPr>
              <w:t>RDO</w:t>
            </w: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Deposit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ind w:right="184"/>
              <w:spacing w:after="0" w:line="99" w:lineRule="exact"/>
              <w:rPr>
                <w:sz w:val="20"/>
                <w:szCs w:val="20"/>
                <w:color w:val="auto"/>
              </w:rPr>
            </w:pPr>
            <w:r>
              <w:rPr>
                <w:rFonts w:ascii="Times New Roman" w:cs="Times New Roman" w:eastAsia="Times New Roman" w:hAnsi="Times New Roman"/>
                <w:sz w:val="10"/>
                <w:szCs w:val="10"/>
                <w:b w:val="1"/>
                <w:bCs w:val="1"/>
                <w:color w:val="auto"/>
                <w:w w:val="89"/>
              </w:rPr>
              <w:t>2024</w:t>
            </w:r>
          </w:p>
        </w:tc>
        <w:tc>
          <w:tcPr>
            <w:tcW w:w="220" w:type="dxa"/>
            <w:vAlign w:val="bottom"/>
          </w:tcPr>
          <w:p>
            <w:pPr>
              <w:spacing w:after="0"/>
              <w:rPr>
                <w:sz w:val="8"/>
                <w:szCs w:val="8"/>
                <w:color w:val="auto"/>
              </w:rPr>
            </w:pPr>
          </w:p>
        </w:tc>
        <w:tc>
          <w:tcPr>
            <w:tcW w:w="640" w:type="dxa"/>
            <w:vAlign w:val="bottom"/>
            <w:gridSpan w:val="2"/>
          </w:tcPr>
          <w:p>
            <w:pPr>
              <w:jc w:val="right"/>
              <w:ind w:right="182"/>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680" w:type="dxa"/>
            <w:vAlign w:val="bottom"/>
            <w:gridSpan w:val="3"/>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Common</w:t>
            </w:r>
          </w:p>
        </w:tc>
        <w:tc>
          <w:tcPr>
            <w:tcW w:w="0" w:type="dxa"/>
            <w:vAlign w:val="bottom"/>
          </w:tcPr>
          <w:p>
            <w:pPr>
              <w:spacing w:after="0"/>
              <w:rPr>
                <w:sz w:val="1"/>
                <w:szCs w:val="1"/>
                <w:color w:val="auto"/>
              </w:rPr>
            </w:pPr>
          </w:p>
        </w:tc>
      </w:tr>
      <w:tr>
        <w:trPr>
          <w:trHeight w:val="99"/>
        </w:trPr>
        <w:tc>
          <w:tcPr>
            <w:tcW w:w="1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jc w:val="right"/>
              <w:ind w:right="262"/>
              <w:spacing w:after="0" w:line="99" w:lineRule="exact"/>
              <w:rPr>
                <w:sz w:val="20"/>
                <w:szCs w:val="20"/>
                <w:color w:val="auto"/>
              </w:rPr>
            </w:pPr>
            <w:r>
              <w:rPr>
                <w:rFonts w:ascii="Times New Roman" w:cs="Times New Roman" w:eastAsia="Times New Roman" w:hAnsi="Times New Roman"/>
                <w:sz w:val="10"/>
                <w:szCs w:val="10"/>
                <w:b w:val="1"/>
                <w:bCs w:val="1"/>
                <w:color w:val="auto"/>
                <w:w w:val="92"/>
              </w:rPr>
              <w:t>Firm</w:t>
            </w:r>
          </w:p>
        </w:tc>
        <w:tc>
          <w:tcPr>
            <w:tcW w:w="6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840" w:type="dxa"/>
            <w:vAlign w:val="bottom"/>
            <w:gridSpan w:val="2"/>
            <w:vMerge w:val="continue"/>
          </w:tcPr>
          <w:p>
            <w:pPr>
              <w:spacing w:after="0"/>
              <w:rPr>
                <w:sz w:val="8"/>
                <w:szCs w:val="8"/>
                <w:color w:val="auto"/>
              </w:rPr>
            </w:pPr>
          </w:p>
        </w:tc>
        <w:tc>
          <w:tcPr>
            <w:tcW w:w="620" w:type="dxa"/>
            <w:vAlign w:val="bottom"/>
            <w:gridSpan w:val="3"/>
          </w:tcPr>
          <w:p>
            <w:pPr>
              <w:ind w:left="60"/>
              <w:spacing w:after="0" w:line="99" w:lineRule="exact"/>
              <w:rPr>
                <w:sz w:val="20"/>
                <w:szCs w:val="20"/>
                <w:color w:val="auto"/>
              </w:rPr>
            </w:pPr>
            <w:r>
              <w:rPr>
                <w:rFonts w:ascii="Times New Roman" w:cs="Times New Roman" w:eastAsia="Times New Roman" w:hAnsi="Times New Roman"/>
                <w:sz w:val="10"/>
                <w:szCs w:val="10"/>
                <w:b w:val="1"/>
                <w:bCs w:val="1"/>
                <w:color w:val="auto"/>
              </w:rPr>
              <w:t>Noteholder</w:t>
            </w:r>
          </w:p>
        </w:tc>
        <w:tc>
          <w:tcPr>
            <w:tcW w:w="220" w:type="dxa"/>
            <w:vAlign w:val="bottom"/>
          </w:tcPr>
          <w:p>
            <w:pPr>
              <w:spacing w:after="0"/>
              <w:rPr>
                <w:sz w:val="8"/>
                <w:szCs w:val="8"/>
                <w:color w:val="auto"/>
              </w:rPr>
            </w:pPr>
          </w:p>
        </w:tc>
        <w:tc>
          <w:tcPr>
            <w:tcW w:w="64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680" w:type="dxa"/>
            <w:vAlign w:val="bottom"/>
            <w:gridSpan w:val="3"/>
          </w:tcPr>
          <w:p>
            <w:pPr>
              <w:ind w:left="120"/>
              <w:spacing w:after="0" w:line="99" w:lineRule="exact"/>
              <w:rPr>
                <w:sz w:val="20"/>
                <w:szCs w:val="20"/>
                <w:color w:val="auto"/>
              </w:rPr>
            </w:pPr>
            <w:r>
              <w:rPr>
                <w:rFonts w:ascii="Times New Roman" w:cs="Times New Roman" w:eastAsia="Times New Roman" w:hAnsi="Times New Roman"/>
                <w:sz w:val="10"/>
                <w:szCs w:val="10"/>
                <w:b w:val="1"/>
                <w:bCs w:val="1"/>
                <w:color w:val="auto"/>
              </w:rPr>
              <w:t>Warrants</w:t>
            </w:r>
          </w:p>
        </w:tc>
        <w:tc>
          <w:tcPr>
            <w:tcW w:w="0" w:type="dxa"/>
            <w:vAlign w:val="bottom"/>
          </w:tcPr>
          <w:p>
            <w:pPr>
              <w:spacing w:after="0"/>
              <w:rPr>
                <w:sz w:val="1"/>
                <w:szCs w:val="1"/>
                <w:color w:val="auto"/>
              </w:rPr>
            </w:pPr>
          </w:p>
        </w:tc>
      </w:tr>
      <w:tr>
        <w:trPr>
          <w:trHeight w:val="115"/>
        </w:trPr>
        <w:tc>
          <w:tcPr>
            <w:tcW w:w="1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Warrants</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Warrant</w:t>
            </w:r>
          </w:p>
        </w:tc>
        <w:tc>
          <w:tcPr>
            <w:tcW w:w="620" w:type="dxa"/>
            <w:vAlign w:val="bottom"/>
            <w:gridSpan w:val="3"/>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w w:val="75"/>
              </w:rPr>
              <w:t>(5yr)</w:t>
            </w:r>
          </w:p>
        </w:tc>
        <w:tc>
          <w:tcPr>
            <w:tcW w:w="180" w:type="dxa"/>
            <w:vAlign w:val="bottom"/>
          </w:tcPr>
          <w:p>
            <w:pPr>
              <w:spacing w:after="0"/>
              <w:rPr>
                <w:sz w:val="10"/>
                <w:szCs w:val="1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0"/>
              </w:rPr>
              <w:t>(2.5yr)</w:t>
            </w:r>
          </w:p>
        </w:tc>
        <w:tc>
          <w:tcPr>
            <w:tcW w:w="0" w:type="dxa"/>
            <w:vAlign w:val="bottom"/>
          </w:tcPr>
          <w:p>
            <w:pPr>
              <w:spacing w:after="0"/>
              <w:rPr>
                <w:sz w:val="1"/>
                <w:szCs w:val="1"/>
                <w:color w:val="auto"/>
              </w:rPr>
            </w:pPr>
          </w:p>
        </w:tc>
      </w:tr>
      <w:tr>
        <w:trPr>
          <w:trHeight w:val="88"/>
        </w:trPr>
        <w:tc>
          <w:tcPr>
            <w:tcW w:w="118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84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96"/>
              </w:rPr>
              <w:t>December 31, 2024</w:t>
            </w:r>
          </w:p>
        </w:tc>
        <w:tc>
          <w:tcPr>
            <w:tcW w:w="12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 value</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2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142"/>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20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62"/>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3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64"/>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360" w:type="dxa"/>
            <w:vAlign w:val="bottom"/>
            <w:tcBorders>
              <w:right w:val="single" w:sz="8" w:color="CCEEFF"/>
            </w:tcBorders>
            <w:gridSpan w:val="2"/>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162"/>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18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1220" w:type="dxa"/>
            <w:vAlign w:val="bottom"/>
            <w:gridSpan w:val="2"/>
          </w:tcPr>
          <w:p>
            <w:pPr>
              <w:ind w:left="1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11.50</w:t>
            </w:r>
          </w:p>
        </w:tc>
        <w:tc>
          <w:tcPr>
            <w:tcW w:w="2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rPr>
              <w:t>1.70</w:t>
            </w:r>
          </w:p>
        </w:tc>
        <w:tc>
          <w:tcPr>
            <w:tcW w:w="200" w:type="dxa"/>
            <w:vAlign w:val="bottom"/>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1.10</w:t>
            </w:r>
          </w:p>
        </w:tc>
        <w:tc>
          <w:tcPr>
            <w:tcW w:w="3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1.20</w:t>
            </w:r>
          </w:p>
        </w:tc>
        <w:tc>
          <w:tcPr>
            <w:tcW w:w="12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2"/>
                <w:szCs w:val="12"/>
                <w:color w:val="auto"/>
              </w:rPr>
            </w:pPr>
          </w:p>
        </w:tc>
        <w:tc>
          <w:tcPr>
            <w:tcW w:w="4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1.04</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0.65</w:t>
            </w:r>
          </w:p>
        </w:tc>
        <w:tc>
          <w:tcPr>
            <w:tcW w:w="18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0.65</w:t>
            </w:r>
          </w:p>
        </w:tc>
        <w:tc>
          <w:tcPr>
            <w:tcW w:w="0" w:type="dxa"/>
            <w:vAlign w:val="bottom"/>
          </w:tcPr>
          <w:p>
            <w:pPr>
              <w:spacing w:after="0"/>
              <w:rPr>
                <w:sz w:val="1"/>
                <w:szCs w:val="1"/>
                <w:color w:val="auto"/>
              </w:rPr>
            </w:pPr>
          </w:p>
        </w:tc>
      </w:tr>
      <w:tr>
        <w:trPr>
          <w:trHeight w:val="14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in years</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2.86</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4.18</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4.32</w:t>
            </w: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4.77</w:t>
            </w: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4.95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2.45</w:t>
            </w:r>
          </w:p>
        </w:tc>
        <w:tc>
          <w:tcPr>
            <w:tcW w:w="0" w:type="dxa"/>
            <w:vAlign w:val="bottom"/>
          </w:tcPr>
          <w:p>
            <w:pPr>
              <w:spacing w:after="0"/>
              <w:rPr>
                <w:sz w:val="1"/>
                <w:szCs w:val="1"/>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109.0%</w:t>
            </w:r>
          </w:p>
        </w:tc>
        <w:tc>
          <w:tcPr>
            <w:tcW w:w="20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81.0%</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320" w:type="dxa"/>
            <w:vAlign w:val="bottom"/>
          </w:tcPr>
          <w:p>
            <w:pPr>
              <w:spacing w:after="0"/>
              <w:rPr>
                <w:sz w:val="12"/>
                <w:szCs w:val="12"/>
                <w:color w:val="auto"/>
              </w:rPr>
            </w:pPr>
          </w:p>
        </w:tc>
        <w:tc>
          <w:tcPr>
            <w:tcW w:w="5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73.0%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76.0%</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95.0%</w:t>
            </w:r>
          </w:p>
        </w:tc>
        <w:tc>
          <w:tcPr>
            <w:tcW w:w="0" w:type="dxa"/>
            <w:vAlign w:val="bottom"/>
          </w:tcPr>
          <w:p>
            <w:pPr>
              <w:spacing w:after="0"/>
              <w:rPr>
                <w:sz w:val="1"/>
                <w:szCs w:val="1"/>
                <w:color w:val="auto"/>
              </w:rPr>
            </w:pPr>
          </w:p>
        </w:tc>
      </w:tr>
      <w:tr>
        <w:trPr>
          <w:trHeight w:val="14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4.22%</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4.29%</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w:t>
            </w: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w:t>
            </w: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4.33%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4.21%</w:t>
            </w:r>
          </w:p>
        </w:tc>
        <w:tc>
          <w:tcPr>
            <w:tcW w:w="0" w:type="dxa"/>
            <w:vAlign w:val="bottom"/>
          </w:tcPr>
          <w:p>
            <w:pPr>
              <w:spacing w:after="0"/>
              <w:rPr>
                <w:sz w:val="1"/>
                <w:szCs w:val="1"/>
                <w:color w:val="auto"/>
              </w:rPr>
            </w:pPr>
          </w:p>
        </w:tc>
      </w:tr>
      <w:tr>
        <w:trPr>
          <w:trHeight w:val="144"/>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0.0%</w:t>
            </w:r>
          </w:p>
        </w:tc>
        <w:tc>
          <w:tcPr>
            <w:tcW w:w="2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320" w:type="dxa"/>
            <w:vAlign w:val="bottom"/>
          </w:tcPr>
          <w:p>
            <w:pPr>
              <w:spacing w:after="0"/>
              <w:rPr>
                <w:sz w:val="12"/>
                <w:szCs w:val="12"/>
                <w:color w:val="auto"/>
              </w:rPr>
            </w:pPr>
          </w:p>
        </w:tc>
        <w:tc>
          <w:tcPr>
            <w:tcW w:w="5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0.0%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0.0%</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0.0%</w:t>
            </w:r>
          </w:p>
        </w:tc>
        <w:tc>
          <w:tcPr>
            <w:tcW w:w="0" w:type="dxa"/>
            <w:vAlign w:val="bottom"/>
          </w:tcPr>
          <w:p>
            <w:pPr>
              <w:spacing w:after="0"/>
              <w:rPr>
                <w:sz w:val="1"/>
                <w:szCs w:val="1"/>
                <w:color w:val="auto"/>
              </w:rPr>
            </w:pPr>
          </w:p>
        </w:tc>
      </w:tr>
      <w:tr>
        <w:trPr>
          <w:trHeight w:val="14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Call option value</w:t>
            </w:r>
          </w:p>
        </w:tc>
        <w:tc>
          <w:tcPr>
            <w:tcW w:w="12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0.21</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rPr>
              <w:t>0.15</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0.19</w:t>
            </w:r>
          </w:p>
        </w:tc>
        <w:tc>
          <w:tcPr>
            <w:tcW w:w="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0.16</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0.20</w:t>
            </w:r>
          </w:p>
        </w:tc>
        <w:tc>
          <w:tcPr>
            <w:tcW w:w="36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0.24</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0.20</w:t>
            </w:r>
          </w:p>
        </w:tc>
        <w:tc>
          <w:tcPr>
            <w:tcW w:w="0" w:type="dxa"/>
            <w:vAlign w:val="bottom"/>
          </w:tcPr>
          <w:p>
            <w:pPr>
              <w:spacing w:after="0"/>
              <w:rPr>
                <w:sz w:val="1"/>
                <w:szCs w:val="1"/>
                <w:color w:val="auto"/>
              </w:rPr>
            </w:pPr>
          </w:p>
        </w:tc>
      </w:tr>
      <w:tr>
        <w:trPr>
          <w:trHeight w:val="261"/>
        </w:trPr>
        <w:tc>
          <w:tcPr>
            <w:tcW w:w="1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Private Warrants</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1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gridSpan w:val="2"/>
          </w:tcPr>
          <w:p>
            <w:pPr>
              <w:jc w:val="right"/>
              <w:ind w:right="22"/>
              <w:spacing w:after="0" w:line="72" w:lineRule="exact"/>
              <w:rPr>
                <w:sz w:val="20"/>
                <w:szCs w:val="20"/>
                <w:color w:val="auto"/>
              </w:rPr>
            </w:pPr>
            <w:r>
              <w:rPr>
                <w:rFonts w:ascii="Times New Roman" w:cs="Times New Roman" w:eastAsia="Times New Roman" w:hAnsi="Times New Roman"/>
                <w:sz w:val="8"/>
                <w:szCs w:val="8"/>
                <w:b w:val="1"/>
                <w:bCs w:val="1"/>
                <w:color w:val="auto"/>
              </w:rPr>
              <w:t>December 31,</w:t>
            </w: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180" w:type="dxa"/>
            <w:vAlign w:val="bottom"/>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5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2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Equity value</w:t>
            </w: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5"/>
              </w:rPr>
              <w:t>2.04</w:t>
            </w:r>
          </w:p>
        </w:tc>
        <w:tc>
          <w:tcPr>
            <w:tcW w:w="140" w:type="dxa"/>
            <w:vAlign w:val="bottom"/>
            <w:tcBorders>
              <w:right w:val="single" w:sz="8" w:color="CCEEFF"/>
            </w:tcBorders>
            <w:shd w:val="clear" w:color="auto" w:fill="CCEEFF"/>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price</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3"/>
          </w:tcPr>
          <w:p>
            <w:pPr>
              <w:jc w:val="right"/>
              <w:ind w:right="92"/>
              <w:spacing w:after="0"/>
              <w:rPr>
                <w:sz w:val="20"/>
                <w:szCs w:val="20"/>
                <w:color w:val="auto"/>
              </w:rPr>
            </w:pPr>
            <w:r>
              <w:rPr>
                <w:rFonts w:ascii="Times New Roman" w:cs="Times New Roman" w:eastAsia="Times New Roman" w:hAnsi="Times New Roman"/>
                <w:sz w:val="12"/>
                <w:szCs w:val="12"/>
                <w:color w:val="auto"/>
              </w:rPr>
              <w:t>11.50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in years</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2"/>
                <w:szCs w:val="12"/>
                <w:color w:val="auto"/>
                <w:w w:val="95"/>
              </w:rPr>
              <w:t>3.86</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Volatility</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6"/>
              </w:rPr>
              <w:t>76.0%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3.90%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Call option value</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2"/>
                <w:szCs w:val="12"/>
                <w:color w:val="auto"/>
                <w:w w:val="95"/>
              </w:rPr>
              <w:t>0.42</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Contingent Consideration Related to SP-104 Acquisition</w:t>
      </w:r>
    </w:p>
    <w:p>
      <w:pPr>
        <w:spacing w:after="0" w:line="82"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The Development Milestone Payment related to the SP-104 Assets represents an obligation to potentially settle a fixed value in a variable number of shares of Common Stock and requires remeasurement at fair value through settlement.</w:t>
      </w:r>
    </w:p>
    <w:p>
      <w:pPr>
        <w:spacing w:after="0" w:line="111" w:lineRule="exact"/>
        <w:rPr>
          <w:sz w:val="20"/>
          <w:szCs w:val="20"/>
          <w:color w:val="auto"/>
        </w:rPr>
      </w:pPr>
    </w:p>
    <w:p>
      <w:pPr>
        <w:ind w:left="1980" w:right="839"/>
        <w:spacing w:after="0" w:line="257" w:lineRule="auto"/>
        <w:rPr>
          <w:sz w:val="20"/>
          <w:szCs w:val="20"/>
          <w:color w:val="auto"/>
        </w:rPr>
      </w:pPr>
      <w:r>
        <w:rPr>
          <w:rFonts w:ascii="Times New Roman" w:cs="Times New Roman" w:eastAsia="Times New Roman" w:hAnsi="Times New Roman"/>
          <w:sz w:val="12"/>
          <w:szCs w:val="12"/>
          <w:color w:val="auto"/>
        </w:rPr>
        <w:t>Upon the achievement of FDA approval for a new drug application for SP-104, the Company will transfer $3.0 million in cash or shares of Common Stock, at the discretion of the Company. The fair value of the contingent consideration liability associated with the Development Milestone Payment was estimated using a probability-weighted discounted cash flow method. Significant unobservable inputs assumptions included the likelihood of receiving FDA approval for SP-104, expected timing for receipt of FDA approval for SP-104, and a discount rate of 10.0%. As of December 31, 2024 and 2023, the fair value of contingent consideration related to the Development Milestone Payment was $0.2 million.</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There were no transfers between fair value measurement levels during the years ended December 31, 2024 and 2023.</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5. Balance Sheet Components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Investments</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Convertible Promissory Note</w:t>
      </w:r>
    </w:p>
    <w:p>
      <w:pPr>
        <w:spacing w:after="0" w:line="80" w:lineRule="exact"/>
        <w:rPr>
          <w:sz w:val="20"/>
          <w:szCs w:val="20"/>
          <w:color w:val="auto"/>
        </w:rPr>
      </w:pPr>
    </w:p>
    <w:p>
      <w:pPr>
        <w:jc w:val="both"/>
        <w:ind w:left="1980" w:right="939"/>
        <w:spacing w:after="0" w:line="265" w:lineRule="auto"/>
        <w:rPr>
          <w:sz w:val="20"/>
          <w:szCs w:val="20"/>
          <w:color w:val="auto"/>
        </w:rPr>
      </w:pPr>
      <w:r>
        <w:rPr>
          <w:rFonts w:ascii="Times New Roman" w:cs="Times New Roman" w:eastAsia="Times New Roman" w:hAnsi="Times New Roman"/>
          <w:sz w:val="12"/>
          <w:szCs w:val="12"/>
          <w:color w:val="auto"/>
        </w:rPr>
        <w:t>On August 9, 2024, Denali Capital Acquisition Corp. (“Denali”) issued a convertible promissory note (the “Convertible Promissory Note”) in the total principal amount of up to $180,000 to the Company. The Convertible Promissory Note was issued with an initial principal balance of $15,063.74, with the remaining</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F-24</w:t>
      </w:r>
    </w:p>
    <w:p>
      <w:pPr>
        <w:sectPr>
          <w:pgSz w:w="11900" w:h="16838" w:orient="portrait"/>
          <w:cols w:equalWidth="0" w:num="1">
            <w:col w:w="10159"/>
          </w:cols>
          <w:pgMar w:left="300" w:top="368" w:right="1440"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53" w:lineRule="auto"/>
        <w:rPr>
          <w:sz w:val="20"/>
          <w:szCs w:val="20"/>
          <w:color w:val="auto"/>
        </w:rPr>
      </w:pPr>
      <w:r>
        <w:rPr>
          <w:rFonts w:ascii="Times New Roman" w:cs="Times New Roman" w:eastAsia="Times New Roman" w:hAnsi="Times New Roman"/>
          <w:sz w:val="12"/>
          <w:szCs w:val="12"/>
          <w:color w:val="auto"/>
        </w:rPr>
        <w:t>$164,936.26 drawable at Denali’s request and upon the consent of the Company prior to the maturity of the Convertible Promissory Note. The Convertible Promissory Note matures upon the earlier of (i) the effective date of the consummation of Denali’s initial business combination or (ii) the date of the liquidation of Denali. Any future drawdowns of the remaining $164,936.26 principal amount available under the Convertible Promissory Note are expected to fund future one-month extensions as necessary to provide additional time for Denali to complete a business combination. At the option of the Company, upon consummation of an initial business combination, the Convertible Promissory Note may be converted in whole or in part into additional Class A ordinary shares of Denali, at a conversion price of $10.00 per ordinary share (the “Conversion Shares”). The terms of the Conversion Shares will be identical to those of the private placement shares that were issued to Denali Capital Global Investments, LLC in connection with Denali’s initial public offering (the “IPO”). In the event that Denali does not consummate an initial business combination, the Convertible Promissory Note will be repaid only from funds held outside of the trust account established in connection with the IPO or will be forfeited, eliminated or otherwise forgiven. No interest shall accrue on the unpaid principal balance of the Convertible Promissory Note. As of December 31, 2024, the balance of the Convertible Promissory Note was $75.3 thousand as a result of additional draws after the initial amount.</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Semnur Business Combination Agreement and Sponsor Interest Purchase Agreement</w:t>
      </w:r>
    </w:p>
    <w:p>
      <w:pPr>
        <w:spacing w:after="0" w:line="80" w:lineRule="exact"/>
        <w:rPr>
          <w:sz w:val="20"/>
          <w:szCs w:val="20"/>
          <w:color w:val="auto"/>
        </w:rPr>
      </w:pPr>
    </w:p>
    <w:p>
      <w:pPr>
        <w:ind w:left="1980" w:right="979"/>
        <w:spacing w:after="0" w:line="279" w:lineRule="auto"/>
        <w:rPr>
          <w:sz w:val="20"/>
          <w:szCs w:val="20"/>
          <w:color w:val="auto"/>
        </w:rPr>
      </w:pPr>
      <w:r>
        <w:rPr>
          <w:rFonts w:ascii="Times New Roman" w:cs="Times New Roman" w:eastAsia="Times New Roman" w:hAnsi="Times New Roman"/>
          <w:sz w:val="12"/>
          <w:szCs w:val="12"/>
          <w:color w:val="auto"/>
        </w:rPr>
        <w:t>On August 30, 2024, Semnur entered into an agreement and plan of merger (the “Semnur Business Combination Agreement”) with Denali and Denali Merger Sub Inc., a Delaware corporation and wholly owned subsidiary of Denali (“Denali Merger Sub”).</w:t>
      </w:r>
    </w:p>
    <w:p>
      <w:pPr>
        <w:spacing w:after="0" w:line="111"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The Semnur Business Combination Agreement provides that, among other things, (i) on the terms and subject to the conditions set forth therein, Denali Merger Sub will merge with and into Semnur, with Semnur surviving as a wholly owned subsidiary of Denali (the “Semnur Business Combination”), and (ii) prior to the closing of the Semnur Business Combination, Denali will migrate to and domesticate as a Delaware corporation in accordance with Section 388 of the General Corporation Law of the State of Delaware, as amended (the “DGCL”), and de-register in the Cayman Islands in accordance with Section 206 of the Cayman Companies Act (the “Domestication”). Upon the closing of the Semnur Business Combination, it is anticipated that Denali will change its name to “Semnur Pharmaceuticals, Inc.” (“New Semnur”). Shares of Denali common stock following the Domestication are hereinafter referred to as “New Semnur Common Shares”. Shares of Denali Series A preferred stock following the Domestication are hereinafter referred to as “New Semnur Preferred Shares”. Warrants to purchase New Semnur Common Shares following the Domestication are hereinafter referred to as “New Semnur Warrants”.</w:t>
      </w:r>
    </w:p>
    <w:p>
      <w:pPr>
        <w:spacing w:after="0" w:line="126" w:lineRule="exact"/>
        <w:rPr>
          <w:sz w:val="20"/>
          <w:szCs w:val="20"/>
          <w:color w:val="auto"/>
        </w:rPr>
      </w:pPr>
    </w:p>
    <w:p>
      <w:pPr>
        <w:ind w:left="1980" w:right="899"/>
        <w:spacing w:after="0" w:line="278" w:lineRule="auto"/>
        <w:rPr>
          <w:sz w:val="20"/>
          <w:szCs w:val="20"/>
          <w:color w:val="auto"/>
        </w:rPr>
      </w:pPr>
      <w:r>
        <w:rPr>
          <w:rFonts w:ascii="Times New Roman" w:cs="Times New Roman" w:eastAsia="Times New Roman" w:hAnsi="Times New Roman"/>
          <w:sz w:val="11"/>
          <w:szCs w:val="11"/>
          <w:color w:val="auto"/>
        </w:rPr>
        <w:t>In accordance with the terms and subject to the conditions of the Semnur Business Combination Agreement, following the Domestication and at the effective time of the Semnur Business Combination (the “Effective Time”): (i) each share of common stock, par value $0.00001 per share (the “Semnur Common Stock”), of Semnur, issued and outstanding immediately prior to the Effective Time, will be automatically converted into the right to receive, without interest, a number of New Semnur Common Shares equal to the Exchange Ratio (as defined in the Semnur Business Combination Agreement);</w:t>
      </w:r>
    </w:p>
    <w:p>
      <w:pPr>
        <w:spacing w:after="0" w:line="1" w:lineRule="exact"/>
        <w:rPr>
          <w:sz w:val="20"/>
          <w:szCs w:val="20"/>
          <w:color w:val="auto"/>
        </w:rPr>
      </w:pPr>
    </w:p>
    <w:p>
      <w:pPr>
        <w:ind w:left="1980" w:right="859" w:hanging="8"/>
        <w:spacing w:after="0" w:line="252" w:lineRule="auto"/>
        <w:tabs>
          <w:tab w:leader="none" w:pos="2157"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share of Series A preferred stock of Semnur issued and outstanding immediately prior to the Effective Time will be automatically converted into the right to receive, without interest, (a) one New Semnur Preferred Share and (b) one-tenth of one New Semnur Common Share, and (iii) subject to Denali’s receipt of the Option Exchange Approval (as defined in the Semnur Business Combination Agreement), each option to purchase a share of Semnur Common Stock that is then outstanding shall be converted into the right to receive an option to purchase a number of New Semnur Common Shares as determined by the Exchange Ratio upon substantially the same terms and conditions as are in effect with respect to such option immediately prior to the Effective Time, with the exercise price thereof adjusted by the Exchange Ratio.</w:t>
      </w:r>
    </w:p>
    <w:p>
      <w:pPr>
        <w:spacing w:after="0" w:line="128"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The Company defers specific incremental costs directly attributable to the Semnur Business Combination, such as legal, accounting and other general and administrative costs. After the consummation of the Semnur Business</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F-25</w:t>
      </w:r>
    </w:p>
    <w:p>
      <w:pPr>
        <w:sectPr>
          <w:pgSz w:w="11900" w:h="16838" w:orient="portrait"/>
          <w:cols w:equalWidth="0" w:num="1">
            <w:col w:w="10159"/>
          </w:cols>
          <w:pgMar w:left="300" w:top="368" w:right="1440"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59"/>
        <w:spacing w:after="0" w:line="257" w:lineRule="auto"/>
        <w:rPr>
          <w:sz w:val="20"/>
          <w:szCs w:val="20"/>
          <w:color w:val="auto"/>
        </w:rPr>
      </w:pPr>
      <w:r>
        <w:rPr>
          <w:rFonts w:ascii="Times New Roman" w:cs="Times New Roman" w:eastAsia="Times New Roman" w:hAnsi="Times New Roman"/>
          <w:sz w:val="12"/>
          <w:szCs w:val="12"/>
          <w:color w:val="auto"/>
        </w:rPr>
        <w:t>Combination, these costs will be classified in stockholders’ deficit as a reduction of additional paid-in capital recorded as a result of the Semnur Business Combination. In the event the Semnur Business Combination Agreement is terminated, all deferred offering costs will be reclassified to general and administrative expenses in the Company’s consolidated statements of operations and comprehensive loss. As of December 31, 2024 and 2023, deferred offering costs related to the Semnur Business Combination totaled $6.0 million and nil, respectively, and were included in prepaid expenses and other current assets in the Company’s consolidated balance sheet.</w:t>
      </w:r>
    </w:p>
    <w:p>
      <w:pPr>
        <w:spacing w:after="0" w:line="125"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 xml:space="preserve">In connection with the execution and delivery of the Semnur Business Combination Agreement, Denali Capital Global Investments LLC, a Cayman Islands limited liability company (the “Sponsor”), and the Company entered into a Sponsor Interest Purchase Agreement (the “SIPA”) dated August 30, 2024 (the “Signing Date”). Pursuant to the SIPA, the Company agreed to purchase 500,000 Class B ordinary shares, par value $0.0001 per share (the “Purchased Interests”), of Denali that are currently held by the Sponsor. The aggregate consideration for the purchase and sale of the Purchased Interests is as follows: (i) $2,000,000 (the “Cash Consideration”) and (ii) 300,000 shares of Common Stock. Pursuant to the SIPA, the Company has paid the Cash Consideration on the Signing Date and has agreed to issue Common Stock to the Sponsor contingent upon and following the occurrence of the Effective Time. The Company accounted for this promise to issue shares at a future date as an equity classified instrument as it is indexed to the Company’s own stock and meets the conditions to be classified in equity under FASB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The Purchased Interests will convert automatically, on a one-for-one basis, into one New Semnur Common Share at the effective time of the Domestication pursuant to the terms of the Semnur Business Combination Agreement. The Company determined it does not have significant influence over Denali and accounted for the Purchased Interests as equity securities at the transaction price which consists of the $2,000,000 paid by the Company to the Sponsor and the value of the 300,000 shares of the Common Stock at the closing price of $1.15 per share on the Signing Date for a total of $2.3 million. The Company elected to subsequently measure the investment at cost less any impairment. As of December 31, 2024, the Company’s investment in the Purchased Interests had a balance of $2.3 million. No impairment loss was recognized during the year ended December 31, 2024.</w:t>
      </w:r>
    </w:p>
    <w:p>
      <w:pPr>
        <w:spacing w:after="0" w:line="20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 Net</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Property and equipment, net, consists of the following (in thousands):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37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6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0"/>
                <w:szCs w:val="10"/>
                <w:color w:val="auto"/>
              </w:rPr>
            </w:pPr>
          </w:p>
        </w:tc>
      </w:tr>
      <w:tr>
        <w:trPr>
          <w:trHeight w:val="133"/>
        </w:trPr>
        <w:tc>
          <w:tcPr>
            <w:tcW w:w="3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Construction in progress</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689</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689</w:t>
            </w:r>
          </w:p>
        </w:tc>
        <w:tc>
          <w:tcPr>
            <w:tcW w:w="80" w:type="dxa"/>
            <w:vAlign w:val="bottom"/>
            <w:shd w:val="clear" w:color="auto" w:fill="CCEEFF"/>
          </w:tcPr>
          <w:p>
            <w:pPr>
              <w:spacing w:after="0"/>
              <w:rPr>
                <w:sz w:val="11"/>
                <w:szCs w:val="11"/>
                <w:color w:val="auto"/>
              </w:rPr>
            </w:pP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Furniture</w:t>
            </w:r>
          </w:p>
        </w:tc>
        <w:tc>
          <w:tcPr>
            <w:tcW w:w="120" w:type="dxa"/>
            <w:vAlign w:val="bottom"/>
          </w:tcPr>
          <w:p>
            <w:pPr>
              <w:spacing w:after="0"/>
              <w:rPr>
                <w:sz w:val="12"/>
                <w:szCs w:val="12"/>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r>
      <w:tr>
        <w:trPr>
          <w:trHeight w:val="14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Computers and equipment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r>
      <w:tr>
        <w:trPr>
          <w:trHeight w:val="20"/>
        </w:trPr>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Property and equipment, gross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780</w:t>
            </w:r>
          </w:p>
        </w:tc>
      </w:tr>
      <w:tr>
        <w:trPr>
          <w:trHeight w:val="144"/>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20" w:type="dxa"/>
            <w:vAlign w:val="bottom"/>
          </w:tcPr>
          <w:p>
            <w:pPr>
              <w:spacing w:after="0"/>
              <w:rPr>
                <w:sz w:val="12"/>
                <w:szCs w:val="12"/>
                <w:color w:val="auto"/>
              </w:rPr>
            </w:pP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color w:val="auto"/>
              </w:rPr>
              <w:t>(64)</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w:t>
            </w:r>
          </w:p>
        </w:tc>
      </w:tr>
      <w:tr>
        <w:trPr>
          <w:trHeight w:val="20"/>
        </w:trPr>
        <w:tc>
          <w:tcPr>
            <w:tcW w:w="3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722</w:t>
            </w:r>
          </w:p>
        </w:tc>
      </w:tr>
      <w:tr>
        <w:trPr>
          <w:trHeight w:val="27"/>
        </w:trPr>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2"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2"/>
          <w:szCs w:val="12"/>
          <w:color w:val="auto"/>
        </w:rPr>
        <w:t>The Company recognized depreciation expense of $14.0 thousand and $40.0 thousand for the years ended December 31, 2024 and 2023, respectively.</w:t>
      </w:r>
    </w:p>
    <w:p>
      <w:pPr>
        <w:spacing w:after="0" w:line="1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color w:val="auto"/>
        </w:rPr>
        <w:t>F-26</w:t>
      </w:r>
    </w:p>
    <w:p>
      <w:pPr>
        <w:sectPr>
          <w:pgSz w:w="11900" w:h="16838" w:orient="portrait"/>
          <w:cols w:equalWidth="0" w:num="1">
            <w:col w:w="10159"/>
          </w:cols>
          <w:pgMar w:left="300" w:top="368" w:right="1440"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Accrued Expenses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Accrued expenses consists of the following (in thousands):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38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5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2023</w:t>
            </w:r>
          </w:p>
        </w:tc>
        <w:tc>
          <w:tcPr>
            <w:tcW w:w="40" w:type="dxa"/>
            <w:vAlign w:val="bottom"/>
            <w:tcBorders>
              <w:bottom w:val="single" w:sz="8" w:color="CCEEFF"/>
            </w:tcBorders>
          </w:tcPr>
          <w:p>
            <w:pPr>
              <w:spacing w:after="0"/>
              <w:rPr>
                <w:sz w:val="10"/>
                <w:szCs w:val="10"/>
                <w:color w:val="auto"/>
              </w:rPr>
            </w:pPr>
          </w:p>
        </w:tc>
      </w:tr>
      <w:tr>
        <w:trPr>
          <w:trHeight w:val="133"/>
        </w:trPr>
        <w:tc>
          <w:tcPr>
            <w:tcW w:w="3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professional service fees</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667</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2,029</w:t>
            </w:r>
          </w:p>
        </w:tc>
        <w:tc>
          <w:tcPr>
            <w:tcW w:w="40" w:type="dxa"/>
            <w:vAlign w:val="bottom"/>
            <w:shd w:val="clear" w:color="auto" w:fill="CCEEFF"/>
          </w:tcPr>
          <w:p>
            <w:pPr>
              <w:spacing w:after="0"/>
              <w:rPr>
                <w:sz w:val="11"/>
                <w:szCs w:val="11"/>
                <w:color w:val="auto"/>
              </w:rPr>
            </w:pP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Accrued sales and marketing costs</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876</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1,601</w:t>
            </w:r>
          </w:p>
        </w:tc>
      </w:tr>
      <w:tr>
        <w:trPr>
          <w:trHeight w:val="1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research and development costs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color w:val="auto"/>
              </w:rPr>
              <w:t>315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1,546</w:t>
            </w: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Accrued tax payable</w:t>
            </w:r>
          </w:p>
        </w:tc>
        <w:tc>
          <w:tcPr>
            <w:tcW w:w="120" w:type="dxa"/>
            <w:vAlign w:val="bottom"/>
          </w:tcPr>
          <w:p>
            <w:pPr>
              <w:spacing w:after="0"/>
              <w:rPr>
                <w:sz w:val="12"/>
                <w:szCs w:val="12"/>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color w:val="auto"/>
              </w:rPr>
              <w:t>876</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1,452</w:t>
            </w:r>
          </w:p>
        </w:tc>
      </w:tr>
      <w:tr>
        <w:trPr>
          <w:trHeight w:val="14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litigation expenses</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— </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500</w:t>
            </w:r>
          </w:p>
        </w:tc>
      </w:tr>
      <w:tr>
        <w:trPr>
          <w:trHeight w:val="144"/>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Accrued others</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40" w:type="dxa"/>
            <w:vAlign w:val="bottom"/>
          </w:tcPr>
          <w:p>
            <w:pPr>
              <w:spacing w:after="0"/>
              <w:rPr>
                <w:sz w:val="12"/>
                <w:szCs w:val="12"/>
                <w:color w:val="auto"/>
              </w:rPr>
            </w:pPr>
          </w:p>
        </w:tc>
      </w:tr>
      <w:tr>
        <w:trPr>
          <w:trHeight w:val="14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expenses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2,841</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7,408</w:t>
            </w:r>
          </w:p>
        </w:tc>
        <w:tc>
          <w:tcPr>
            <w:tcW w:w="40" w:type="dxa"/>
            <w:vAlign w:val="bottom"/>
            <w:shd w:val="clear" w:color="auto" w:fill="CCEEFF"/>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6. Goodwill and Intangible Assets</w:t>
      </w:r>
    </w:p>
    <w:p>
      <w:pPr>
        <w:spacing w:after="0" w:line="82" w:lineRule="exact"/>
        <w:rPr>
          <w:sz w:val="20"/>
          <w:szCs w:val="20"/>
          <w:color w:val="auto"/>
        </w:rPr>
      </w:pPr>
    </w:p>
    <w:p>
      <w:pPr>
        <w:ind w:left="1980" w:right="899"/>
        <w:spacing w:after="0" w:line="279" w:lineRule="auto"/>
        <w:rPr>
          <w:sz w:val="20"/>
          <w:szCs w:val="20"/>
          <w:color w:val="auto"/>
        </w:rPr>
      </w:pPr>
      <w:r>
        <w:rPr>
          <w:rFonts w:ascii="Times New Roman" w:cs="Times New Roman" w:eastAsia="Times New Roman" w:hAnsi="Times New Roman"/>
          <w:sz w:val="12"/>
          <w:szCs w:val="12"/>
          <w:color w:val="auto"/>
        </w:rPr>
        <w:t>As of December 31, 2024 and 2023, the Company had recorded goodwill of $13.5 million. No goodwill impairment was recognized for the years ended December 31, 2024 and 2023.</w:t>
      </w:r>
    </w:p>
    <w:p>
      <w:pPr>
        <w:spacing w:after="0" w:line="111"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Amortization of the intangible assets that have finite useful lives is generally recorded on a straight-line basis over their useful lives, ranging from 6.8 to 13.0 years. A summary of the Company’s identifiable intangible assets as of December 31, 2024 and 2023 is as follows (in thousands):</w:t>
      </w:r>
    </w:p>
    <w:p>
      <w:pPr>
        <w:spacing w:after="0" w:line="12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6"/>
              </w:rPr>
              <w:t>December 31, 2024</w:t>
            </w: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Gross Carrying</w:t>
            </w:r>
          </w:p>
        </w:tc>
        <w:tc>
          <w:tcPr>
            <w:tcW w:w="1380" w:type="dxa"/>
            <w:vAlign w:val="bottom"/>
            <w:gridSpan w:val="4"/>
          </w:tcPr>
          <w:p>
            <w:pPr>
              <w:jc w:val="center"/>
              <w:ind w:left="151"/>
              <w:spacing w:after="0" w:line="72"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8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w w:val="99"/>
              </w:rPr>
              <w:t>Intangibles, net</w:t>
            </w: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380" w:type="dxa"/>
            <w:vAlign w:val="bottom"/>
            <w:gridSpan w:val="4"/>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8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Patent rights</w:t>
            </w:r>
          </w:p>
        </w:tc>
        <w:tc>
          <w:tcPr>
            <w:tcW w:w="9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32,630</w:t>
            </w:r>
          </w:p>
        </w:tc>
        <w:tc>
          <w:tcPr>
            <w:tcW w:w="5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17,770</w:t>
            </w: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14,860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Acquired technology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21,940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Acquired licenses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Assembled workforce</w:t>
            </w: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intangible assets</w:t>
            </w:r>
          </w:p>
        </w:tc>
        <w:tc>
          <w:tcPr>
            <w:tcW w:w="10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60,781</w:t>
            </w:r>
          </w:p>
        </w:tc>
        <w:tc>
          <w:tcPr>
            <w:tcW w:w="6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28,328</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4"/>
          </w:tcPr>
          <w:p>
            <w:pPr>
              <w:jc w:val="center"/>
              <w:ind w:left="151"/>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2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64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b w:val="1"/>
                <w:bCs w:val="1"/>
                <w:color w:val="auto"/>
              </w:rPr>
              <w:t>Gross Carrying</w:t>
            </w:r>
          </w:p>
        </w:tc>
        <w:tc>
          <w:tcPr>
            <w:tcW w:w="1380" w:type="dxa"/>
            <w:vAlign w:val="bottom"/>
            <w:gridSpan w:val="4"/>
          </w:tcPr>
          <w:p>
            <w:pPr>
              <w:jc w:val="center"/>
              <w:ind w:left="151"/>
              <w:spacing w:after="0" w:line="72"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8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w w:val="99"/>
              </w:rPr>
              <w:t>Intangibles, net</w:t>
            </w:r>
          </w:p>
        </w:tc>
        <w:tc>
          <w:tcPr>
            <w:tcW w:w="0" w:type="dxa"/>
            <w:vAlign w:val="bottom"/>
          </w:tcPr>
          <w:p>
            <w:pPr>
              <w:spacing w:after="0"/>
              <w:rPr>
                <w:sz w:val="1"/>
                <w:szCs w:val="1"/>
                <w:color w:val="auto"/>
              </w:rPr>
            </w:pPr>
          </w:p>
        </w:tc>
      </w:tr>
      <w:tr>
        <w:trPr>
          <w:trHeight w:val="115"/>
        </w:trPr>
        <w:tc>
          <w:tcPr>
            <w:tcW w:w="2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380" w:type="dxa"/>
            <w:vAlign w:val="bottom"/>
            <w:gridSpan w:val="4"/>
          </w:tcPr>
          <w:p>
            <w:pPr>
              <w:jc w:val="center"/>
              <w:ind w:left="131"/>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8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3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Patent rights</w:t>
            </w:r>
          </w:p>
        </w:tc>
        <w:tc>
          <w:tcPr>
            <w:tcW w:w="9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32,630</w:t>
            </w:r>
          </w:p>
        </w:tc>
        <w:tc>
          <w:tcPr>
            <w:tcW w:w="5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15,591</w:t>
            </w: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17,039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Acquired technology</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21,940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7,679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Acquired licenses</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Assembled workforce</w:t>
            </w: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intangible assets</w:t>
            </w:r>
          </w:p>
        </w:tc>
        <w:tc>
          <w:tcPr>
            <w:tcW w:w="10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60,781</w:t>
            </w:r>
          </w:p>
        </w:tc>
        <w:tc>
          <w:tcPr>
            <w:tcW w:w="6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24,296</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36,485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999"/>
        <w:spacing w:after="0" w:line="265" w:lineRule="auto"/>
        <w:rPr>
          <w:sz w:val="20"/>
          <w:szCs w:val="20"/>
          <w:color w:val="auto"/>
        </w:rPr>
      </w:pPr>
      <w:r>
        <w:rPr>
          <w:rFonts w:ascii="Times New Roman" w:cs="Times New Roman" w:eastAsia="Times New Roman" w:hAnsi="Times New Roman"/>
          <w:sz w:val="12"/>
          <w:szCs w:val="12"/>
          <w:color w:val="auto"/>
        </w:rPr>
        <w:t>As of December 31, 2024, the weighted average remaining life for identifiable intangible assets was 8.5 years. Aggregate amortization expense was $4.0 million and $4.1 million for the years ended December 31, 2024 and 2023, respectively. Patent rights, acquired technology and acquired licenses are amortized over a 15-year period. Assembled workforce is amortized over a five-year period.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F-27</w:t>
      </w:r>
    </w:p>
    <w:p>
      <w:pPr>
        <w:sectPr>
          <w:pgSz w:w="11900" w:h="16838" w:orient="portrait"/>
          <w:cols w:equalWidth="0" w:num="1">
            <w:col w:w="10159"/>
          </w:cols>
          <w:pgMar w:left="300" w:top="368" w:right="1440"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Estimated future amortization expense related to intangible assets as of December 31, 2024 is as follows (in thousands):</w:t>
      </w:r>
    </w:p>
    <w:p>
      <w:pPr>
        <w:spacing w:after="0" w:line="162"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3"/>
        </w:trPr>
        <w:tc>
          <w:tcPr>
            <w:tcW w:w="4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4,006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4,006</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4,006</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4,006</w:t>
            </w:r>
          </w:p>
        </w:tc>
      </w:tr>
      <w:tr>
        <w:trPr>
          <w:trHeight w:val="14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4,006</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12,423</w:t>
            </w:r>
          </w:p>
        </w:tc>
        <w:tc>
          <w:tcPr>
            <w:tcW w:w="40" w:type="dxa"/>
            <w:vAlign w:val="bottom"/>
          </w:tcPr>
          <w:p>
            <w:pPr>
              <w:spacing w:after="0"/>
              <w:rPr>
                <w:sz w:val="12"/>
                <w:szCs w:val="12"/>
                <w:color w:val="auto"/>
              </w:rPr>
            </w:pPr>
          </w:p>
        </w:tc>
      </w:tr>
      <w:tr>
        <w:trPr>
          <w:trHeight w:val="14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32,453</w:t>
            </w:r>
          </w:p>
        </w:tc>
        <w:tc>
          <w:tcPr>
            <w:tcW w:w="40" w:type="dxa"/>
            <w:vAlign w:val="bottom"/>
            <w:shd w:val="clear" w:color="auto" w:fill="CCEEFF"/>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7. Debt</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Convertible Debentures</w:t>
      </w:r>
    </w:p>
    <w:p>
      <w:pPr>
        <w:spacing w:after="0" w:line="82"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On March 21, 2023, the Company entered into the Yorkville SPA, pursuant to which the Company would issue and sell to Yorkville Convertible Debentures in an aggregate principal amount of up to $25.0 million. The Yorkville SPA provided that the Convertible Debentures would be issued and sold at a purchase price equal to 96% of the applicable principal amount in three tranches as follows: (i) $10.0 million upon the signing of the Yorkville SPA, which was funded on March 21, 2023; (ii) $7.5 million upon the filing of a registration statement on Form S-1 with the SEC to register the resale by Yorkville of any shares of Common Stock issuable upon conversion of the Convertible Debentures under the Securities Act of 1933, as amended (the “Securities Act”), which was funded on April 11, 2023; and (iii) $7.5 million at the time such registration statement was declared effective by the SEC, which was funded on April 20, 2023.</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Convertible Debentures bore interest at an annual rate of 7.00% and were initially set to mature on December 21, 2023. On October 11, 2023,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Company and Yorkville amended the Convertible Debentures. The Default Conversion Price (as defined therein) was originally set not to fall below</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$2.00 per share and such floor price has been amended to mean a price per share of Common Stock equal to 95% of the lowest daily VWAP (as defined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therein) during the five consecutive trading days immediately preceding the conversion date, but not lower than $0.50 per share. The maturity date of the</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Convertible Debentures was also extended from December 21, 2023 to March 15, 2024. The outstanding principal amount was to be repaid in equal</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installments that are due every 30 days beginning on May 20, 2023, which is 60 days after the date on which the first Convertible Debenture was issued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Yorkville. The Convertible Debentures provided a conversion right, in which any portion of the outstanding and unpaid principal and any accrued but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unpaid interest, may be converted into shares of Common Stock, at a conversion price of $8.00 per share at the option of the holder of the Convertible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Debentures.</w:t>
      </w:r>
    </w:p>
    <w:p>
      <w:pPr>
        <w:spacing w:after="0" w:line="139" w:lineRule="exact"/>
        <w:rPr>
          <w:sz w:val="20"/>
          <w:szCs w:val="20"/>
          <w:color w:val="auto"/>
        </w:rPr>
      </w:pPr>
    </w:p>
    <w:p>
      <w:pPr>
        <w:ind w:left="1980" w:right="879"/>
        <w:spacing w:after="0" w:line="265" w:lineRule="auto"/>
        <w:rPr>
          <w:sz w:val="20"/>
          <w:szCs w:val="20"/>
          <w:color w:val="auto"/>
        </w:rPr>
      </w:pPr>
      <w:r>
        <w:rPr>
          <w:rFonts w:ascii="Times New Roman" w:cs="Times New Roman" w:eastAsia="Times New Roman" w:hAnsi="Times New Roman"/>
          <w:sz w:val="12"/>
          <w:szCs w:val="12"/>
          <w:color w:val="auto"/>
        </w:rPr>
        <w:t>The Company had the option to repay either (i) in cash, with premium equal to 5% in respect of the principal amount of such payment, or (ii) by submitting a notice for an advance under the A&amp;R Yorkville Purchase Agreement, or a series of advances thereunder, or any combination of (i) or (ii) as determined by the Company. In the case of (ii), the proceeds from the shares sold to Yorkville are applied against the outstanding amounts.</w:t>
      </w:r>
    </w:p>
    <w:p>
      <w:pPr>
        <w:spacing w:after="0" w:line="119"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The Company had the right, but not the obligation, in its sole discretion, to redeem, upon five business days’ prior written notice to Yorkville (the “Redemption Notice”), all or any portion of the amounts outstanding under the Convertible Debentures; provided that the trading price of the Common Stock is less than the Conversion Price at the time of the Redemption Notice. The redemption amount shall be equal to the outstanding principal balance being redeemed by the Company, plus the redemption premium of 10% of the principal amount being redeemed, plus all accrued and unpaid interest in respect of such redeemed principal amount.</w:t>
      </w:r>
    </w:p>
    <w:p>
      <w:pPr>
        <w:spacing w:after="0" w:line="125"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The Company elected the fair value option for the Convertible Debentures and recorded the changes in the fair value within the consolidated statements of operations and comprehensive loss at the end of each reporting period. Pursuant to the Yorkville SPA, the Company issued additional Convertible Debentures in an aggregate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F-28</w:t>
      </w:r>
    </w:p>
    <w:p>
      <w:pPr>
        <w:sectPr>
          <w:pgSz w:w="11900" w:h="16838" w:orient="portrait"/>
          <w:cols w:equalWidth="0" w:num="1">
            <w:col w:w="10159"/>
          </w:cols>
          <w:pgMar w:left="300" w:top="368"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86" w:lineRule="auto"/>
        <w:rPr>
          <w:sz w:val="20"/>
          <w:szCs w:val="20"/>
          <w:color w:val="auto"/>
        </w:rPr>
      </w:pPr>
      <w:r>
        <w:rPr>
          <w:rFonts w:ascii="Times New Roman" w:cs="Times New Roman" w:eastAsia="Times New Roman" w:hAnsi="Times New Roman"/>
          <w:sz w:val="11"/>
          <w:szCs w:val="11"/>
          <w:color w:val="auto"/>
        </w:rPr>
        <w:t>principal amount of $15.0 million in April 2023 for $14.4 million in net cash proceeds. In April 2023, Yorkville elected to convert $5.0 million of the outstanding principal and accrued interest of the first Convertible Debentures issued to Yorkville, resulting in the issuance of 632,431 shares of Common Stock at a conversion price of $8.00 per share and reducing the outstanding Convertible Debentures fair value balance by $7.7 million. The Company repaid $4.4 million of the Convertible Debentures during the year ended December 31, 2024. Interest expense related to the Convertible Debentures and included in the changes in fair value was $35.0 thousand and $0.7 million for the years ended December 31, 2024 and 2023, respectively.</w:t>
      </w:r>
    </w:p>
    <w:p>
      <w:pPr>
        <w:spacing w:after="0" w:line="1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provides a summary of the changes in the balance and the estimated fair value of the Convertible Debentures (in thousands):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3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3"/>
        </w:trPr>
        <w:tc>
          <w:tcPr>
            <w:tcW w:w="4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Ending Balance as of December 31, 2023</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4,340</w:t>
            </w:r>
          </w:p>
        </w:tc>
        <w:tc>
          <w:tcPr>
            <w:tcW w:w="80" w:type="dxa"/>
            <w:vAlign w:val="bottom"/>
            <w:shd w:val="clear" w:color="auto" w:fill="CCEEFF"/>
          </w:tcPr>
          <w:p>
            <w:pPr>
              <w:spacing w:after="0"/>
              <w:rPr>
                <w:sz w:val="11"/>
                <w:szCs w:val="11"/>
                <w:color w:val="auto"/>
              </w:rPr>
            </w:pPr>
          </w:p>
        </w:tc>
      </w:tr>
      <w:tr>
        <w:trPr>
          <w:trHeight w:val="144"/>
        </w:trPr>
        <w:tc>
          <w:tcPr>
            <w:tcW w:w="4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 of Convertible Debentures</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(4,375)</w:t>
            </w:r>
          </w:p>
        </w:tc>
      </w:tr>
      <w:tr>
        <w:trPr>
          <w:trHeight w:val="144"/>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Change in fair value of Convertible Debentures</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w:t>
            </w:r>
          </w:p>
        </w:tc>
      </w:tr>
      <w:tr>
        <w:trPr>
          <w:trHeight w:val="149"/>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 as of December 31, 2024</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Revolving Facility</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On June 27, 2023, Scilex Pharma entered into the eCapital Credit Agreement, pursuant to which the Lender shall make available the Revolving Facility in an aggregate principal amount of up to $30.0 million. The Facility Cap may, at the request of Scilex Pharma and with the consent of the Lender, be increased in increments of $250,000 at such time as the outstanding principal balance under the eCapital Credit Agreement equals or exceeds 95% of the then-existing Facility Cap. The amount available to Scilex Pharma under the Revolving Facility at any one time is the lesser of the Facility Cap and 85% of the Net Collectible Value of Eligible Receivables (each as defined therein) minus the amount of any reserves or adjustments against receivables required by the Lender, in its discretion.</w:t>
      </w:r>
    </w:p>
    <w:p>
      <w:pPr>
        <w:spacing w:after="0" w:line="125"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Under the terms of the eCapital Credit Agreement, interest would accrue daily on the principal amount outstanding at a rate per annum equal to the Wall Street Journal Prime Rate plus 1.5%, based on a year consisting of 360 days, and which shall be payable by Scilex Pharma monthly in arrears, commencing July 1, 2023. The eCapital Credit Agreement provided for an early termination fee of 0.5% of the Facility Cap if Scilex Pharma voluntarily prepaid and terminated in full the Revolving Facility prior to the first anniversary of the closing of the Revolving Facility.</w:t>
      </w:r>
    </w:p>
    <w:p>
      <w:pPr>
        <w:spacing w:after="0" w:line="12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In connection with the eCapital Credit Agreement, Scilex Pharma and the Lender entered into blocked account control agreements with respect to Scilex Pharma’s collections and eCapital Credit Agreement funding accounts, which permitted the Lender to sweep all funds in the collections account to an account of the Lender for application to the outstanding amounts under the Revolving Facility, and to exercise customary secured party remedies with respect to the eCapital Credit Agreement funding account. All indebtedness incurred and outstanding under the eCapital Credit Agreement would be due and payable in full on July 1, 2026, unless the eCapital Credit Agreement was earlier terminated.</w:t>
      </w:r>
    </w:p>
    <w:p>
      <w:pPr>
        <w:spacing w:after="0" w:line="125"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The eCapital Credit Agreement contained a financial covenant requiring Scilex Pharma to maintain cash on hand of at least $1.0 million at all times. Scilex Pharma’s obligations under the eCapital Credit Agreement were secured by a continuing security interest in Scilex Pharma’s accounts receivable, arising from customers in the ordinary course of business. The eCapital Credit Agreement contained customary events of default and also provided that an event of default included a change of control of Scilex Pharma and the failure by the Company to issue at least $75.0 million of debt or equity by September 30, 2023, which condition was satisfied by the issuance of the Oramed Note.</w:t>
      </w:r>
    </w:p>
    <w:p>
      <w:pPr>
        <w:spacing w:after="0" w:line="125" w:lineRule="exact"/>
        <w:rPr>
          <w:sz w:val="20"/>
          <w:szCs w:val="20"/>
          <w:color w:val="auto"/>
        </w:rPr>
      </w:pPr>
    </w:p>
    <w:p>
      <w:pPr>
        <w:ind w:left="1980" w:right="1139"/>
        <w:spacing w:after="0" w:line="279" w:lineRule="auto"/>
        <w:rPr>
          <w:sz w:val="20"/>
          <w:szCs w:val="20"/>
          <w:color w:val="auto"/>
        </w:rPr>
      </w:pPr>
      <w:r>
        <w:rPr>
          <w:rFonts w:ascii="Times New Roman" w:cs="Times New Roman" w:eastAsia="Times New Roman" w:hAnsi="Times New Roman"/>
          <w:sz w:val="12"/>
          <w:szCs w:val="12"/>
          <w:color w:val="auto"/>
        </w:rPr>
        <w:t>On September 21, 2023, Scilex Pharma signed a subordination agreement (the “Subordination Agreement”) with the Lender and Acquiom Agency Services LLC (the “Agent”). Pursuant to the Subordination Agreement, the</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F-29</w:t>
      </w:r>
    </w:p>
    <w:p>
      <w:pPr>
        <w:sectPr>
          <w:pgSz w:w="11900" w:h="16838" w:orient="portrait"/>
          <w:cols w:equalWidth="0" w:num="1">
            <w:col w:w="10159"/>
          </w:cols>
          <w:pgMar w:left="300" w:top="368"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rights and interests of the Lender under the eCapital Credit Agreement would be secured by first priority liens on the ABL Priority Collateral (as defined therein). The ABL Priority Collateral consisted of all of the Company’s properties identified in the description of collateral in the UCC-1 Financing Statement filed with the Delaware Secretary of State on June 27, 2023. The Agent’s rights and interests under the Subsidiary Guarantee, dated as of September 21, 2023, entered into by the Company and each of its subsidiaries with Oramed and the Agent (the “Subsidiary Guarantee”), would be secured by first priority liens on certain other collateral and second priority liens on the ABL Priority Collateral. The Subordination Agreement also included other standard interlender terms and requires that the Facility Cap (as defined therein) shall not exceed $30.0 million.</w:t>
      </w:r>
    </w:p>
    <w:p>
      <w:pPr>
        <w:spacing w:after="0" w:line="125"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On October 8, 2024, Scilex Pharma paid off the outstanding amount of all obligations and indebtedness of Scilex Pharma owing to the Lender under the eCapital Credit Agreement. Accordingly, the eCapital Credit Agreement, the related Loan Documents (as defined in the eCapital Credit Agreement) and the Subordination Agreement were terminated, canceled and are of no further force and effect. As of December 31, 2024 and 2023, the outstanding balance under the Revolving Facility for Scilex Pharma was nil and $17.0 million, respectively, which was classified as a long-term liability in the consolidated balance sheet.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The Oramed Note</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On September 21, 2023, the Company entered into a securities purchase agreement with Oramed (the “Scilex-Oramed SPA”), pursuant to which the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Company issued the Oramed Note. The Oramed Note, which has a principal amount of $101.9 million, matures on March 21, 2025. It is payable in six</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principal installments, with the first installment of $5.0 million payable on December 21, 2023, the second installment in the principal amount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$15.0 million payable on March 21, 2024, the next three installments each in the principal amount of $20.0 million payable on each of June 21, 2024,</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September 21, 2024 and December 21, 2024 and the last installment in the entire remaining principal balance of the Oramed Note payable on March 21,</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2025. Interest under the Oramed Note accrues at a fluctuating per annum interest rate equal to the sum of (1) the greater of (x) 4% and (y) Term SOFR</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defined in the Oramed Note) and (2) 8.5%, payable in-kind on a monthly basis. Pursuant to the Oramed Note, since the outstanding principal of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Oramed Note was not repaid in full on or prior to March 21, 2024, an exit fee of approximately $3.1 million has been earned with respect to the Oramed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Note, which shall be due and payable on the date the outstanding principal amount of the Oramed Note is paid in full. Upon the occurrence and during</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continuance of an event of default under the Oramed Note, holders of more than 50% of the aggregate unpaid principal amount of the Oramed Notes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may elect to accrue interest at a default rate equal to the lesser of (i) Term SOFR plus 15% or (ii) the maximum rate permitted under applicable law.</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Voluntary prepayments made before the one-year anniversary of the closing date of the Scilex-Oramed SPA must include a make-whole amount equal to</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50% of the additional interest that would accrue on the principal amount so prepaid from the date of such prepayment through and including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maturity date. If the Oramed Note is accelerated upon an event of default, repayment is required at a mandatory default rate of 125% of the principal</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amount (together with 100% of accrued and unpaid interest thereon and all other amounts due in respect of the Oramed Note). The Oramed Note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contains mandatory prepayment provisions requiring use of 70% of net cash proceeds from any Cash Sweep Financing (as defined in the Oramed Note)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or advances under the ELOCs (as defined in the Oramed Note) to prepay the outstanding principal after the earlier of April 1, 2024 or full repayment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Acceptable Indebtedness (as defined in the Oramed Note). Following each of the April 2024 RDO (as defined below and as described under Note 9), the</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receipt of the FSF Deposit (as described below) and the sale of shares of Common Stock pursuant to the ATM Sales Agreement, the Company made a</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mandatory prepayment of $9,578,835, $7,000,000 and $1,760,796, respectively, to Oramed, which equals 70% of the net cash proceeds the Company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received from the April 2024 RDO, the FSF Deposit and sale of shares of Common Stock pursuant to the ATM Sales Agreement. Given such payment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was not a voluntary prepayment, such prepayment did not trigger the make-whole amount under the Oramed Note.</w:t>
      </w:r>
    </w:p>
    <w:p>
      <w:pPr>
        <w:spacing w:after="0" w:line="139" w:lineRule="exact"/>
        <w:rPr>
          <w:sz w:val="20"/>
          <w:szCs w:val="20"/>
          <w:color w:val="auto"/>
        </w:rPr>
      </w:pPr>
    </w:p>
    <w:p>
      <w:pPr>
        <w:ind w:left="1980" w:right="959"/>
        <w:spacing w:after="0" w:line="260" w:lineRule="auto"/>
        <w:rPr>
          <w:sz w:val="20"/>
          <w:szCs w:val="20"/>
          <w:color w:val="auto"/>
        </w:rPr>
      </w:pPr>
      <w:r>
        <w:rPr>
          <w:rFonts w:ascii="Times New Roman" w:cs="Times New Roman" w:eastAsia="Times New Roman" w:hAnsi="Times New Roman"/>
          <w:sz w:val="12"/>
          <w:szCs w:val="12"/>
          <w:color w:val="auto"/>
        </w:rPr>
        <w:t>The Oramed Note contains affirmative and negative covenants binding on the Company and its subsidiaries, which restrict, among other things, the Company and its subsidiaries from incurring indebtedness or liens, amending charter and organizational documents, repaying or repurchasing stock, repaying, repurchasing, or acquiring indebtedness, paying or declaring cash dividends, assigning, selling, transferring or otherwise disposing of assets, making or holding</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F-30</w:t>
      </w:r>
    </w:p>
    <w:p>
      <w:pPr>
        <w:sectPr>
          <w:pgSz w:w="11900" w:h="16838" w:orient="portrait"/>
          <w:cols w:equalWidth="0" w:num="1">
            <w:col w:w="10159"/>
          </w:cols>
          <w:pgMar w:left="300" w:top="368"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99"/>
        <w:spacing w:after="0" w:line="279" w:lineRule="auto"/>
        <w:rPr>
          <w:sz w:val="20"/>
          <w:szCs w:val="20"/>
          <w:color w:val="auto"/>
        </w:rPr>
      </w:pPr>
      <w:r>
        <w:rPr>
          <w:rFonts w:ascii="Times New Roman" w:cs="Times New Roman" w:eastAsia="Times New Roman" w:hAnsi="Times New Roman"/>
          <w:sz w:val="12"/>
          <w:szCs w:val="12"/>
          <w:color w:val="auto"/>
        </w:rPr>
        <w:t>investments, entering into transactions with affiliates, and entering into settlement agreements, in each case as more fully set forth in, and subject to certain qualifications and exceptions set forth in, the Oramed Note.</w:t>
      </w:r>
    </w:p>
    <w:p>
      <w:pPr>
        <w:spacing w:after="0" w:line="111"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In connection with the Oramed Note, the Company and each of its subsidiaries (collectively, the “Guarantors”) entered into a security agreement (the “Security Agreement”) with Oramed (together with its successors and permitted assigns, the “Holder”) and the Agent, which acts as the collateral agent for the holders of the Oramed Note. Under this agreement, the Company and the Guarantors granted to the Agent (on behalf of and for the benefit of the holders of the Oramed Note and any Additional Notes as defined thereunder) a security interest in all or substantially all of the properties of the Company and each of the Guarantors. This was done to ensure the timely payment, performance, and full discharge of all obligations under the Oramed Note. The Security Agreement contains certain customary representations, warranties and covenants regarding the collateral thereunder, all of which are detailed in the Security Agreement.</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On September 20, 2024, the Company and Oramed entered into a letter agreement (the “Oramed Letter Agreement”), pursuant to which the Company</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agreed to pay to Oramed $2,000,000 (the “Specified September Payment”) on September 23, 2024, which payment was applied as follows: (i)</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$1,700,000 was applied to the amortization payment due under the Oramed Note on March 21, 2025 (the “Maturity Date”) and (y) $300,000 to purchase</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 aggregate of 4,000,000 SPAC Warrants (as defined below) owned by Oramed.</w:t>
      </w:r>
    </w:p>
    <w:p>
      <w:pPr>
        <w:spacing w:after="0" w:line="139" w:lineRule="exact"/>
        <w:rPr>
          <w:sz w:val="20"/>
          <w:szCs w:val="20"/>
          <w:color w:val="auto"/>
        </w:rPr>
      </w:pPr>
    </w:p>
    <w:p>
      <w:pPr>
        <w:ind w:left="1980" w:right="899"/>
        <w:spacing w:after="0" w:line="280" w:lineRule="auto"/>
        <w:rPr>
          <w:sz w:val="20"/>
          <w:szCs w:val="20"/>
          <w:color w:val="auto"/>
        </w:rPr>
      </w:pPr>
      <w:r>
        <w:rPr>
          <w:rFonts w:ascii="Times New Roman" w:cs="Times New Roman" w:eastAsia="Times New Roman" w:hAnsi="Times New Roman"/>
          <w:sz w:val="11"/>
          <w:szCs w:val="11"/>
          <w:color w:val="auto"/>
        </w:rPr>
        <w:t>The parties further agreed, upon receipt of the Specified September Payment by Oramed, (i) that notwithstanding the minimum Liquidity (as defined therein) requirements set forth in Section 7(b)(x) of the Oramed Note, the Company and its Subsidiaries (as defined therein) shall be required to maintain the following minimum liquidity during the specified time periods instead: from and after September 19, 2024 until the Maturity Date, $0, and</w:t>
      </w:r>
    </w:p>
    <w:p>
      <w:pPr>
        <w:ind w:left="1980" w:right="899" w:hanging="8"/>
        <w:spacing w:after="0" w:line="252" w:lineRule="auto"/>
        <w:tabs>
          <w:tab w:leader="none" w:pos="2157"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extend the due date of the $20,000,000 amortization payment from September 23, 2024 to September 30, 2024. Oramed further agreed to extend such due date to October 8, 2024, on which date a consent and amendment letter was signed with Oramed (“Oramed Consent and Amendment”) under which: (i) the Company made a payment of $12,500,000 to Oramed in lieu of the payment due on September 23, 2024, using the proceeds from the issuance of the Tranche B Notes, and (ii) the remaining payments under the Oramed Note were amended as follows: installment payment of $15,000,000 payable on December 21, 2024, which payment was made on December 13, 2024, and the remaining principal balance, accrued interest and fees payable on the Maturity Date. On January 21, 2025, the Company and Oramed agreed to extend the Maturity Date under and as set forth in the Oramed Note from March 21, 2025 to December 31, 2025.</w:t>
      </w:r>
    </w:p>
    <w:p>
      <w:pPr>
        <w:spacing w:after="0" w:line="127"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At issuance, the Company concluded that certain features of the Oramed Note would be considered derivatives that would require bifurcation. In lieu of bifurcating such features, the Company has elected the fair value option for this financial instrument and records the changes in the fair value within the consolidated statements of operations and comprehensive loss at the end of each reporting period. As of December 31, 2024, the fair value of the Oramed Note was $12.2 million, which is classified as debt, current in the consolidated balance sheet.</w:t>
      </w:r>
    </w:p>
    <w:p>
      <w:pPr>
        <w:spacing w:after="0" w:line="1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provides a summary of the changes in the balance and the estimated fair value of the Oramed Note (in thousands):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3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3"/>
        </w:trPr>
        <w:tc>
          <w:tcPr>
            <w:tcW w:w="4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Ending Balance as of December 31, 2023</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104,089</w:t>
            </w:r>
          </w:p>
        </w:tc>
        <w:tc>
          <w:tcPr>
            <w:tcW w:w="80" w:type="dxa"/>
            <w:vAlign w:val="bottom"/>
            <w:shd w:val="clear" w:color="auto" w:fill="CCEEFF"/>
          </w:tcPr>
          <w:p>
            <w:pPr>
              <w:spacing w:after="0"/>
              <w:rPr>
                <w:sz w:val="11"/>
                <w:szCs w:val="11"/>
                <w:color w:val="auto"/>
              </w:rPr>
            </w:pPr>
          </w:p>
        </w:tc>
      </w:tr>
      <w:tr>
        <w:trPr>
          <w:trHeight w:val="144"/>
        </w:trPr>
        <w:tc>
          <w:tcPr>
            <w:tcW w:w="4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 of Oramed Note</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(64,200)</w:t>
            </w:r>
          </w:p>
        </w:tc>
      </w:tr>
      <w:tr>
        <w:trPr>
          <w:trHeight w:val="144"/>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Conversion into Tranche B Notes</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(25,000)</w:t>
            </w:r>
          </w:p>
        </w:tc>
      </w:tr>
      <w:tr>
        <w:trPr>
          <w:trHeight w:val="133"/>
        </w:trPr>
        <w:tc>
          <w:tcPr>
            <w:tcW w:w="434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Change in fair value of Oramed Note—recorded in the consolidated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43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statements of operations</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3,589</w:t>
            </w:r>
          </w:p>
        </w:tc>
      </w:tr>
      <w:tr>
        <w:trPr>
          <w:trHeight w:val="133"/>
        </w:trPr>
        <w:tc>
          <w:tcPr>
            <w:tcW w:w="434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Change in fair value of Oramed Note—due to instrument-specific credit</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4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risk recorded as a component of other comprehensive income</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(6,317)</w:t>
            </w:r>
          </w:p>
        </w:tc>
      </w:tr>
      <w:tr>
        <w:trPr>
          <w:trHeight w:val="149"/>
        </w:trPr>
        <w:tc>
          <w:tcPr>
            <w:tcW w:w="4340" w:type="dxa"/>
            <w:vAlign w:val="bottom"/>
          </w:tcPr>
          <w:p>
            <w:pPr>
              <w:spacing w:after="0"/>
              <w:rPr>
                <w:sz w:val="20"/>
                <w:szCs w:val="20"/>
                <w:color w:val="auto"/>
              </w:rPr>
            </w:pPr>
            <w:r>
              <w:rPr>
                <w:rFonts w:ascii="Times New Roman" w:cs="Times New Roman" w:eastAsia="Times New Roman" w:hAnsi="Times New Roman"/>
                <w:sz w:val="12"/>
                <w:szCs w:val="12"/>
                <w:color w:val="auto"/>
              </w:rPr>
              <w:t>Ending Balance as of December 31, 2024</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12,161</w:t>
            </w:r>
          </w:p>
        </w:tc>
        <w:tc>
          <w:tcPr>
            <w:tcW w:w="80" w:type="dxa"/>
            <w:vAlign w:val="bottom"/>
          </w:tcPr>
          <w:p>
            <w:pPr>
              <w:spacing w:after="0"/>
              <w:rPr>
                <w:sz w:val="12"/>
                <w:szCs w:val="12"/>
                <w:color w:val="auto"/>
              </w:rPr>
            </w:pPr>
          </w:p>
        </w:tc>
      </w:tr>
      <w:tr>
        <w:trPr>
          <w:trHeight w:val="252"/>
        </w:trPr>
        <w:tc>
          <w:tcPr>
            <w:tcW w:w="4340" w:type="dxa"/>
            <w:vAlign w:val="bottom"/>
          </w:tcPr>
          <w:p>
            <w:pPr>
              <w:ind w:left="2380"/>
              <w:spacing w:after="0"/>
              <w:rPr>
                <w:sz w:val="20"/>
                <w:szCs w:val="20"/>
                <w:color w:val="auto"/>
              </w:rPr>
            </w:pPr>
            <w:r>
              <w:rPr>
                <w:rFonts w:ascii="Times New Roman" w:cs="Times New Roman" w:eastAsia="Times New Roman" w:hAnsi="Times New Roman"/>
                <w:sz w:val="12"/>
                <w:szCs w:val="12"/>
                <w:color w:val="auto"/>
              </w:rPr>
              <w:t>F-31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Commitment Letter</w:t>
      </w:r>
    </w:p>
    <w:p>
      <w:pPr>
        <w:spacing w:after="0" w:line="82"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On June 11, 2024, the Company entered into the Commitment Letter with FSF Lender, pursuant to which FSF Lender committed to provide the Company the FSF Loan in the aggregate amount of $100.0 million. The Commitment Amount should be payable as follows: (i) $85.0 million no later than the Outside Date, which is 70 days following the date on which the Company received the FSF Deposit and (ii) the remaining $15.0 million within 60 days following the Initial Closing.</w:t>
      </w:r>
    </w:p>
    <w:p>
      <w:pPr>
        <w:spacing w:after="0" w:line="122"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color w:val="auto"/>
        </w:rPr>
        <w:t>Pursuant to the Commitment Letter, FSF Lender provided the Company a non-refundable FSF Deposit in immediately available funds in the aggregate principal amount of $10.0 million on the Deposit Date, which amount would be creditable towards the $85.0 million required to be funded by FSF Lender at the Initial Closing. The Company received the FSF Deposit on June 18, 2024 and issued to FSF Lender the Deposit Warrant to purchase up to an aggregate of 3,250,000 shares of Common Stock (subject to adjustment for any stock dividend, stock split, reverse stock split or similar transaction), with an exercise price of $1.20 per share. The Deposit Warrant was immediately exercisable and would expire five years from the date of issuance. If the Initial Closing did not occur on or prior to the Outside Date, the FSF Deposit should automatically convert into an unsecured loan on the first day after the Outside Date. Within five days after such automatic conversion occurs, the Company should issue a promissory note (the “Unsecured Promissory Note”) to FSF Lender to evidence such unsecured loan, which note should be unsecured, had a maturity date of five years after the date of the Unsecured Promissory Note and was prepayable without premium or penalty. The Unsecured Promissory Note should bear interest, payable quarterly in arrears, in an amount equal to the Unsecured Applicable Interest Amount (as defined in the Commitment Letter) for such period based on the actual number of days elapsed while principal is outstanding.</w:t>
      </w:r>
    </w:p>
    <w:p>
      <w:pPr>
        <w:spacing w:after="0" w:line="128"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It was contemplated by the Commitment Letter that the Company and FSF Lender would enter into definitive documents with respect to the FSF Loan on terms to be mutually agreed in good faith. If such definitive documents were entered into on or before the Outside Date, the Company agreed to issue to FSF Lender (i) at the Initial Closing, a warrant to purchase up to an aggregate of 24,375,000 shares (subject to adjustment for any stock dividend, stock split, reverse stock split or similar transaction) of Common Stock (the “Initial Closing Warrant”), and (ii) at the Second Closing, a warrant to purchase up to an aggregate of 4,875,000 shares (subject to adjustment for any stock dividend, stock split, reverse stock split or similar transaction) of Common Stock (the “Second Closing Warrant”), each to have an exercise price of $1.20 per share. The Initial Closing Warrant and the Second Closing Warrant would expire five years from the date of issuance. To evidence the FSF Loan, the Company agreed to issue to FSF Lender a Senior Secured Promissory Note (the “Secured Promissory Note”), which shall have a maturity date of five years after the date of issuance. The Secured Promissory Note shall bear interest, payable quarterly in arrears, in an amount equal to the Secured Applicable Interest Amount (as defined in the Commitment Letter) for such period, based on the actual number of days elapsed, while principal is outstanding, subject to certain conditions.</w:t>
      </w:r>
    </w:p>
    <w:p>
      <w:pPr>
        <w:spacing w:after="0" w:line="129" w:lineRule="exact"/>
        <w:rPr>
          <w:sz w:val="20"/>
          <w:szCs w:val="20"/>
          <w:color w:val="auto"/>
        </w:rPr>
      </w:pPr>
    </w:p>
    <w:p>
      <w:pPr>
        <w:jc w:val="both"/>
        <w:ind w:left="1980" w:right="899"/>
        <w:spacing w:after="0" w:line="265" w:lineRule="auto"/>
        <w:rPr>
          <w:sz w:val="20"/>
          <w:szCs w:val="20"/>
          <w:color w:val="auto"/>
        </w:rPr>
      </w:pPr>
      <w:r>
        <w:rPr>
          <w:rFonts w:ascii="Times New Roman" w:cs="Times New Roman" w:eastAsia="Times New Roman" w:hAnsi="Times New Roman"/>
          <w:sz w:val="12"/>
          <w:szCs w:val="12"/>
          <w:color w:val="auto"/>
        </w:rPr>
        <w:t>At issuance, the Company concluded that certain features of the FSF Deposit would be considered derivatives that would require bifurcation. In lieu of bifurcating such features, the Company has elected the fair value option for this financial instrument and records the changes in the fair value within the consolidated statements of operations and comprehensive loss at the end of each reporting period.</w:t>
      </w:r>
    </w:p>
    <w:p>
      <w:pPr>
        <w:spacing w:after="0" w:line="119" w:lineRule="exact"/>
        <w:rPr>
          <w:sz w:val="20"/>
          <w:szCs w:val="20"/>
          <w:color w:val="auto"/>
        </w:rPr>
      </w:pPr>
    </w:p>
    <w:p>
      <w:pPr>
        <w:ind w:left="1980" w:right="839"/>
        <w:spacing w:after="0" w:line="256" w:lineRule="auto"/>
        <w:rPr>
          <w:sz w:val="20"/>
          <w:szCs w:val="20"/>
          <w:color w:val="auto"/>
        </w:rPr>
      </w:pPr>
      <w:r>
        <w:rPr>
          <w:rFonts w:ascii="Times New Roman" w:cs="Times New Roman" w:eastAsia="Times New Roman" w:hAnsi="Times New Roman"/>
          <w:sz w:val="12"/>
          <w:szCs w:val="12"/>
          <w:color w:val="auto"/>
        </w:rPr>
        <w:t>In connection with the transactions contemplated by the Commitment Letter, the Company also entered into an agreement with FSF Lender and the FSF Lender’s strategic consultant, IVI 66766 LLC (“IVI”), dated July 16, 2024, pursuant to which the Company agreed to reimburse the actual, reasonable and documented consulting fees incurred by FSF Lender in connection with the preparation, negotiation and execution of the Commitment Letter and the definitive documents with respect to the transactions contemplated thereby, which fees were satisfied in full by the Company issuing to IVI a warrant to purchase up to an aggregate of 250,000 shares of Common Stock (the “Fee Warrant”) on July 16, 2024, with an exercise price of $1.20 per share. Subject to certain ownership limitations, the Fee Warrant is immediately exercisable and will expire five years from the date of issuance. The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F-32</w:t>
      </w:r>
    </w:p>
    <w:p>
      <w:pPr>
        <w:sectPr>
          <w:pgSz w:w="11900" w:h="16838" w:orient="portrait"/>
          <w:cols w:equalWidth="0" w:num="1">
            <w:col w:w="10159"/>
          </w:cols>
          <w:pgMar w:left="300" w:top="368"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Company accounted for the Fee Warrant as an equity classified instrument and recognized the Fee Warrant in additional paid-in capital in the Company’s consolidated balance sheets. The fair value of the Fee Warrant as of the date of issuance was $0.3 million. In October 2024, the Fee Warrant was exercised by IVI.</w:t>
      </w:r>
    </w:p>
    <w:p>
      <w:pPr>
        <w:spacing w:after="0" w:line="119" w:lineRule="exact"/>
        <w:rPr>
          <w:sz w:val="20"/>
          <w:szCs w:val="20"/>
          <w:color w:val="auto"/>
        </w:rPr>
      </w:pPr>
    </w:p>
    <w:p>
      <w:pPr>
        <w:ind w:left="1980" w:right="959"/>
        <w:spacing w:after="0" w:line="254" w:lineRule="auto"/>
        <w:rPr>
          <w:sz w:val="20"/>
          <w:szCs w:val="20"/>
          <w:color w:val="auto"/>
        </w:rPr>
      </w:pPr>
      <w:r>
        <w:rPr>
          <w:rFonts w:ascii="Times New Roman" w:cs="Times New Roman" w:eastAsia="Times New Roman" w:hAnsi="Times New Roman"/>
          <w:sz w:val="12"/>
          <w:szCs w:val="12"/>
          <w:color w:val="auto"/>
        </w:rPr>
        <w:t>On September 17, 2024, the Company entered into the Satisfaction Agreement with FSF Lender and Endeavor, pursuant to which the remaining obligations in respect of the FSF Deposit shall be fully satisfied by the Company’s delivery of 28,000 cartons of ZTlido to Endeavor, which delivery shall occur no later than December 31, 2024. Upon satisfaction of such remaining obligations, the Commitment Letter shall be terminated and of no further force or effect and neither FSF Lender nor the Company shall have any further liability or obligations thereunder. In consideration of Endeavor assuming the payment obligation of the Company in respect of the FSF Deposit, Endeavor will not be responsible for making any payment to the Company for (i) the product already delivered as of the date of such agreement in an amount of approximately $13.2 million and (ii) the Additional Product. Pursuant to the terms of the Satisfaction Agreement, if the Company fails to fully deliver the Additional Product by December 31, 2024, the Company shall be liable to Endeavor for liquidated damages in the amount of $20,000,000. In November 2024, the Company delivered the Additional Product to Endeavor and fully satisfied the remaining obligations in respect of the FSF Deposit.</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provides a summary of the changes in the balance and the estimated fair value of the FSF Deposit (in thousands):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43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0"/>
                <w:szCs w:val="10"/>
                <w:color w:val="auto"/>
              </w:rPr>
            </w:pPr>
          </w:p>
        </w:tc>
      </w:tr>
      <w:tr>
        <w:trPr>
          <w:trHeight w:val="133"/>
        </w:trPr>
        <w:tc>
          <w:tcPr>
            <w:tcW w:w="4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Beginning Balance as of June 11, 2024</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10,000</w:t>
            </w:r>
          </w:p>
        </w:tc>
        <w:tc>
          <w:tcPr>
            <w:tcW w:w="80" w:type="dxa"/>
            <w:vAlign w:val="bottom"/>
            <w:shd w:val="clear" w:color="auto" w:fill="CCEEFF"/>
          </w:tcPr>
          <w:p>
            <w:pPr>
              <w:spacing w:after="0"/>
              <w:rPr>
                <w:sz w:val="11"/>
                <w:szCs w:val="11"/>
                <w:color w:val="auto"/>
              </w:rPr>
            </w:pPr>
          </w:p>
        </w:tc>
      </w:tr>
      <w:tr>
        <w:trPr>
          <w:trHeight w:val="144"/>
        </w:trPr>
        <w:tc>
          <w:tcPr>
            <w:tcW w:w="4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of FSF Deposit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4,690</w:t>
            </w:r>
          </w:p>
        </w:tc>
      </w:tr>
      <w:tr>
        <w:trPr>
          <w:trHeight w:val="144"/>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Reclass of Deposit Warrant liability upon satisfaction of FSF Deposit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(1,690)</w:t>
            </w:r>
          </w:p>
        </w:tc>
      </w:tr>
      <w:tr>
        <w:trPr>
          <w:trHeight w:val="144"/>
        </w:trPr>
        <w:tc>
          <w:tcPr>
            <w:tcW w:w="43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 of FSF Deposit</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(13,000)</w:t>
            </w:r>
          </w:p>
        </w:tc>
      </w:tr>
      <w:tr>
        <w:trPr>
          <w:trHeight w:val="1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Ending Balance as of December 31, 2024</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shd w:val="clear" w:color="auto" w:fill="CCEEFF"/>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Tranche B Notes</w:t>
      </w:r>
    </w:p>
    <w:p>
      <w:pPr>
        <w:spacing w:after="0" w:line="82" w:lineRule="exact"/>
        <w:rPr>
          <w:sz w:val="20"/>
          <w:szCs w:val="20"/>
          <w:color w:val="auto"/>
        </w:rPr>
      </w:pPr>
    </w:p>
    <w:p>
      <w:pPr>
        <w:ind w:left="1980" w:right="939"/>
        <w:spacing w:after="0" w:line="255" w:lineRule="auto"/>
        <w:rPr>
          <w:sz w:val="20"/>
          <w:szCs w:val="20"/>
          <w:color w:val="auto"/>
        </w:rPr>
      </w:pPr>
      <w:r>
        <w:rPr>
          <w:rFonts w:ascii="Times New Roman" w:cs="Times New Roman" w:eastAsia="Times New Roman" w:hAnsi="Times New Roman"/>
          <w:sz w:val="12"/>
          <w:szCs w:val="12"/>
          <w:color w:val="auto"/>
        </w:rPr>
        <w:t>On October 8, 2024, the Company entered into the Tranche B Securities Purchase Agreement with the Tranche B Investors and Oramed to refinance a portion of the Oramed Note and pay off certain other indebtedness of the Company. Pursuant to the Tranche B Securities Purchase Agreement, the Company agreed to issue and sell, in a registered offering by the Company directly to the Tranche B Noteholders: (i) the Tranche B Notes, which notes will mature on the two-year anniversary of the issuance date and will be convertible into shares of Common Stock at a conversion price equal to $1.09 per share (which was automatically reduced to $1.04 per share of Common Stock subsequent to the December 2024 RDO (as defined below) in accordance with the terms of such notes) and (ii) warrants (the “October 2024 Noteholder Warrants”) to purchase up to 7,500,000 shares of Common Stock directly to the Tranche B Noteholders.</w:t>
      </w:r>
    </w:p>
    <w:p>
      <w:pPr>
        <w:spacing w:after="0" w:line="126"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The Company has received in exchange for the issuance of the Tranche B Notes to the Tranche B Investors an aggregate amount in cash of $22,500,000, excluding fees and expenses payable by the Company. The Company has received from Oramed in consideration for the Tranche B Notes issued to Oramed an exchange and reduction of the principal balance under the Oramed Note of $22,500,000.</w:t>
      </w:r>
    </w:p>
    <w:p>
      <w:pPr>
        <w:spacing w:after="0" w:line="119"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The October 2024 Noteholder Warrants are immediately exercisable for cash at an exercise price equal to $1.09 per share of Common Stock (which was automatically reduced to $1.04 per share of Common Stock subsequent to the December 2024 RDO (as defined below) in accordance with the terms of such warrants) and will expire five years from the issuance date. The October 2024 Noteholder Warrants issued to the Tranche B Investors are initially exercisable for 3,750,000 shares of Common Stock in the aggregate. The October 2024 Noteholder Warrants issued to Oramed are initially exercisable for 3,750,000 shares of Common Stock.</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F-33</w:t>
      </w:r>
    </w:p>
    <w:p>
      <w:pPr>
        <w:sectPr>
          <w:pgSz w:w="11900" w:h="16838" w:orient="portrait"/>
          <w:cols w:equalWidth="0" w:num="1">
            <w:col w:w="10159"/>
          </w:cols>
          <w:pgMar w:left="300" w:top="368" w:right="1440"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39"/>
        <w:spacing w:after="0" w:line="257" w:lineRule="auto"/>
        <w:rPr>
          <w:sz w:val="20"/>
          <w:szCs w:val="20"/>
          <w:color w:val="auto"/>
        </w:rPr>
      </w:pPr>
      <w:r>
        <w:rPr>
          <w:rFonts w:ascii="Times New Roman" w:cs="Times New Roman" w:eastAsia="Times New Roman" w:hAnsi="Times New Roman"/>
          <w:sz w:val="12"/>
          <w:szCs w:val="12"/>
          <w:color w:val="auto"/>
        </w:rPr>
        <w:t>In connection with the offering of the Tranche B Notes, the Company issued to StockBlock Securities LLC (“StockBlock”) and its affiliate, Rodman &amp; Renshaw LLC (collectively, the “Placement Agents”) or their respective designees, (i) 2,197,802 shares of Common Stock (the “Placement Agent Shares”) and (ii) warrants to purchase up to 3,669,724 shares of Common Stock (the “October 2024 Placement Agent Warrants”). The October 2024 Placement Agent Warrants will have the same terms as the October 2024 Noteholder Warrants, except that the Placement Agents have agreed not to exercise the October 2024 Placement Agent Warrants for a period of 180 days following the date of issuance.</w:t>
      </w:r>
    </w:p>
    <w:p>
      <w:pPr>
        <w:spacing w:after="0" w:line="125"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In conjunction with the Tranche B Securities Purchase Agreement, the Company entered into the ZTlido Royalty Purchase Agreement (as defined below) for $5.0 million of the aggregate purchase price for the ZTlido Purchased Receivables in full consideration for the sale, transfer, conveyance and granting of the ZTlido Purchased Receivables, subject to the terms and conditions set forth in the ZTlido Royalty Purchase Agreement. The</w:t>
      </w:r>
    </w:p>
    <w:p>
      <w:pPr>
        <w:spacing w:after="0" w:line="1"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$50.0 million of total proceeds received were allocated based on their relative fair value to the Tranche B Notes, the October 2024 Noteholder Warrants, and the ZTlido Royalty Purchase Agreement, with the excess of fair value over the proceeds received in amount of $2.6 million recognized as a loss upon issuance in change in fair value of debt and liability instruments in the consolidated statement of operations during the year ended December 31, 2024.</w:t>
      </w:r>
    </w:p>
    <w:p>
      <w:pPr>
        <w:spacing w:after="0" w:line="1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provides a summary of the changes in the balance and the estimated fair value of the Tranche B Notes (in thousands):</w:t>
      </w:r>
    </w:p>
    <w:p>
      <w:pPr>
        <w:sectPr>
          <w:pgSz w:w="11900" w:h="16838" w:orient="portrait"/>
          <w:cols w:equalWidth="0" w:num="1">
            <w:col w:w="10159"/>
          </w:cols>
          <w:pgMar w:left="300" w:top="368" w:right="1440" w:bottom="1440" w:gutter="0" w:footer="0" w:header="0"/>
        </w:sectPr>
      </w:pPr>
    </w:p>
    <w:p>
      <w:pPr>
        <w:spacing w:after="0" w:line="366"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1"/>
          <w:szCs w:val="11"/>
          <w:color w:val="auto"/>
        </w:rPr>
        <w:t>Beginning Balance as of October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-73025</wp:posOffset>
            </wp:positionV>
            <wp:extent cx="3166110" cy="971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166110" cy="97155"/>
                    </a:xfrm>
                    <a:prstGeom prst="rect">
                      <a:avLst/>
                    </a:prstGeom>
                    <a:noFill/>
                  </pic:spPr>
                </pic:pic>
              </a:graphicData>
            </a:graphic>
          </wp:anchor>
        </w:drawing>
      </w:r>
    </w:p>
    <w:p>
      <w:pPr>
        <w:spacing w:after="0" w:line="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Conversion of Tranche B notes</w:t>
      </w:r>
    </w:p>
    <w:p>
      <w:pPr>
        <w:spacing w:after="0" w:line="1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2"/>
          <w:szCs w:val="12"/>
          <w:color w:val="auto"/>
        </w:rPr>
        <w:t>Repayment of Tranche B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-86995</wp:posOffset>
            </wp:positionV>
            <wp:extent cx="3166110" cy="914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11"/>
          <w:szCs w:val="11"/>
          <w:color w:val="auto"/>
        </w:rPr>
        <w:t>Change in fair value of Tranche B Notes</w:t>
      </w:r>
    </w:p>
    <w:p>
      <w:pPr>
        <w:spacing w:after="0" w:line="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2"/>
          <w:szCs w:val="12"/>
          <w:color w:val="auto"/>
        </w:rPr>
        <w:t>Ending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-80010</wp:posOffset>
            </wp:positionV>
            <wp:extent cx="3166110" cy="914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8"/>
          <w:szCs w:val="8"/>
          <w:b w:val="1"/>
          <w:bCs w:val="1"/>
          <w:color w:val="auto"/>
        </w:rPr>
        <w:t>December 31,</w:t>
      </w:r>
    </w:p>
    <w:p>
      <w:pPr>
        <w:spacing w:after="0" w:line="18" w:lineRule="exact"/>
        <w:rPr>
          <w:sz w:val="20"/>
          <w:szCs w:val="20"/>
          <w:color w:val="auto"/>
        </w:rPr>
      </w:pPr>
    </w:p>
    <w:p>
      <w:pPr>
        <w:jc w:val="center"/>
        <w:ind w:right="2099"/>
        <w:spacing w:after="0"/>
        <w:rPr>
          <w:sz w:val="20"/>
          <w:szCs w:val="20"/>
          <w:color w:val="auto"/>
        </w:rPr>
      </w:pPr>
      <w:r>
        <w:rPr>
          <w:rFonts w:ascii="Times New Roman" w:cs="Times New Roman" w:eastAsia="Times New Roman" w:hAnsi="Times New Roman"/>
          <w:sz w:val="10"/>
          <w:szCs w:val="10"/>
          <w:b w:val="1"/>
          <w:bCs w:val="1"/>
          <w:color w:val="auto"/>
        </w:rPr>
        <w:t>2024</w:t>
      </w:r>
    </w:p>
    <w:p>
      <w:pPr>
        <w:ind w:left="240" w:hanging="233"/>
        <w:spacing w:after="0"/>
        <w:tabs>
          <w:tab w:leader="none" w:pos="24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42,740</w:t>
      </w:r>
    </w:p>
    <w:p>
      <w:pPr>
        <w:spacing w:after="0" w:line="5" w:lineRule="exact"/>
        <w:rPr>
          <w:rFonts w:ascii="Times New Roman" w:cs="Times New Roman" w:eastAsia="Times New Roman" w:hAnsi="Times New Roman"/>
          <w:sz w:val="12"/>
          <w:szCs w:val="12"/>
          <w:color w:val="auto"/>
        </w:rPr>
      </w:pPr>
    </w:p>
    <w:p>
      <w:pPr>
        <w:ind w:left="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(9,255)</w:t>
      </w:r>
    </w:p>
    <w:p>
      <w:pPr>
        <w:spacing w:after="0" w:line="17" w:lineRule="exact"/>
        <w:rPr>
          <w:rFonts w:ascii="Times New Roman" w:cs="Times New Roman" w:eastAsia="Times New Roman" w:hAnsi="Times New Roman"/>
          <w:sz w:val="12"/>
          <w:szCs w:val="12"/>
          <w:color w:val="auto"/>
        </w:rPr>
      </w:pPr>
    </w:p>
    <w:p>
      <w:pPr>
        <w:ind w:left="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(3,283)</w:t>
      </w:r>
    </w:p>
    <w:p>
      <w:pPr>
        <w:spacing w:after="0" w:line="17" w:lineRule="exact"/>
        <w:rPr>
          <w:rFonts w:ascii="Times New Roman" w:cs="Times New Roman" w:eastAsia="Times New Roman" w:hAnsi="Times New Roman"/>
          <w:sz w:val="12"/>
          <w:szCs w:val="12"/>
          <w:color w:val="auto"/>
        </w:rPr>
      </w:pPr>
    </w:p>
    <w:p>
      <w:pPr>
        <w:ind w:left="2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(6,641)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35433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5" w:lineRule="exact"/>
        <w:rPr>
          <w:sz w:val="20"/>
          <w:szCs w:val="20"/>
          <w:color w:val="auto"/>
        </w:rPr>
      </w:pPr>
    </w:p>
    <w:p>
      <w:pPr>
        <w:ind w:left="240" w:hanging="233"/>
        <w:spacing w:after="0"/>
        <w:tabs>
          <w:tab w:leader="none" w:pos="240" w:val="left"/>
        </w:tabs>
        <w:numPr>
          <w:ilvl w:val="0"/>
          <w:numId w:val="145"/>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23,560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5433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6780" w:space="720"/>
            <w:col w:w="2659"/>
          </w:cols>
          <w:pgMar w:left="300" w:top="368" w:right="1440"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2"/>
          <w:szCs w:val="12"/>
          <w:color w:val="auto"/>
        </w:rPr>
        <w:t>Aggregate principal repayments for the Company’s outstanding debt will be $47.7 million and $19.5 million in 2025 and 2026, respectively.</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Royalty Purchase Agreement</w:t>
      </w:r>
    </w:p>
    <w:p>
      <w:pPr>
        <w:spacing w:after="0" w:line="8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On October 8, 2024, in connection with the closing of the transactions contemplated by the Tranche B Securities Purchase Agreement, the Company and Scilex Pharma entered into the ZTlido Royalty Purchase Agreement with the ZTlido Royalty Purchasers. Pursuant to the ZTlido Royalty Purchase Agreement, Scilex Pharma sold to the ZTlido Royalty Purchasers the right to receive 8% of all aggregate net sales worldwide (the “ZTlido Purchased Receivables”) with respect to ZTlido, SP-103 and any related, improved, successor, replacement or varying dosage forms of the foregoing, which shall be paid within 60 calendar days after the end of each calendar quarter.</w:t>
      </w:r>
    </w:p>
    <w:p>
      <w:pPr>
        <w:spacing w:after="0" w:line="125" w:lineRule="exact"/>
        <w:rPr>
          <w:sz w:val="20"/>
          <w:szCs w:val="20"/>
          <w:color w:val="auto"/>
        </w:rPr>
      </w:pPr>
    </w:p>
    <w:p>
      <w:pPr>
        <w:ind w:left="1980" w:right="899"/>
        <w:spacing w:after="0" w:line="255" w:lineRule="auto"/>
        <w:rPr>
          <w:sz w:val="20"/>
          <w:szCs w:val="20"/>
          <w:color w:val="auto"/>
        </w:rPr>
      </w:pPr>
      <w:r>
        <w:rPr>
          <w:rFonts w:ascii="Times New Roman" w:cs="Times New Roman" w:eastAsia="Times New Roman" w:hAnsi="Times New Roman"/>
          <w:sz w:val="12"/>
          <w:szCs w:val="12"/>
          <w:color w:val="auto"/>
        </w:rPr>
        <w:t>In full consideration for the sale, transfer, conveyance and granting of the ZTlido Purchased Receivables, and subject to the terms and conditions set forth in the ZTlido Royalty Purchase Agreement, the aggregate purchase price for the ZTlido Purchased Receivables was $5.0 million (net of expenses of the ZTlido Royalty Purchasers). The ZTlido Royalty Investors paid to Scilex Pharma an aggregate amount equal to $2.5 million minus the expenses of the ZTlido Royalty Investors and Oramed paid to Scilex Pharma an amount equal to $2.5 million minus Oramed’s expenses (collectively, the amount so paid by the ZTlido Royalty Purchasers, the “ZTlido RPA Closing Payment”). Oramed’s portion of the purchase price was paid by exchanging a portion of the outstanding principal balance under the Oramed Note equivalent to its portion of the ZTlido RPA Closing Payment, which amount extinguished and reduced $2.5 million of the outstanding balance under the Oramed Note.</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F-34</w:t>
      </w:r>
    </w:p>
    <w:p>
      <w:pPr>
        <w:sectPr>
          <w:pgSz w:w="11900" w:h="16838" w:orient="portrait"/>
          <w:cols w:equalWidth="0" w:num="1">
            <w:col w:w="10159"/>
          </w:cols>
          <w:pgMar w:left="300" w:top="368" w:right="1440" w:bottom="1440" w:gutter="0" w:footer="0" w:header="0"/>
          <w:type w:val="continuous"/>
        </w:sectPr>
      </w:pPr>
    </w:p>
    <w:bookmarkStart w:id="316" w:name="page317"/>
    <w:bookmarkEnd w:id="31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79"/>
        <w:spacing w:after="0" w:line="265" w:lineRule="auto"/>
        <w:rPr>
          <w:sz w:val="20"/>
          <w:szCs w:val="20"/>
          <w:color w:val="auto"/>
        </w:rPr>
      </w:pPr>
      <w:r>
        <w:rPr>
          <w:rFonts w:ascii="Times New Roman" w:cs="Times New Roman" w:eastAsia="Times New Roman" w:hAnsi="Times New Roman"/>
          <w:sz w:val="12"/>
          <w:szCs w:val="12"/>
          <w:color w:val="auto"/>
        </w:rPr>
        <w:t>The Royalty Purchase Agreement terminates six months following receipt by the ZTlido RPA Purchasers of all payments of the ZTlido Purchased Receivables to which each ZTlido RPA Purchaser is entitled during the period commencing on the closing date of the ZTlido Royalty Purchase Agreement and expiring on the tenth anniversary of such closing date.</w:t>
      </w:r>
    </w:p>
    <w:p>
      <w:pPr>
        <w:spacing w:after="0" w:line="119" w:lineRule="exact"/>
        <w:rPr>
          <w:sz w:val="20"/>
          <w:szCs w:val="20"/>
          <w:color w:val="auto"/>
        </w:rPr>
      </w:pPr>
    </w:p>
    <w:p>
      <w:pPr>
        <w:ind w:left="1980" w:right="879"/>
        <w:spacing w:after="0" w:line="257" w:lineRule="auto"/>
        <w:rPr>
          <w:sz w:val="20"/>
          <w:szCs w:val="20"/>
          <w:color w:val="auto"/>
        </w:rPr>
      </w:pPr>
      <w:r>
        <w:rPr>
          <w:rFonts w:ascii="Times New Roman" w:cs="Times New Roman" w:eastAsia="Times New Roman" w:hAnsi="Times New Roman"/>
          <w:sz w:val="12"/>
          <w:szCs w:val="12"/>
          <w:color w:val="auto"/>
        </w:rPr>
        <w:t>The Company elected the fair value option for the ZTlido Royalty Purchase Agreement and records the changes in the fair value within the consolidated statements of operations and comprehensive loss at the end of each reporting period. As of December 31, 2024, the fair value of the ZTlido Royalty Purchase Agreement was $6.8 million, recorded as a purchased revenue liability on the consolidated balance sheet. The Company incurred $0.2 million of issuance costs in connection with the ZTlido Royalty Purchase Agreement, which were included in the consolidated statement of operations for the year ended December 31, 2024.</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The following table summarizes the purchased revenue liability activity during the year ended December 31, 2024 (in thousands):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38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43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CCEEFF"/>
            </w:tcBorders>
          </w:tcPr>
          <w:p>
            <w:pPr>
              <w:spacing w:after="0"/>
              <w:rPr>
                <w:sz w:val="10"/>
                <w:szCs w:val="10"/>
                <w:color w:val="auto"/>
              </w:rPr>
            </w:pPr>
          </w:p>
        </w:tc>
      </w:tr>
      <w:tr>
        <w:trPr>
          <w:trHeight w:val="133"/>
        </w:trPr>
        <w:tc>
          <w:tcPr>
            <w:tcW w:w="4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Beginning Balance as of October 8, 2024</w:t>
            </w:r>
          </w:p>
        </w:tc>
        <w:tc>
          <w:tcPr>
            <w:tcW w:w="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5,900</w:t>
            </w:r>
          </w:p>
        </w:tc>
        <w:tc>
          <w:tcPr>
            <w:tcW w:w="40" w:type="dxa"/>
            <w:vAlign w:val="bottom"/>
            <w:shd w:val="clear" w:color="auto" w:fill="CCEEFF"/>
          </w:tcPr>
          <w:p>
            <w:pPr>
              <w:spacing w:after="0"/>
              <w:rPr>
                <w:sz w:val="11"/>
                <w:szCs w:val="11"/>
                <w:color w:val="auto"/>
              </w:rPr>
            </w:pPr>
          </w:p>
        </w:tc>
      </w:tr>
      <w:tr>
        <w:trPr>
          <w:trHeight w:val="144"/>
        </w:trPr>
        <w:tc>
          <w:tcPr>
            <w:tcW w:w="43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 in fair value of purchased revenue liability</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900</w:t>
            </w:r>
          </w:p>
        </w:tc>
      </w:tr>
      <w:tr>
        <w:trPr>
          <w:trHeight w:val="20"/>
        </w:trPr>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Ending Balance as of December 31, 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6,800</w:t>
            </w:r>
          </w:p>
        </w:tc>
      </w:tr>
      <w:tr>
        <w:trPr>
          <w:trHeight w:val="27"/>
        </w:trPr>
        <w:tc>
          <w:tcPr>
            <w:tcW w:w="4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8. Junior DIP Facility and Sorrento Stock Purchase Agreement</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Junior DIP Facility</w:t>
      </w:r>
    </w:p>
    <w:p>
      <w:pPr>
        <w:spacing w:after="0" w:line="80"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In July 2023, the Company entered into an agreement to provide Sorrento with a non-amortizing super-priority junior secured term loan facility (“Junior DIP Facility”) in an aggregate principal amount of $20.0 million (the “Junior DIP Loan Agreement”), which was funded in the same month. The Junior DIP Facility bears interest at a per annum rate of 12.0% payable in kind on the first day of each month in arrears and on the DIP Termination Date (as defined in the Junior DIP Loan Agreement). Upon repayment or satisfaction of the DIP Loans (as defined in the Junior DIP Loan Agreement) in whole or in part, Sorrento is required to pay to the Company in cash an exit fee equal to 2.00% of the aggregate principal amount of the Junior DIP Facility. The Junior DIP Facility was to mature on the earliest of: (i) September 30, 2023; (ii) the effective date of any Chapter 11 plan of reorganization with respect to Sorrento; (iii) the consummation of any sale or other disposition of all or substantially all of the assets of Sorrento; (iv) the date of the acceleration of the DIP Loans and the termination of the DIP Commitments (as defined in the Junior DIP Loan Agreement) in accordance with the DIP Documents (as defined in the Junior DIP Loan Agreement); and (v) dismissal of the Chapter 11 Cases or conversion of the Chapter 11 Cases into cases under Chapter 7 of the Bankruptcy Code.</w:t>
      </w:r>
    </w:p>
    <w:p>
      <w:pPr>
        <w:spacing w:after="0" w:line="129"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On September 21, 2023, Sorrento’s obligations under the Junior DIP Facility were waived and deemed to be fully settled in conjunction with the Sorrento SPA as described below. Consequently, the transfer of funds associated with the Junior DIP Facility was deemed and accounted for as a capital distribution to Sorrento.</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Sorrento Stock Purchase Agreement</w:t>
      </w:r>
    </w:p>
    <w:p>
      <w:pPr>
        <w:spacing w:after="0" w:line="80"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On September 21, 2023, the Company entered into the Sorrento SPA, pursuant to which the Company purchased from Sorrento (i) 60,068,585 shares of Common Stock, (ii) 29,057,097 shares of Series A Preferred Stock and (iii) 1,386,617 Public Warrants and 3,104,000 Private Warrants (collectively, the “Purchased Securities”). On the same day, the Company and Oramed entered into the Scilex-Oramed SPA. The Company concluded that the Sorrento SPA and the Scilex-Oramed SPA were entered in contemplation of each other and the issuance of the Oramed Note was accounted as part of the consideration payable for the Purchased Securities acquired from Sorrento.</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F-35</w:t>
      </w:r>
    </w:p>
    <w:p>
      <w:pPr>
        <w:sectPr>
          <w:pgSz w:w="11900" w:h="16838" w:orient="portrait"/>
          <w:cols w:equalWidth="0" w:num="1">
            <w:col w:w="10159"/>
          </w:cols>
          <w:pgMar w:left="300" w:top="368"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Pursuant to the terms of the Scilex-Oramed SPA, the Company issued the Oramed Note (see Note 7), which replaced Sorrento’s outstanding obligations</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 Oramed, warrants to purchase up to an aggregate of 4,500,000 shares of Common Stock (the “Closing Penny Warrant”) with an exercise price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$0.01 per share and restrictions on exercisability, and warrants to purchase up to an aggregate of 8,500,000 shares of Common Stock (the “Subsequent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Penny Warrants” and together with the Closing Penny Warrant, the “Penny Warrants”), each with an exercise price of $0.01 per share and each with</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restrictions on exercisability. Additionally, the Company agreed to transfer to Oramed 4,000,000 SPAC Warrants, which were acquired by the Company</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under the Sorrento SPA. There was no change in the terms for the warrants transferred to Oramed as a result of the transactions described above.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remaining consideration for the Purchased Securities was comprised of a credit bid for all amounts of principal and accrued but unpaid interest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outstanding under the Junior DIP Facility, a $10.0 million cash payment, and the assumption and assignment of certain obligations of Sorrento for legal</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fees and expenses amounting to approximately $12.3 million.</w:t>
      </w:r>
    </w:p>
    <w:p>
      <w:pPr>
        <w:spacing w:after="0" w:line="139"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The Company allocated the total consideration between the repurchased instruments by allocating to the repurchased Private Warrants their full value, with the remaining consideration allocated to the Common Stock, Series A Preferred Stock, and Public Warrants based on their relative fair values as of September 21, 2023.</w:t>
      </w:r>
    </w:p>
    <w:p>
      <w:pPr>
        <w:spacing w:after="0" w:line="119"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Before the closing of the Sorrento SPA transactions and in connection with the transactions contemplated by the Sorrento SPA, the Company formed two entities: (a) Scilex DRE Holdings LLC (“Holdco”), a single purpose entity that is the Company’s direct wholly owned subsidiary and (b) Scilex Stock Acquisition Joint Venture LLC, a single purpose bankruptcy-remote entity that is the Company’s indirect wholly owned subsidiary (“SCLX JV”), which was formed to hold the Purchased Securities. Holdco was formed to hold all of the equity interests in SCLX JV. Holdco and SCLX JV are parties to the Security Agreement and Subsidiary Guarantee (see Note 7).</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Series A Preferred Stock</w:t>
      </w:r>
    </w:p>
    <w:p>
      <w:pPr>
        <w:spacing w:after="0" w:line="80" w:lineRule="exact"/>
        <w:rPr>
          <w:sz w:val="20"/>
          <w:szCs w:val="20"/>
          <w:color w:val="auto"/>
        </w:rPr>
      </w:pPr>
    </w:p>
    <w:p>
      <w:pPr>
        <w:ind w:left="1980" w:right="979"/>
        <w:spacing w:after="0" w:line="257" w:lineRule="auto"/>
        <w:rPr>
          <w:sz w:val="20"/>
          <w:szCs w:val="20"/>
          <w:color w:val="auto"/>
        </w:rPr>
      </w:pPr>
      <w:r>
        <w:rPr>
          <w:rFonts w:ascii="Times New Roman" w:cs="Times New Roman" w:eastAsia="Times New Roman" w:hAnsi="Times New Roman"/>
          <w:sz w:val="12"/>
          <w:szCs w:val="12"/>
          <w:color w:val="auto"/>
        </w:rPr>
        <w:t>Pursuant to the terms of the Sorrento SPA, the Company repurchased all of the outstanding Series A Preferred Stock. The Series A Preferred Stock is classified in permanent equity and does not have any bifurcated features. Therefore, the repurchase of the Series A Preferred Stock by the Company is treated as a redemption of shares and viewed as a deemed dividend. The fair value of Series A Preferred Stock as of the repurchase date of September 21, 2023 was $52.6 million. The Company derecognized the carrying value of the Series A Preferred Stock, with any excess amount allocated as the reduction in additional paid-in capital. The Series A Preferred Stock is currently held as collateral for the Oramed Note.</w:t>
      </w:r>
    </w:p>
    <w:p>
      <w:pPr>
        <w:spacing w:after="0" w:line="1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Treasury Stock</w:t>
      </w:r>
    </w:p>
    <w:p>
      <w:pPr>
        <w:spacing w:after="0" w:line="80"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The Common Stock that has been repurchased by the Company under the Sorrento SPA is not intended for constructive retirement, and is being held as collateral for the Oramed Note. In accordance with treasury stock accounting guidance, the consideration allocated to Common Stock is presented under a separate caption of Treasury Stock as a reduction of equity.</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Penny Warrants</w:t>
      </w:r>
    </w:p>
    <w:p>
      <w:pPr>
        <w:spacing w:after="0" w:line="80" w:lineRule="exact"/>
        <w:rPr>
          <w:sz w:val="20"/>
          <w:szCs w:val="20"/>
          <w:color w:val="auto"/>
        </w:rPr>
      </w:pPr>
    </w:p>
    <w:p>
      <w:pPr>
        <w:ind w:left="1980" w:right="999"/>
        <w:spacing w:after="0" w:line="327" w:lineRule="auto"/>
        <w:rPr>
          <w:sz w:val="20"/>
          <w:szCs w:val="20"/>
          <w:color w:val="auto"/>
        </w:rPr>
      </w:pPr>
      <w:r>
        <w:rPr>
          <w:rFonts w:ascii="Times New Roman" w:cs="Times New Roman" w:eastAsia="Times New Roman" w:hAnsi="Times New Roman"/>
          <w:sz w:val="11"/>
          <w:szCs w:val="11"/>
          <w:color w:val="auto"/>
        </w:rPr>
        <w:t>The Closing Penny Warrant will be exercisable upon the earliest of (i) March 14, 2025, (ii) the date on which the Oramed Note has been repaid in full and (iii) the Management Sale Trigger Date (as defined therein), if any, and will expire on the date that is the fifth anniversary of the issuance date.</w:t>
      </w:r>
    </w:p>
    <w:p>
      <w:pPr>
        <w:spacing w:after="0" w:line="87" w:lineRule="exact"/>
        <w:rPr>
          <w:sz w:val="20"/>
          <w:szCs w:val="20"/>
          <w:color w:val="auto"/>
        </w:rPr>
      </w:pPr>
    </w:p>
    <w:p>
      <w:pPr>
        <w:ind w:left="1980" w:right="859"/>
        <w:spacing w:after="0" w:line="280" w:lineRule="auto"/>
        <w:rPr>
          <w:sz w:val="20"/>
          <w:szCs w:val="20"/>
          <w:color w:val="auto"/>
        </w:rPr>
      </w:pPr>
      <w:r>
        <w:rPr>
          <w:rFonts w:ascii="Times New Roman" w:cs="Times New Roman" w:eastAsia="Times New Roman" w:hAnsi="Times New Roman"/>
          <w:sz w:val="11"/>
          <w:szCs w:val="11"/>
          <w:color w:val="auto"/>
        </w:rPr>
        <w:t>The Company issued four Subsequent Penny Warrants, each for 2,125,000 shares of Common Stock, one of which shall vest and become exercisable on the date that is the later of (i) each of March 19, 2024 (the “CS-2 Warrant”), June 17, 2024 (the “CS-3 Warrant”), September 15, 2024 (the “CS-4 Warrant”) or December 14, 2024 (the “CS-5 Warrant”) (each, the “Subsequent Penny Warrant Vesting Date”) and (ii) the earliest of (A) March 14, 2025,</w:t>
      </w:r>
    </w:p>
    <w:p>
      <w:pPr>
        <w:ind w:left="5540" w:right="3979" w:hanging="3568"/>
        <w:spacing w:after="0" w:line="367" w:lineRule="auto"/>
        <w:tabs>
          <w:tab w:leader="none" w:pos="2171" w:val="left"/>
        </w:tabs>
        <w:numPr>
          <w:ilvl w:val="0"/>
          <w:numId w:val="1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date on which the Oramed Note has been repaid in full and (C) the Management F-36</w:t>
      </w:r>
    </w:p>
    <w:p>
      <w:pPr>
        <w:sectPr>
          <w:pgSz w:w="11900" w:h="16838" w:orient="portrait"/>
          <w:cols w:equalWidth="0" w:num="1">
            <w:col w:w="10159"/>
          </w:cols>
          <w:pgMar w:left="300" w:top="368"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999"/>
        <w:spacing w:after="0" w:line="265" w:lineRule="auto"/>
        <w:rPr>
          <w:sz w:val="20"/>
          <w:szCs w:val="20"/>
          <w:color w:val="auto"/>
        </w:rPr>
      </w:pPr>
      <w:r>
        <w:rPr>
          <w:rFonts w:ascii="Times New Roman" w:cs="Times New Roman" w:eastAsia="Times New Roman" w:hAnsi="Times New Roman"/>
          <w:sz w:val="12"/>
          <w:szCs w:val="12"/>
          <w:color w:val="auto"/>
        </w:rPr>
        <w:t>Sale Trigger Date (as defined therein), if any. Each Subsequent Penny Warrant will expire on the date that is the fifth anniversary of the issuance date; provided that, if the Oramed Note is repaid in full prior to the Subsequent Penny Warrant Vesting Date applicable to such Subsequent Penny Warrant, such Subsequent Penny Warrant will expire on the date the Oramed Note is repaid in full.</w:t>
      </w:r>
    </w:p>
    <w:p>
      <w:pPr>
        <w:spacing w:after="0" w:line="119" w:lineRule="exact"/>
        <w:rPr>
          <w:sz w:val="20"/>
          <w:szCs w:val="20"/>
          <w:color w:val="auto"/>
        </w:rPr>
      </w:pPr>
    </w:p>
    <w:p>
      <w:pPr>
        <w:ind w:left="1980" w:right="999"/>
        <w:spacing w:after="0" w:line="260" w:lineRule="auto"/>
        <w:rPr>
          <w:sz w:val="20"/>
          <w:szCs w:val="20"/>
          <w:color w:val="auto"/>
        </w:rPr>
      </w:pPr>
      <w:r>
        <w:rPr>
          <w:rFonts w:ascii="Times New Roman" w:cs="Times New Roman" w:eastAsia="Times New Roman" w:hAnsi="Times New Roman"/>
          <w:sz w:val="12"/>
          <w:szCs w:val="12"/>
          <w:color w:val="auto"/>
        </w:rPr>
        <w:t>Pursuant to a letter agreement the Company entered into with Oramed, dated as of August 30, 2024, the parties agreed that: (i) the CS-4 Warrant shall fully vest on August 30, 2024 and (ii) Oramed may immediately exercise the Oramed Warrants with respect to up to 5,437,500 shares of Common Stock. Pursuant to the Oramed Letter Agreement the Company entered into with Oramed, dated as of September 20, 2024, the parties agreed that Oramed may immediately exercise the CS-5 Warrant with respect to up to 1,062,500 shares of Common Stock.</w:t>
      </w:r>
    </w:p>
    <w:p>
      <w:pPr>
        <w:spacing w:after="0" w:line="122"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The exercise price of the Penny Warrants is $0.01 per share, subject to adjustments provided therein. The exercise price and number of shares of Common Stock issuable upon the exercise of the Penny Warrants will be subject to adjustment in the event of any stock dividend, stock split, recapitalization, reorganization or similar transaction, as described in the Penny Warrants; provided that there shall not be any adjustment to the exercise price of the Penny Warrants in the event the Company combines (by combination, reverse stock split or otherwise) its Common Stock into a smaller number of shares. Oramed may exercise the Penny Warrants by means of a “cashless exercise.” The Closing Penny Warrant and the Subsequent Penny Warrants utilize the same form of warrant.</w:t>
      </w:r>
    </w:p>
    <w:p>
      <w:pPr>
        <w:spacing w:after="0" w:line="125" w:lineRule="exact"/>
        <w:rPr>
          <w:sz w:val="20"/>
          <w:szCs w:val="20"/>
          <w:color w:val="auto"/>
        </w:rPr>
      </w:pPr>
    </w:p>
    <w:p>
      <w:pPr>
        <w:jc w:val="both"/>
        <w:ind w:left="1980" w:right="939"/>
        <w:spacing w:after="0" w:line="265" w:lineRule="auto"/>
        <w:rPr>
          <w:sz w:val="20"/>
          <w:szCs w:val="20"/>
          <w:color w:val="auto"/>
        </w:rPr>
      </w:pPr>
      <w:r>
        <w:rPr>
          <w:rFonts w:ascii="Times New Roman" w:cs="Times New Roman" w:eastAsia="Times New Roman" w:hAnsi="Times New Roman"/>
          <w:sz w:val="12"/>
          <w:szCs w:val="12"/>
          <w:color w:val="auto"/>
        </w:rPr>
        <w:t>The Penny Warrants may not be exercised if Oramed, together with its affiliates, would beneficially own in excess of 9.9% of the number of shares of Common Stock outstanding immediately after giving effect to such exercise (the “Oramed Beneficial Ownership Limitation”); provided, however, that upon 61 days’ prior notice to the Company, Oramed may increase or decrease the Oramed Beneficial Ownership Limitation.</w:t>
      </w:r>
    </w:p>
    <w:p>
      <w:pPr>
        <w:spacing w:after="0" w:line="119"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 xml:space="preserve">The Company accounted for the Penny Warrants as an equity classified instrument as they are indexed to the Company’s own stock and meet the conditions to be classified in equity under FASB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xml:space="preserve"> including sufficient available shares for the Company to settle the exercise of the warrants in shares. The Penny Warrants are recognized in additional paid-in capital in the Company’s consolidated balance sheets. The fair value of Penny Warrants as of September 21, 2023, the date of issuance, was $10.4 million.</w:t>
      </w:r>
    </w:p>
    <w:p>
      <w:pPr>
        <w:spacing w:after="0" w:line="122" w:lineRule="exact"/>
        <w:rPr>
          <w:sz w:val="20"/>
          <w:szCs w:val="20"/>
          <w:color w:val="auto"/>
        </w:rPr>
      </w:pPr>
    </w:p>
    <w:p>
      <w:pPr>
        <w:jc w:val="both"/>
        <w:ind w:left="1980" w:right="899"/>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2024, there were 6,500,000 Penny Warrants exercised by Oramed for net proceeds of approximately $0.1 million. As of December 31, 2024, there were 6,500,000 Penny Warrants outstanding that were fully vested and such warrants became exercisable on March 14, 2025.</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Excise Tax</w:t>
      </w:r>
    </w:p>
    <w:p>
      <w:pPr>
        <w:spacing w:after="0" w:line="80"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In December 2022, the Department of the Treasury and the Internal Revenue Service (the “IRS”) issued guidelines on the implementation of the new code section added by the Inflation Reduction Act of 2022, which imposes a 1% excise tax on the total fair market value of stock repurchases during the tax year, subject to adjustments. Pursuant to the terms of the Sorrento SPA, the Company repurchased the Purchased Securities from Sorrento. The total fair market value of the Purchased Securities was offset by the fair market value of the shares issued during the year ended December 31, 2023. The Company has accrued $1.3 million of the excise tax liability during the year ended December 31, 2023, which was recorded as accrued expenses under current liabilities on the consolidated balance sheet. During the year ended December 31, 2024, the Company made a total of $0.5 million payments for the excise tax. As of December 31, 2024, the remaining balance of the excise tax liability recorded as accrued expenses was $0.8 million.</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9. Stockholders’ Deficit</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SPAC Warrants</w:t>
      </w:r>
    </w:p>
    <w:p>
      <w:pPr>
        <w:spacing w:after="0" w:line="82"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Upon the completion of the Business Combination, the Company assumed the Private Warrants and the public warrants to purchase Common Stock, each with an exercise price of $11.50 per share (the “Public Warrants”, and together with the Private Warrants, the “SPAC Warrants”).</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F-37</w:t>
      </w:r>
    </w:p>
    <w:p>
      <w:pPr>
        <w:sectPr>
          <w:pgSz w:w="11900" w:h="16838" w:orient="portrait"/>
          <w:cols w:equalWidth="0" w:num="1">
            <w:col w:w="10159"/>
          </w:cols>
          <w:pgMar w:left="300" w:top="368"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both"/>
        <w:ind w:left="1980" w:right="1039"/>
        <w:spacing w:after="0" w:line="279" w:lineRule="auto"/>
        <w:rPr>
          <w:sz w:val="20"/>
          <w:szCs w:val="20"/>
          <w:color w:val="auto"/>
        </w:rPr>
      </w:pPr>
      <w:r>
        <w:rPr>
          <w:rFonts w:ascii="Times New Roman" w:cs="Times New Roman" w:eastAsia="Times New Roman" w:hAnsi="Times New Roman"/>
          <w:sz w:val="12"/>
          <w:szCs w:val="12"/>
          <w:color w:val="auto"/>
        </w:rPr>
        <w:t>Holders of the SPAC Warrants are entitled to acquire shares of Common Stock. The SPAC Warrants will expire five years after the completion of the Business Combination or earlier upon redemption or liquidation.</w:t>
      </w:r>
    </w:p>
    <w:p>
      <w:pPr>
        <w:spacing w:after="0" w:line="111" w:lineRule="exact"/>
        <w:rPr>
          <w:sz w:val="20"/>
          <w:szCs w:val="20"/>
          <w:color w:val="auto"/>
        </w:rPr>
      </w:pPr>
    </w:p>
    <w:p>
      <w:pPr>
        <w:jc w:val="both"/>
        <w:ind w:left="1980" w:right="1019"/>
        <w:spacing w:after="0" w:line="265" w:lineRule="auto"/>
        <w:rPr>
          <w:sz w:val="20"/>
          <w:szCs w:val="20"/>
          <w:color w:val="auto"/>
        </w:rPr>
      </w:pPr>
      <w:r>
        <w:rPr>
          <w:rFonts w:ascii="Times New Roman" w:cs="Times New Roman" w:eastAsia="Times New Roman" w:hAnsi="Times New Roman"/>
          <w:sz w:val="12"/>
          <w:szCs w:val="12"/>
          <w:color w:val="auto"/>
        </w:rPr>
        <w:t>If the reported last sale price of the Common Stock equals or exceeds $18.00 per share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w:t>
      </w:r>
    </w:p>
    <w:p>
      <w:pPr>
        <w:spacing w:after="0" w:line="119" w:lineRule="exact"/>
        <w:rPr>
          <w:sz w:val="20"/>
          <w:szCs w:val="20"/>
          <w:color w:val="auto"/>
        </w:rPr>
      </w:pPr>
    </w:p>
    <w:p>
      <w:pPr>
        <w:ind w:left="1980" w:right="1219"/>
        <w:spacing w:after="0" w:line="279" w:lineRule="auto"/>
        <w:rPr>
          <w:sz w:val="20"/>
          <w:szCs w:val="20"/>
          <w:color w:val="auto"/>
        </w:rPr>
      </w:pPr>
      <w:r>
        <w:rPr>
          <w:rFonts w:ascii="Times New Roman" w:cs="Times New Roman" w:eastAsia="Times New Roman" w:hAnsi="Times New Roman"/>
          <w:sz w:val="12"/>
          <w:szCs w:val="12"/>
          <w:color w:val="auto"/>
        </w:rPr>
        <w:t>If the Company calls the Public Warrants for redemption, the Company will have the option to require all holders that wish to exercise the Public Warrants to do so on a cashless basis. The Company will not be required to net cash settle the SPAC Warrants.</w:t>
      </w:r>
    </w:p>
    <w:p>
      <w:pPr>
        <w:spacing w:after="0" w:line="111" w:lineRule="exact"/>
        <w:rPr>
          <w:sz w:val="20"/>
          <w:szCs w:val="20"/>
          <w:color w:val="auto"/>
        </w:rPr>
      </w:pPr>
    </w:p>
    <w:p>
      <w:pPr>
        <w:jc w:val="both"/>
        <w:ind w:left="1980" w:right="1019"/>
        <w:spacing w:after="0" w:line="279" w:lineRule="auto"/>
        <w:rPr>
          <w:sz w:val="20"/>
          <w:szCs w:val="20"/>
          <w:color w:val="auto"/>
        </w:rPr>
      </w:pPr>
      <w:r>
        <w:rPr>
          <w:rFonts w:ascii="Times New Roman" w:cs="Times New Roman" w:eastAsia="Times New Roman" w:hAnsi="Times New Roman"/>
          <w:sz w:val="12"/>
          <w:szCs w:val="12"/>
          <w:color w:val="auto"/>
        </w:rPr>
        <w:t>The Public Warrants are equity-classified warrants and recognized in additional paid-in capital in the accompanying consolidated balance sheets. The Private Warrants are liability-classified warrants and are recognized as liabilities (refer to Notes 1 and 4).</w:t>
      </w:r>
    </w:p>
    <w:p>
      <w:pPr>
        <w:spacing w:after="0" w:line="111"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2023, the SPAC Warrants held by Sorrento were repurchased, and certain of such warrants transferred to Oramed, as a result of the Sorrento SPA (refer to Note 8). On September 20, 2024, the Company repurchased 4,000,000 of the SPAC Warrants held by Oramed (refer to Note 7). Following the repurchase, these warrants were cancelled.</w:t>
      </w:r>
    </w:p>
    <w:p>
      <w:pPr>
        <w:spacing w:after="0" w:line="1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of December 31, 2024 and 2023, there were 5,467,692 and 6,854,309 Public Warrants outstanding, respectively.</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of December 31, 2024 and 2023, there were 1,000,000 and 3,613,383 Private Warrants outstanding, respectively.</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Preferred Stock</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Company is authorized to issue 45,000,000 shares of preferred stock (the “Preferred Stock”) of which there are two series in total.</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Series A Preferred Stock</w:t>
      </w:r>
    </w:p>
    <w:p>
      <w:pPr>
        <w:spacing w:after="0" w:line="80"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As of December 31, 2024 and 2023, there were 29,057,097 shares of Series A Preferred Stock outstanding. On September 21, 2023, the Series A Preferred Stock was repurchased and derecognized for accounting purposes. The Series A Preferred Stock is currently held as collateral for the Oramed Note.</w:t>
      </w:r>
    </w:p>
    <w:p>
      <w:pPr>
        <w:spacing w:after="0" w:line="18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Series 1 Preferred Stock</w:t>
      </w:r>
    </w:p>
    <w:p>
      <w:pPr>
        <w:spacing w:after="0" w:line="80"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On October 27, 2024, the Board declared a stock dividend (the “Dividend”) consisting of an aggregate of 5,000,000 shares (the “Dividend Stock”) of Series 1 Mandatory Exchangeable Preferred Stock, par value $0.0001 per share (the “Series 1 Preferred Stock”), of the Company to record holders of certain of the Company’s securities as of the close of business on November 7, 2024 (which date was subsequently changed to April 11, 2025). Pursuant to the Certificate of Designation of Preferences, Rights and Limitations of Series 1 Mandatory Exchangeable Preferred Stock (the “Certificate of Designation”) filed with the Secretary of State of the State of Delaware on October 28, 2024, the Series 1 Preferred Stock ranks senior to the Common Stock but junior to all other series of Preferred Stock with respect to distributions of assets upon voluntary or involuntary liquidation, dissolution, or winding up of the affairs of the Company. The holders of Series 1 Preferred Stock may become entitled to a pro rata portion of the number of shares that represents the lesser of (a) 10% of the shares of the Semnur Common Stock (or such other securities into which or for which such stock may be exchanged or converted), held by the Company as of immediately prior to the Effective Time (as defined below) (taking into</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F-38</w:t>
      </w:r>
    </w:p>
    <w:p>
      <w:pPr>
        <w:sectPr>
          <w:pgSz w:w="11900" w:h="16838" w:orient="portrait"/>
          <w:cols w:equalWidth="0" w:num="1">
            <w:col w:w="10159"/>
          </w:cols>
          <w:pgMar w:left="300" w:top="368" w:right="1440"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39"/>
        <w:spacing w:after="0" w:line="254" w:lineRule="auto"/>
        <w:rPr>
          <w:sz w:val="20"/>
          <w:szCs w:val="20"/>
          <w:color w:val="auto"/>
        </w:rPr>
      </w:pPr>
      <w:r>
        <w:rPr>
          <w:rFonts w:ascii="Times New Roman" w:cs="Times New Roman" w:eastAsia="Times New Roman" w:hAnsi="Times New Roman"/>
          <w:sz w:val="12"/>
          <w:szCs w:val="12"/>
          <w:color w:val="auto"/>
        </w:rPr>
        <w:t>account any adjustment for any stock dividend, stock split, reverse stock split or similar transaction) and (b) that number of shares of Semnur Common Stock (or such other securities into which or for which such stock may be exchanged or converted) equal to $200,000,000 divided by the closing price of such Semnur Common Stock (or such other securities into which or for which such stock may be exchanged or converted) on any national securities exchange on which such shares are listed on the date that is 10 trading days prior to the Determination Date (as defined below), which shares shall be paid from the shares of Semnur Common Stock (or such other securities into which or for which such stock may be exchanged or converted) held by the Company as of immediately prior to the Effective Time (taking into account any adjustment for any stock dividend, stock split, reverse stock split or similar transaction). Furthermore, the holders of Series 1 Preferred Stock shall not be entitled to receive any dividends and shall not have any voting rights by virtue of their ownership of any shares of Series 1 Preferred Stock.</w:t>
      </w:r>
    </w:p>
    <w:p>
      <w:pPr>
        <w:spacing w:after="0" w:line="128"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color w:val="auto"/>
        </w:rPr>
        <w:t>For purposes of the Certificate of Designation, (a) “Effective Time” means the effective time of the Semnur Business Combination as determined under the terms of the Semnur Business Combination Agreement, (b) “Determination Date” means, if the Semnur Common Stock (or such other securities into which or for which such stock may be exchanged or converted) is listed for, and trading on, any national securities exchange, the date that is 15 trading days following the Registration Date, (c) “Registration Date” means the earlier of (i) the Effective Time, at which time the shares of Semnur Common Stock (or such other securities into which or for which such stock has been exchanged or converted) are registered under the Securities Exchange Act of 1934, as amended (the “Exchange Act”) and (ii) the time at which the Registration Statement is declared effective by the Securities and Exchange Commission and (d) “Registration Statement” means a registration statement, whether under the Exchange Act, or the Securities Act, that is filed by Semnur or any successor thereto or affiliate thereof with respect to the registration of the Semnur Common Stock or any securities into which or for which such stock may be exchanged or converted. The Board has the right to change the Record Date and the right to revoke the Dividend at any time prior to the payment date therefor. There can be no assurance that the Board will not revoke the Dividend or that, even if such Dividend is paid, the conditions for the mandatory exchange set forth in the Certificate of Designations will ever occur (including that the Registration Date shall have occurred on or before 11:59 p.m. Eastern time on October 28, 2025).</w:t>
      </w:r>
    </w:p>
    <w:p>
      <w:pPr>
        <w:spacing w:after="0" w:line="126" w:lineRule="exact"/>
        <w:rPr>
          <w:sz w:val="20"/>
          <w:szCs w:val="20"/>
          <w:color w:val="auto"/>
        </w:rPr>
      </w:pPr>
    </w:p>
    <w:p>
      <w:pPr>
        <w:jc w:val="both"/>
        <w:ind w:left="1980" w:right="1079"/>
        <w:spacing w:after="0" w:line="265" w:lineRule="auto"/>
        <w:rPr>
          <w:sz w:val="20"/>
          <w:szCs w:val="20"/>
          <w:color w:val="auto"/>
        </w:rPr>
      </w:pPr>
      <w:r>
        <w:rPr>
          <w:rFonts w:ascii="Times New Roman" w:cs="Times New Roman" w:eastAsia="Times New Roman" w:hAnsi="Times New Roman"/>
          <w:sz w:val="12"/>
          <w:szCs w:val="12"/>
          <w:color w:val="auto"/>
        </w:rPr>
        <w:t>The Series 1 Preferred Stock does not have any bifurcated features and is classified in equity at par value because the Company had an accumulated deficit position as of Dividend Stock declaration date. As of December 31, 2024 and as of the date of this filing, none of the Dividend Stock or any shares of the Series 1 Preferred Stock were issued or distributed.</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Treasury Stock</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of December 31, 2024 and 2023, there were 60,068,585 shares of Treasury Stock.</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A&amp;R Yorkville Purchase Agreement</w:t>
      </w:r>
    </w:p>
    <w:p>
      <w:pPr>
        <w:spacing w:after="0" w:line="82"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Pursuant to the A&amp;R Yorkville Purchase Agreement, the Company had the right, but not the obligation, in its sole and absolute discretion, to sell to Yorkville up to $500.0 million of shares of Common Stock at its request and subject to certain conditions by delivering written notice to Yorkville at any time until the first day of the month following the 36-month anniversary of the date on which the Company’s registration statement on Form S-1 registering such shares was declared effective by the SEC. Pursuant to the A&amp;R Yorkville Purchase Agreement, the shares of Common Stock, if any, that the Company elected to sell to Yorkville pursuant to a sale of Common Stock will be purchased at a price equal to 98% of the VWAP (as defined below) during the applicable pricing period for such advance, which shall be the period commencing upon receipt by Yorkville of an advance notice from the Company (or the open of regular trading hours, if later) and ending on 4:00 p.m. on the same day. For purposes of the A&amp;R Yorkville Purchase Agreement, “VWAP” means, for a specified period, the volume weighted average price of the Common Stock on the Nasdaq Capital Market for such period as reported by Bloomberg L.P. through its “AQR” function. Pursuant to the terms of the Original Purchase</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F-39</w:t>
      </w:r>
    </w:p>
    <w:p>
      <w:pPr>
        <w:sectPr>
          <w:pgSz w:w="11900" w:h="16838" w:orient="portrait"/>
          <w:cols w:equalWidth="0" w:num="1">
            <w:col w:w="10159"/>
          </w:cols>
          <w:pgMar w:left="300" w:top="368" w:right="1440"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Agreement, the Company filed a registration statement on Form S-1 (File No. 333-268607) (as it may be amended or supplemented from time to time, the “Yorkville Registration Statement”) related to the Original Purchase Agreement with the SEC on November 30, 2022 (following the execution of the Original Purchase Agreement). The Yorkville Registration Statement was initially declared effective by the SEC on December 9, 2022.</w:t>
      </w:r>
    </w:p>
    <w:p>
      <w:pPr>
        <w:spacing w:after="0" w:line="119" w:lineRule="exact"/>
        <w:rPr>
          <w:sz w:val="20"/>
          <w:szCs w:val="20"/>
          <w:color w:val="auto"/>
        </w:rPr>
      </w:pPr>
    </w:p>
    <w:p>
      <w:pPr>
        <w:ind w:left="1980" w:right="959"/>
        <w:spacing w:after="0" w:line="257" w:lineRule="auto"/>
        <w:rPr>
          <w:sz w:val="20"/>
          <w:szCs w:val="20"/>
          <w:color w:val="auto"/>
        </w:rPr>
      </w:pPr>
      <w:r>
        <w:rPr>
          <w:rFonts w:ascii="Times New Roman" w:cs="Times New Roman" w:eastAsia="Times New Roman" w:hAnsi="Times New Roman"/>
          <w:sz w:val="12"/>
          <w:szCs w:val="12"/>
          <w:color w:val="auto"/>
        </w:rPr>
        <w:t>In connection with the execution of the Original Purchase Agreement, the Company issued to Yorkville 250,000 shares of Common Stock. During the year ended December 31, 2024, the Company sold 96,982 shares of Common Stock pursuant to the A&amp;R Yorkville Purchase Agreement for aggregate net proceeds of $0.2 million. During the year ended December 31, 2023, the Company sold 11,552,074 shares of Common Stock pursuant to the A&amp;R Yorkville Purchase Agreement for aggregate net proceeds of $32.3 million. On, and effective as of, March 25, 2024, the Company and Yorkville mutually agreed to terminate the A&amp;R Yorkville Purchase Agreement.</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B. Riley Purchase Agreement</w:t>
      </w:r>
    </w:p>
    <w:p>
      <w:pPr>
        <w:spacing w:after="0" w:line="82"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Pursuant to the B. Riley Purchase Agreement, the Company had the right, but not the obligation, to sell to B. Riley up to $500.0 million of shares of Common Stock, subject to certain limitations and conditions set forth therein, from time to time at the Company’s sole and absolute discretion, during the term of the B. Riley Purchase Agreement.</w:t>
      </w:r>
    </w:p>
    <w:p>
      <w:pPr>
        <w:spacing w:after="0" w:line="119"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The Company’s right to sell shares of Common Stock pursuant to the B. Riley Purchase Agreement shall end on the first day of the month following the 36-month anniversary of the date on which the B. Riley Registration Statement (as defined below) was initially declared effective by the SEC. Pursuant to the terms of the B. Riley Purchase Agreement, the Company filed a registration statement on Form S-1 (File No. 333-269205) (as it may be amended or supplemented from time to time, the “B. Riley Registration Statement”) related to the B. Riley Purchase Agreement with the SEC on January 12, 2023 (following the execution of the B. Riley Purchase Agreement). The B. Riley Registration Statement was initially declared effective by the SEC on January 20, 2023.</w:t>
      </w:r>
    </w:p>
    <w:p>
      <w:pPr>
        <w:spacing w:after="0" w:line="125" w:lineRule="exact"/>
        <w:rPr>
          <w:sz w:val="20"/>
          <w:szCs w:val="20"/>
          <w:color w:val="auto"/>
        </w:rPr>
      </w:pPr>
    </w:p>
    <w:p>
      <w:pPr>
        <w:ind w:left="1980" w:right="919"/>
        <w:spacing w:after="0" w:line="279" w:lineRule="auto"/>
        <w:rPr>
          <w:sz w:val="20"/>
          <w:szCs w:val="20"/>
          <w:color w:val="auto"/>
        </w:rPr>
      </w:pPr>
      <w:r>
        <w:rPr>
          <w:rFonts w:ascii="Times New Roman" w:cs="Times New Roman" w:eastAsia="Times New Roman" w:hAnsi="Times New Roman"/>
          <w:sz w:val="12"/>
          <w:szCs w:val="12"/>
          <w:color w:val="auto"/>
        </w:rPr>
        <w:t>The shares of Common Stock, if any, that the Company elects to sell to B. Riley pursuant to an advance under the B. Riley Purchase Agreement will be purchased at a price equal to 98% of the VWAP (as defined in such agreement) during the pricing period prescribed therein.</w:t>
      </w:r>
    </w:p>
    <w:p>
      <w:pPr>
        <w:spacing w:after="0" w:line="111" w:lineRule="exact"/>
        <w:rPr>
          <w:sz w:val="20"/>
          <w:szCs w:val="20"/>
          <w:color w:val="auto"/>
        </w:rPr>
      </w:pPr>
    </w:p>
    <w:p>
      <w:pPr>
        <w:jc w:val="both"/>
        <w:ind w:left="1980" w:right="979"/>
        <w:spacing w:after="0" w:line="260" w:lineRule="auto"/>
        <w:rPr>
          <w:sz w:val="20"/>
          <w:szCs w:val="20"/>
          <w:color w:val="auto"/>
        </w:rPr>
      </w:pPr>
      <w:r>
        <w:rPr>
          <w:rFonts w:ascii="Times New Roman" w:cs="Times New Roman" w:eastAsia="Times New Roman" w:hAnsi="Times New Roman"/>
          <w:sz w:val="12"/>
          <w:szCs w:val="12"/>
          <w:color w:val="auto"/>
        </w:rPr>
        <w:t>In connection with the execution of the B. Riley Purchase Agreement, the Company issued to B. Riley 250,000 shares of Common Stock. During the year ended December 31, 2024, the Company did not sell any shares of Common Stock pursuant to the B. Riley Purchase Agreement. During the year ended December 31, 2023, the Company sold an aggregate of 1,414,554 shares of Common Stock for aggregate net proceeds of $3.2 million. On, and effective as of, February 16, 2024, the Company and B. Riley mutually agreed to terminate the B. Riley Purchase Agreement.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Stock Issued under Settlement Agreement with Hudson Bay Parties</w:t>
      </w:r>
    </w:p>
    <w:p>
      <w:pPr>
        <w:spacing w:after="0" w:line="82" w:lineRule="exact"/>
        <w:rPr>
          <w:sz w:val="20"/>
          <w:szCs w:val="20"/>
          <w:color w:val="auto"/>
        </w:rPr>
      </w:pPr>
    </w:p>
    <w:p>
      <w:pPr>
        <w:ind w:left="1980" w:right="879"/>
        <w:spacing w:after="0" w:line="255" w:lineRule="auto"/>
        <w:rPr>
          <w:sz w:val="20"/>
          <w:szCs w:val="20"/>
          <w:color w:val="auto"/>
        </w:rPr>
      </w:pPr>
      <w:r>
        <w:rPr>
          <w:rFonts w:ascii="Times New Roman" w:cs="Times New Roman" w:eastAsia="Times New Roman" w:hAnsi="Times New Roman"/>
          <w:sz w:val="12"/>
          <w:szCs w:val="12"/>
          <w:color w:val="auto"/>
        </w:rPr>
        <w:t>In August 2023, the Company, along with Hudson Bay Capital Management LP (“Hudson Bay”), Cove Lane Onshore Fund, LLC (“Cove Lane”), and HBC Investments LLC (“HBC” and collectively, the “Hudson Bay Parties”), entered into several agreements. Under these agreements, the Company agreed to issue and sell up to $118.6 million in securities and warrants to the Hudson Bay Parties. However, on September 15, 2023, a settlement agreement was reached and released all claims related to the previous agreements. The Company acknowledged payments of $8.65 million made to the Hudson Bay Parties as properly earned. To satisfy remaining obligations, the Company agreed to issue shares of Common Stock to Cove Lane and HBC worth $0.3 million and $0.5 million, respectively. This resulted in the issuance of an aggregate of 474,683 shares of Common Stock on September 25, 2023.</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F-40</w:t>
      </w:r>
    </w:p>
    <w:p>
      <w:pPr>
        <w:sectPr>
          <w:pgSz w:w="11900" w:h="16838" w:orient="portrait"/>
          <w:cols w:equalWidth="0" w:num="1">
            <w:col w:w="10159"/>
          </w:cols>
          <w:pgMar w:left="300" w:top="368" w:right="1440"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At-the-Market Sales Agreement</w:t>
      </w:r>
    </w:p>
    <w:p>
      <w:pPr>
        <w:spacing w:after="0" w:line="82"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On December 22, 2023, the Company entered into a Sales Agreement (the “ATM Sales Agreement”) with B. Riley Securities, Inc., Cantor Fitzgerald &amp; Co. and H.C. Wainwright &amp; Co., LLC (the “Sales Agents”), which agreement was voluntarily terminated by us effective as of March 5, 2025. Pursuant to the ATM Sales Agreement, the Company was able to offer and sell (the “Offering”) shares of Common Stock up to $170,000,000 (the “ATM Shares”), through or to the Sales Agents. The Company had no obligation to sell any shares of Common Stock under the ATM Sales Agreement and could suspend offers at any time.</w:t>
      </w:r>
    </w:p>
    <w:p>
      <w:pPr>
        <w:spacing w:after="0" w:line="125" w:lineRule="exact"/>
        <w:rPr>
          <w:sz w:val="20"/>
          <w:szCs w:val="20"/>
          <w:color w:val="auto"/>
        </w:rPr>
      </w:pPr>
    </w:p>
    <w:p>
      <w:pPr>
        <w:jc w:val="both"/>
        <w:ind w:left="1980" w:right="919"/>
        <w:spacing w:after="0" w:line="265" w:lineRule="auto"/>
        <w:rPr>
          <w:sz w:val="20"/>
          <w:szCs w:val="20"/>
          <w:color w:val="auto"/>
        </w:rPr>
      </w:pPr>
      <w:r>
        <w:rPr>
          <w:rFonts w:ascii="Times New Roman" w:cs="Times New Roman" w:eastAsia="Times New Roman" w:hAnsi="Times New Roman"/>
          <w:sz w:val="12"/>
          <w:szCs w:val="12"/>
          <w:color w:val="auto"/>
        </w:rPr>
        <w:t>The ATM Shares offered and sold in the Offering were issued pursuant to the Company’s shelf registration statement on Form S-3 (which was initially filed with the SEC on December 22, 2023, as amended, and declared effective on January 11, 2024 (File No. 333-276245)) (the “Shelf S-3 Registration Statement”). The ATM Shares were offered only by means of a prospectus forming a part of the Shelf S-3 Registration Statement.</w:t>
      </w:r>
    </w:p>
    <w:p>
      <w:pPr>
        <w:spacing w:after="0" w:line="119" w:lineRule="exact"/>
        <w:rPr>
          <w:sz w:val="20"/>
          <w:szCs w:val="20"/>
          <w:color w:val="auto"/>
        </w:rPr>
      </w:pPr>
    </w:p>
    <w:p>
      <w:pPr>
        <w:jc w:val="both"/>
        <w:ind w:left="1980" w:right="939"/>
        <w:spacing w:after="0" w:line="265" w:lineRule="auto"/>
        <w:rPr>
          <w:sz w:val="20"/>
          <w:szCs w:val="20"/>
          <w:color w:val="auto"/>
        </w:rPr>
      </w:pPr>
      <w:r>
        <w:rPr>
          <w:rFonts w:ascii="Times New Roman" w:cs="Times New Roman" w:eastAsia="Times New Roman" w:hAnsi="Times New Roman"/>
          <w:sz w:val="12"/>
          <w:szCs w:val="12"/>
          <w:color w:val="auto"/>
        </w:rPr>
        <w:t>The Sales Agents were entitled to a commission equal to 3.0% of the gross proceeds from each sale of shares of Common Stock. The Company agreed to reimburse the Sales Agents for certain expenses and has agreed to provide indemnification and contribution to the Sales Agents against certain civil liabilities, including liabilities under the Securities Act.</w:t>
      </w:r>
    </w:p>
    <w:p>
      <w:pPr>
        <w:spacing w:after="0" w:line="119" w:lineRule="exact"/>
        <w:rPr>
          <w:sz w:val="20"/>
          <w:szCs w:val="20"/>
          <w:color w:val="auto"/>
        </w:rPr>
      </w:pPr>
    </w:p>
    <w:p>
      <w:pPr>
        <w:ind w:left="1980" w:right="1459"/>
        <w:spacing w:after="0" w:line="279" w:lineRule="auto"/>
        <w:rPr>
          <w:sz w:val="20"/>
          <w:szCs w:val="20"/>
          <w:color w:val="auto"/>
        </w:rPr>
      </w:pPr>
      <w:r>
        <w:rPr>
          <w:rFonts w:ascii="Times New Roman" w:cs="Times New Roman" w:eastAsia="Times New Roman" w:hAnsi="Times New Roman"/>
          <w:sz w:val="12"/>
          <w:szCs w:val="12"/>
          <w:color w:val="auto"/>
        </w:rPr>
        <w:t>As of December 31, 2024, the Company sold 2,764,187 shares of Common Stock pursuant to the ATM Sales Agreement for net proceeds of approximately $2.7 million. As of December 31, 2023, no sales of Common Stock had been made under the ATM Sales Agreement.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February 2024 Bought Deal Offering Underwriting Agreement</w:t>
      </w:r>
    </w:p>
    <w:p>
      <w:pPr>
        <w:spacing w:after="0" w:line="82" w:lineRule="exact"/>
        <w:rPr>
          <w:sz w:val="20"/>
          <w:szCs w:val="20"/>
          <w:color w:val="auto"/>
        </w:rPr>
      </w:pPr>
    </w:p>
    <w:p>
      <w:pPr>
        <w:ind w:left="1980" w:right="1079"/>
        <w:spacing w:after="0" w:line="259" w:lineRule="auto"/>
        <w:rPr>
          <w:sz w:val="20"/>
          <w:szCs w:val="20"/>
          <w:color w:val="auto"/>
        </w:rPr>
      </w:pPr>
      <w:r>
        <w:rPr>
          <w:rFonts w:ascii="Times New Roman" w:cs="Times New Roman" w:eastAsia="Times New Roman" w:hAnsi="Times New Roman"/>
          <w:sz w:val="12"/>
          <w:szCs w:val="12"/>
          <w:color w:val="auto"/>
        </w:rPr>
        <w:t>On February 29, 2024, the Company entered into an underwriting agreement (the “February 2024 BDO Underwriting Agreement”) with Rodman &amp; Renshaw LLC and StockBlock, acting as representatives of the underwriters, to sell, in an underwritten offering (the “February 2024 BDO”),</w:t>
      </w:r>
    </w:p>
    <w:p>
      <w:pPr>
        <w:spacing w:after="0" w:line="1" w:lineRule="exact"/>
        <w:rPr>
          <w:sz w:val="20"/>
          <w:szCs w:val="20"/>
          <w:color w:val="auto"/>
        </w:rPr>
      </w:pPr>
    </w:p>
    <w:p>
      <w:pPr>
        <w:ind w:left="1980" w:right="899"/>
        <w:spacing w:after="0" w:line="289" w:lineRule="auto"/>
        <w:rPr>
          <w:sz w:val="20"/>
          <w:szCs w:val="20"/>
          <w:color w:val="auto"/>
        </w:rPr>
      </w:pPr>
      <w:r>
        <w:rPr>
          <w:rFonts w:ascii="Times New Roman" w:cs="Times New Roman" w:eastAsia="Times New Roman" w:hAnsi="Times New Roman"/>
          <w:sz w:val="11"/>
          <w:szCs w:val="11"/>
          <w:color w:val="auto"/>
        </w:rPr>
        <w:t>5,882,353 shares of Common Stock (the “February 2024 BDO Firm Shares”) and accompanying common warrants to purchase up to an aggregate of 5,882,353 shares of Common Stock (the “February 2024 BDO Firm Warrants”). The securities in the February 2024 BDO were offered and sold by us pursuant to the Shelf S-3 Registration Statement, a base prospectus dated January 11, 2024, and a final prospectus supplement dated February 29, 2024.</w:t>
      </w:r>
    </w:p>
    <w:p>
      <w:pPr>
        <w:spacing w:after="0" w:line="108"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The February 2024 BDO closed on March 5, 2024, and the combined price per Firm Share and accompanying February 2024 BDO Firm Warrant paid by the underwriters was $1.564, which amount reflects the combined public offering price of $1.70, less underwriting discounts and commissions. Pursuant to the February 2024 BDO Underwriting Agreement, the Company also granted the underwriters a 30-day option to purchase up to 882,352 additional shares of Common Stock and/or common warrants to purchase up to 882,352 shares of Common Stock (the “February 2024 BDO Optional Warrants”, and together with the February 2024 BDO Firm Warrants, the “Common Warrants”). The underwriters did not exercise this option and it expired on March 30, 2024. Subject to certain ownership limitations, the Common Warrants are immediately exercisable, set to expire five years later, with an exercise price of $1.70 per share, subject to adjustments. Additionally, the Company issued the representative warrants (the “February 2024 BDO Representative Warrants”) to the underwriters, allowing them to purchase up to 470,588 shares of Common Stock, with these warrants being immediately exercisable at $2.125 per share, representing 125% of the combined public offering price per Firm Share and accompanying February 2024 BDO Firm Warrant.</w:t>
      </w:r>
    </w:p>
    <w:p>
      <w:pPr>
        <w:spacing w:after="0" w:line="129" w:lineRule="exact"/>
        <w:rPr>
          <w:sz w:val="20"/>
          <w:szCs w:val="20"/>
          <w:color w:val="auto"/>
        </w:rPr>
      </w:pPr>
    </w:p>
    <w:p>
      <w:pPr>
        <w:ind w:left="1980" w:right="939"/>
        <w:spacing w:after="0" w:line="260" w:lineRule="auto"/>
        <w:rPr>
          <w:sz w:val="20"/>
          <w:szCs w:val="20"/>
          <w:color w:val="auto"/>
        </w:rPr>
      </w:pPr>
      <w:r>
        <w:rPr>
          <w:rFonts w:ascii="Times New Roman" w:cs="Times New Roman" w:eastAsia="Times New Roman" w:hAnsi="Times New Roman"/>
          <w:sz w:val="12"/>
          <w:szCs w:val="12"/>
          <w:color w:val="auto"/>
        </w:rPr>
        <w:t>The Company accounted for the February 2024 BDO Firm Warrants as a liability classified instrument (see Note 4) and the February 2024 BDO Representative Warrants as an equity classified instrument. The February 2024 BDO Representative Warrants are recognized in additional paid-in capital in the Company’s consolidated balance sheet. The issuance costs allocated to the equity component are recorded as the reduction of the offering proceeds and the amounts allocated to the liability component are expensed as incurred within the selling,</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F-41</w:t>
      </w:r>
    </w:p>
    <w:p>
      <w:pPr>
        <w:sectPr>
          <w:pgSz w:w="11900" w:h="16838" w:orient="portrait"/>
          <w:cols w:equalWidth="0" w:num="1">
            <w:col w:w="10159"/>
          </w:cols>
          <w:pgMar w:left="300" w:top="368" w:right="1440"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159"/>
        <w:spacing w:after="0" w:line="279" w:lineRule="auto"/>
        <w:rPr>
          <w:sz w:val="20"/>
          <w:szCs w:val="20"/>
          <w:color w:val="auto"/>
        </w:rPr>
      </w:pPr>
      <w:r>
        <w:rPr>
          <w:rFonts w:ascii="Times New Roman" w:cs="Times New Roman" w:eastAsia="Times New Roman" w:hAnsi="Times New Roman"/>
          <w:sz w:val="12"/>
          <w:szCs w:val="12"/>
          <w:color w:val="auto"/>
        </w:rPr>
        <w:t>general and administrative expenses in the Company’s consolidated statement of operations. The fair value of February 2024 BDO Representative Warrants as of the date of issuance was $0.3 million.</w:t>
      </w:r>
    </w:p>
    <w:p>
      <w:pPr>
        <w:spacing w:after="0" w:line="111" w:lineRule="exact"/>
        <w:rPr>
          <w:sz w:val="20"/>
          <w:szCs w:val="20"/>
          <w:color w:val="auto"/>
        </w:rPr>
      </w:pPr>
    </w:p>
    <w:p>
      <w:pPr>
        <w:ind w:left="1980" w:right="859"/>
        <w:spacing w:after="0" w:line="284" w:lineRule="auto"/>
        <w:rPr>
          <w:sz w:val="20"/>
          <w:szCs w:val="20"/>
          <w:color w:val="auto"/>
        </w:rPr>
      </w:pPr>
      <w:r>
        <w:rPr>
          <w:rFonts w:ascii="Times New Roman" w:cs="Times New Roman" w:eastAsia="Times New Roman" w:hAnsi="Times New Roman"/>
          <w:sz w:val="11"/>
          <w:szCs w:val="11"/>
          <w:color w:val="auto"/>
        </w:rPr>
        <w:t>On December 11, 2024, the Company entered into a warrant amendment (the “Warrant Amendment”) with one of its investors to exercise the outstanding number of the February 2024 BDO Firm Warrants that the Company issued to such investor in the February 2024 BDO. Pursuant to the Warrant Amendment, the investor agreed to exercise outstanding February 2024 BDO Firm Warrants to purchase an aggregate of 1,764,706 shares of Common Stock in cash at an amended exercise price of $0.59 per share. During the year ended December 31, 2024, there were 2,078,906 February 2024 BDO Firm Warrants exercised for total net proceeds of approximately $1.6 million, including the amended February 2024 BDO Firm Warrants. As of December 31, 2024, there were 3,803,447 February 2024 BDO Firm Warrants and 470,588 February 2024 BDO Representative Warrants outstanding.</w:t>
      </w:r>
    </w:p>
    <w:p>
      <w:pPr>
        <w:spacing w:after="0" w:line="1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April 2024 Registered Direct Offering</w:t>
      </w:r>
    </w:p>
    <w:p>
      <w:pPr>
        <w:spacing w:after="0" w:line="82" w:lineRule="exact"/>
        <w:rPr>
          <w:sz w:val="20"/>
          <w:szCs w:val="20"/>
          <w:color w:val="auto"/>
        </w:rPr>
      </w:pPr>
    </w:p>
    <w:p>
      <w:pPr>
        <w:ind w:left="1980" w:right="859"/>
        <w:spacing w:after="0" w:line="280" w:lineRule="auto"/>
        <w:rPr>
          <w:sz w:val="20"/>
          <w:szCs w:val="20"/>
          <w:color w:val="auto"/>
        </w:rPr>
      </w:pPr>
      <w:r>
        <w:rPr>
          <w:rFonts w:ascii="Times New Roman" w:cs="Times New Roman" w:eastAsia="Times New Roman" w:hAnsi="Times New Roman"/>
          <w:sz w:val="11"/>
          <w:szCs w:val="11"/>
          <w:color w:val="auto"/>
        </w:rPr>
        <w:t>On April 23, 2024, the Company entered into a securities purchase agreement (the “April 2024 RDO Purchase Agreement”) with the investor named therein, pursuant to which the Company agreed to sell and issue, in a registered direct offering (the “April 2024 RDO”): (i) an aggregate of 15,000,000 shares of Common Stock (the “RDO Shares”), and (ii) common warrants to purchase up to 15,000,000 shares of Common Stock (the “April 2024 RDO Common Warrants”). The offering price per RDO Share and accompanying April 2024 RDO Common Warrant to purchase one share of Common Stock was $1.00, for aggregate gross proceeds to the Company of $15,000,000, before deducting the placement agent fees and other offering expenses. Subject to certain ownership limitations, the April 2024 RDO Common Warrants are exercisable on the six-month anniversary from the date of issuance, will expire on the five-year anniversary of the date of issuance and have an exercise price of $1.10 per share. The exercise price of the April 2024 RDO Common Warrants is subject to certain adjustments, including stock dividends, stock splits, combinations and reclassifications of the Common Stock.</w:t>
      </w:r>
    </w:p>
    <w:p>
      <w:pPr>
        <w:spacing w:after="0" w:line="115"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StockBlock and its affiliate, Rodman &amp; Renshaw LLC, acted as exclusive placement agents (the “Placement Agents”) in connection with the April 2024 RDO. As compensation for such placement agent services, the Company paid the Placement Agents an aggregate cash fee equal to 8.0% of the gross proceeds actually received by the Company from the April 2024 RDO. The Company also reimbursed the Placement Agents $100,000 for actual, reasonable and documented fees and expenses, inclusive of fees and expenses of legal counsel and out-of-pocket expenses and $15,950 for clearing expenses. The Company has also agreed to issue to the Placement Agents or their respective designees common warrants, substantially in the form of the April 2024 RDO Common Warrants, to purchase up to 1,200,000 shares of Common Stock (the “April 2024 RDO Placement Agent Warrants”), representing up to 8.0% of the total number of the April 2024 RDO Shares issued in the April 2024 RDO. The April 2024 RDO Placement Agent Warrants have an exercise price of $1.25 per share (which represents 125% of the combined offering price per share of Common Stock and the April 2024 RDO Common Warrant sold in the April 2024 RDO), will become exercisable on the six-month anniversary of the date of issuance and expire five years from the commencement of sales in the April 2024 RDO.</w:t>
      </w:r>
    </w:p>
    <w:p>
      <w:pPr>
        <w:spacing w:after="0" w:line="129" w:lineRule="exact"/>
        <w:rPr>
          <w:sz w:val="20"/>
          <w:szCs w:val="20"/>
          <w:color w:val="auto"/>
        </w:rPr>
      </w:pPr>
    </w:p>
    <w:p>
      <w:pPr>
        <w:ind w:left="1980" w:right="859"/>
        <w:spacing w:after="0" w:line="286" w:lineRule="auto"/>
        <w:rPr>
          <w:sz w:val="20"/>
          <w:szCs w:val="20"/>
          <w:color w:val="auto"/>
        </w:rPr>
      </w:pPr>
      <w:r>
        <w:rPr>
          <w:rFonts w:ascii="Times New Roman" w:cs="Times New Roman" w:eastAsia="Times New Roman" w:hAnsi="Times New Roman"/>
          <w:sz w:val="11"/>
          <w:szCs w:val="11"/>
          <w:color w:val="auto"/>
        </w:rPr>
        <w:t>The Company accounted for the April 2024 RDO Common Warrants as a liability classified instrument (see Note 4) and the April 2024 RDO Placement Agent Warrants as an equity classified instrument. The April 2024 RDO Placement Agent Warrants are recognized in additional paid-in capital in the Company’s consolidated balance sheets. The issuance costs allocated to the equity component are recorded as the reduction of the offering proceeds and the amounts allocated to the liability component are expensed as incurred within the selling, general and administrative expenses in the Company’s consolidated statement of operations. The fair value of April 2024 RDO Placement Agent Warrants as of the date of issuance was $0.6 million.</w:t>
      </w:r>
    </w:p>
    <w:p>
      <w:pPr>
        <w:spacing w:after="0" w:line="110" w:lineRule="exact"/>
        <w:rPr>
          <w:sz w:val="20"/>
          <w:szCs w:val="20"/>
          <w:color w:val="auto"/>
        </w:rPr>
      </w:pPr>
    </w:p>
    <w:p>
      <w:pPr>
        <w:ind w:left="1980" w:right="1179"/>
        <w:spacing w:after="0" w:line="279" w:lineRule="auto"/>
        <w:rPr>
          <w:sz w:val="20"/>
          <w:szCs w:val="20"/>
          <w:color w:val="auto"/>
        </w:rPr>
      </w:pPr>
      <w:r>
        <w:rPr>
          <w:rFonts w:ascii="Times New Roman" w:cs="Times New Roman" w:eastAsia="Times New Roman" w:hAnsi="Times New Roman"/>
          <w:sz w:val="12"/>
          <w:szCs w:val="12"/>
          <w:color w:val="auto"/>
        </w:rPr>
        <w:t>As of December 31, 2024, there were 15,000,000 April 2024 RDO Common Warrants and 1,200,000 April 2024 RDO Placement Agent Warrants outstanding.</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F-42</w:t>
      </w:r>
    </w:p>
    <w:p>
      <w:pPr>
        <w:sectPr>
          <w:pgSz w:w="11900" w:h="16838" w:orient="portrait"/>
          <w:cols w:equalWidth="0" w:num="1">
            <w:col w:w="10159"/>
          </w:cols>
          <w:pgMar w:left="300" w:top="368" w:right="1440"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December 2024 Registered Direct Offering</w:t>
      </w:r>
    </w:p>
    <w:p>
      <w:pPr>
        <w:spacing w:after="0" w:line="82" w:lineRule="exact"/>
        <w:rPr>
          <w:sz w:val="20"/>
          <w:szCs w:val="20"/>
          <w:color w:val="auto"/>
        </w:rPr>
      </w:pPr>
    </w:p>
    <w:p>
      <w:pPr>
        <w:ind w:left="1980" w:right="879"/>
        <w:spacing w:after="0" w:line="253" w:lineRule="auto"/>
        <w:rPr>
          <w:sz w:val="20"/>
          <w:szCs w:val="20"/>
          <w:color w:val="auto"/>
        </w:rPr>
      </w:pPr>
      <w:r>
        <w:rPr>
          <w:rFonts w:ascii="Times New Roman" w:cs="Times New Roman" w:eastAsia="Times New Roman" w:hAnsi="Times New Roman"/>
          <w:sz w:val="12"/>
          <w:szCs w:val="12"/>
          <w:color w:val="auto"/>
        </w:rPr>
        <w:t>On December 11, 2024, the Company entered into a securities purchase agreement (the “December 2024 RDO Purchase Agreement”) with the investors named therein, pursuant to which the Company agreed to sell and issue, in a registered direct offering (the “December 2024 RDO”): (i) an aggregate of 26,355,347 shares of Common Stock, (ii) pre-funded warrants to purchase up to 2,401,132 shares of Common Stock (the “December 2024 RDO Pre-Funded Warrants”) and (iii) common warrants to purchase up to 57,512,958 shares of Common Stock (the “December 2024 RDO Common Warrants” and together with the December 2024 RDO Pre-Funded Warrants and the warrants issued to StockBlock pursuant to certain contractual obligations between the Company and StockBlock (the “StockBlock Warrants”), the “December 2024 RDO Warrants”). The combined offering price</w:t>
      </w:r>
    </w:p>
    <w:p>
      <w:pPr>
        <w:spacing w:after="0" w:line="2" w:lineRule="exact"/>
        <w:rPr>
          <w:sz w:val="20"/>
          <w:szCs w:val="20"/>
          <w:color w:val="auto"/>
        </w:rPr>
      </w:pPr>
    </w:p>
    <w:p>
      <w:pPr>
        <w:ind w:left="1980" w:right="979" w:hanging="8"/>
        <w:spacing w:after="0" w:line="252" w:lineRule="auto"/>
        <w:tabs>
          <w:tab w:leader="none" w:pos="2143"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 share of Common Stock and accompanying December 2024 RDO Common Warrants was $0.59 and (b) per December 2024 RDO Pre-Funded Warrant and accompanying December 2024 RDO Common Warrants was $0.5899. The aggregate gross proceeds to the Company from the December 2024 RDO were approximately $17.0 million, before deducting offering fees and expenses. The Company intends to use the net proceeds from the December 2024 RDO for working capital and general corporate purposes, which may include capital expenditures, commercialization expenditures, research and development expenditures, regulatory affairs expenditures, clinical trial expenditures, acquisitions of new technologies and investments, business combinations and the repayment, refinancing, redemption or repurchase of indebtedness or capital stock.</w:t>
      </w:r>
    </w:p>
    <w:p>
      <w:pPr>
        <w:spacing w:after="0" w:line="128"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The Company accounted for the December 2024 RDO Common Warrants and December 2024 RDO Pre-Funded Warrants as liability classified instruments (see Note 4) and the StockBlock Warrants as an equity classified instrument. The StockBlock Warrants are recognized in additional paid-in capital in the Company’s consolidated balance sheets. The issuance costs allocated to the equity component are recorded as the reduction of the offering proceeds and the amounts allocated to the liability component are expensed as incurred within the selling, general and administrative expenses in the Company’s consolidated statement of operations. The fair value of StockBlock Warrants as of the date of issuance was $1.3 million. On December 26, 2024, the December 2024 RDO Pre-Funded Warrants were exercised by the holder for total net proceeds of approximately $0.2 million.</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of December 31, 2024, there were 57,512,958 December 2024 RDO Common Warrants and 4,601,036 StockBlock Warrants outstanding.</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10. Stock Incentive and Employee Benefit Plan</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2017 Scilex Pharmaceuticals Inc. Equity Incentive Plan</w:t>
      </w:r>
    </w:p>
    <w:p>
      <w:pPr>
        <w:spacing w:after="0" w:line="82"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In June 2017, the Board of Directors of the Company adopted the Scilex Pharmaceuticals Inc. Equity Incentive Plan (the “Scilex Pharma 2017 Plan”). In connection with the corporate reorganization in March 2019, the Scilex Pharma 2017 Plan was terminated. Accordingly, after such time, no additional awards were granted under the Scilex Pharma 2017 Plan.</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2019 Stock Option Plan</w:t>
      </w:r>
    </w:p>
    <w:p>
      <w:pPr>
        <w:spacing w:after="0" w:line="82" w:lineRule="exact"/>
        <w:rPr>
          <w:sz w:val="20"/>
          <w:szCs w:val="20"/>
          <w:color w:val="auto"/>
        </w:rPr>
      </w:pPr>
    </w:p>
    <w:p>
      <w:pPr>
        <w:ind w:left="1980" w:right="979"/>
        <w:spacing w:after="0" w:line="260" w:lineRule="auto"/>
        <w:rPr>
          <w:sz w:val="20"/>
          <w:szCs w:val="20"/>
          <w:color w:val="auto"/>
        </w:rPr>
      </w:pPr>
      <w:r>
        <w:rPr>
          <w:rFonts w:ascii="Times New Roman" w:cs="Times New Roman" w:eastAsia="Times New Roman" w:hAnsi="Times New Roman"/>
          <w:sz w:val="12"/>
          <w:szCs w:val="12"/>
          <w:color w:val="auto"/>
        </w:rPr>
        <w:t>In May 2019, the Board of Directors of the Company adopted the Scilex Holding Company 2019 Stock Option Plan (the “2019 Stock Option Plan”), which subsequently was amended in December 2020. The 2019 Stock Option Plan was terminated at the closing of the Business Combination, and no further awards have been granted under the 2019 Stock Option Plan thereafter. However, the 2019 Stock Option Plan will continue to govern outstanding awards granted thereunder.</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2022 Equity Incentive Plan</w:t>
      </w:r>
    </w:p>
    <w:p>
      <w:pPr>
        <w:spacing w:after="0" w:line="82" w:lineRule="exact"/>
        <w:rPr>
          <w:sz w:val="20"/>
          <w:szCs w:val="20"/>
          <w:color w:val="auto"/>
        </w:rPr>
      </w:pPr>
    </w:p>
    <w:p>
      <w:pPr>
        <w:ind w:left="1980" w:right="999"/>
        <w:spacing w:after="0" w:line="300" w:lineRule="auto"/>
        <w:rPr>
          <w:sz w:val="20"/>
          <w:szCs w:val="20"/>
          <w:color w:val="auto"/>
        </w:rPr>
      </w:pPr>
      <w:r>
        <w:rPr>
          <w:rFonts w:ascii="Times New Roman" w:cs="Times New Roman" w:eastAsia="Times New Roman" w:hAnsi="Times New Roman"/>
          <w:sz w:val="11"/>
          <w:szCs w:val="11"/>
          <w:color w:val="auto"/>
        </w:rPr>
        <w:t>In October 2022, the Board of Directors of the Company adopted the Scilex Holding Company 2022 Equity Incentive Plan (the “Equity Incentive Plan”). As of December 31, 2024, a total of 20,208,843 shares of Common Stock were available and have been reserved for future issuance under the Equity Incentive Plan, which number of shares accounts for the automatic annual increase on January 1, 2024 pursuant to the Equity Incentive Plan.</w:t>
      </w:r>
    </w:p>
    <w:p>
      <w:pPr>
        <w:spacing w:after="0" w:line="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F-43</w:t>
      </w:r>
    </w:p>
    <w:p>
      <w:pPr>
        <w:sectPr>
          <w:pgSz w:w="11900" w:h="16838" w:orient="portrait"/>
          <w:cols w:equalWidth="0" w:num="1">
            <w:col w:w="10159"/>
          </w:cols>
          <w:pgMar w:left="300" w:top="368" w:right="1440"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2023 Inducement Plan</w:t>
      </w:r>
    </w:p>
    <w:p>
      <w:pPr>
        <w:spacing w:after="0" w:line="82" w:lineRule="exact"/>
        <w:rPr>
          <w:sz w:val="20"/>
          <w:szCs w:val="20"/>
          <w:color w:val="auto"/>
        </w:rPr>
      </w:pPr>
    </w:p>
    <w:p>
      <w:pPr>
        <w:ind w:left="1980" w:right="999"/>
        <w:spacing w:after="0" w:line="256" w:lineRule="auto"/>
        <w:rPr>
          <w:sz w:val="20"/>
          <w:szCs w:val="20"/>
          <w:color w:val="auto"/>
        </w:rPr>
      </w:pPr>
      <w:r>
        <w:rPr>
          <w:rFonts w:ascii="Times New Roman" w:cs="Times New Roman" w:eastAsia="Times New Roman" w:hAnsi="Times New Roman"/>
          <w:sz w:val="12"/>
          <w:szCs w:val="12"/>
          <w:color w:val="auto"/>
        </w:rPr>
        <w:t>On January 17, 2023, the compensation committee of the Board of Directors of the Company adopted the Scilex Holding Company 2023 Inducement Plan (the “Inducement Plan”). The Inducement Plan provides for the grant of equity-based awards in the form of non-statutory stock options, stock appreciation rights, restricted stock, restricted stock units, and other awards solely to prospective employees of the Company or an affiliate of the Company, provided that certain criteria are met. The initial maximum number of shares available for grant under the Inducement Plan is 1,400,000 shares of Common Stock (subject to adjustment for recapitalizations, stock splits, reorganizations and similar transactions). No awards were granted under the Inducement Plan during the years ended December 31, 2024 and 2023.</w:t>
      </w:r>
    </w:p>
    <w:p>
      <w:pPr>
        <w:spacing w:after="0" w:line="1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As of December 31, 2024, options to purchase 35,985,182 shares of Common Stock were outstanding under all equity incentive plans.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following table summarizes stock option activity during the year ended December 31, 2024 (shares in thousands):</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4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Weighted-</w:t>
            </w:r>
          </w:p>
        </w:tc>
        <w:tc>
          <w:tcPr>
            <w:tcW w:w="94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4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gridSpan w:val="2"/>
          </w:tcPr>
          <w:p>
            <w:pPr>
              <w:jc w:val="center"/>
              <w:ind w:right="44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Contractual</w:t>
            </w:r>
          </w:p>
        </w:tc>
        <w:tc>
          <w:tcPr>
            <w:tcW w:w="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500" w:type="dxa"/>
            <w:vAlign w:val="bottom"/>
          </w:tcPr>
          <w:p>
            <w:pPr>
              <w:spacing w:after="0"/>
              <w:rPr>
                <w:sz w:val="8"/>
                <w:szCs w:val="8"/>
                <w:color w:val="auto"/>
              </w:rPr>
            </w:pPr>
          </w:p>
        </w:tc>
        <w:tc>
          <w:tcPr>
            <w:tcW w:w="8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Options</w:t>
            </w:r>
          </w:p>
        </w:tc>
        <w:tc>
          <w:tcPr>
            <w:tcW w:w="80" w:type="dxa"/>
            <w:vAlign w:val="bottom"/>
          </w:tcPr>
          <w:p>
            <w:pPr>
              <w:spacing w:after="0"/>
              <w:rPr>
                <w:sz w:val="8"/>
                <w:szCs w:val="8"/>
                <w:color w:val="auto"/>
              </w:rPr>
            </w:pPr>
          </w:p>
        </w:tc>
        <w:tc>
          <w:tcPr>
            <w:tcW w:w="940" w:type="dxa"/>
            <w:vAlign w:val="bottom"/>
            <w:gridSpan w:val="2"/>
          </w:tcPr>
          <w:p>
            <w:pPr>
              <w:jc w:val="center"/>
              <w:ind w:right="500"/>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94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rPr>
              <w:t>Life,</w:t>
            </w:r>
          </w:p>
        </w:tc>
        <w:tc>
          <w:tcPr>
            <w:tcW w:w="460" w:type="dxa"/>
            <w:vAlign w:val="bottom"/>
            <w:gridSpan w:val="3"/>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8"/>
              </w:rPr>
              <w:t>Intrinsic</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5"/>
              </w:rPr>
              <w:t>in years</w:t>
            </w:r>
          </w:p>
        </w:tc>
        <w:tc>
          <w:tcPr>
            <w:tcW w:w="80" w:type="dxa"/>
            <w:vAlign w:val="bottom"/>
          </w:tcPr>
          <w:p>
            <w:pPr>
              <w:spacing w:after="0"/>
              <w:rPr>
                <w:sz w:val="10"/>
                <w:szCs w:val="10"/>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33"/>
        </w:trPr>
        <w:tc>
          <w:tcPr>
            <w:tcW w:w="3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December 31, 2023</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33,124</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w:t>
            </w:r>
          </w:p>
        </w:tc>
        <w:tc>
          <w:tcPr>
            <w:tcW w:w="4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w w:val="79"/>
              </w:rPr>
              <w:t>7.5</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7,459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4,515</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0.95</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8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(154)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1.48</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Forfeited/Cancelled</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(1,500)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4.59</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December 31, 2024</w:t>
            </w: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35,985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3.95</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3"/>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Vested and expected to vest as of December 31, 2024</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35,985</w:t>
            </w:r>
          </w:p>
        </w:tc>
        <w:tc>
          <w:tcPr>
            <w:tcW w:w="4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3.95</w:t>
            </w:r>
          </w:p>
        </w:tc>
        <w:tc>
          <w:tcPr>
            <w:tcW w:w="94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Exercisable as of December 31, 2024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25,452</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3.23</w:t>
            </w:r>
          </w:p>
        </w:tc>
        <w:tc>
          <w:tcPr>
            <w:tcW w:w="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980" w:right="859"/>
        <w:spacing w:after="0" w:line="257" w:lineRule="auto"/>
        <w:rPr>
          <w:sz w:val="20"/>
          <w:szCs w:val="20"/>
          <w:color w:val="auto"/>
        </w:rPr>
      </w:pPr>
      <w:r>
        <w:rPr>
          <w:rFonts w:ascii="Times New Roman" w:cs="Times New Roman" w:eastAsia="Times New Roman" w:hAnsi="Times New Roman"/>
          <w:sz w:val="12"/>
          <w:szCs w:val="12"/>
          <w:color w:val="auto"/>
        </w:rPr>
        <w:t>Intrinsic value is calculated as the difference between the exercise price of the underlying options and the fair value of the Common Stock for the options that had exercise prices that were lower than the per share fair value of the Common Stock as of the measurement date of the intrinsic value. The weighted-average grant date fair value per share of stock options granted during the years ended December 31, 2024 and 2023 was $0.67 and $3.24 per share, respectively. The total intrinsic values of options exercised during the years ended December 31, 2024 and 2023 were $47.3 thousand and $1.1 million, respectively. The maximum term of options granted under each of the equity incentive plans is ten years.</w:t>
      </w:r>
    </w:p>
    <w:p>
      <w:pPr>
        <w:spacing w:after="0" w:line="125"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Total stock-based compensation recorded within operating expenses was $15.7 million and $14.6 million for the years ended December 31, 2024 and 2023, respectively.</w:t>
      </w:r>
    </w:p>
    <w:p>
      <w:pPr>
        <w:spacing w:after="0" w:line="111" w:lineRule="exact"/>
        <w:rPr>
          <w:sz w:val="20"/>
          <w:szCs w:val="20"/>
          <w:color w:val="auto"/>
        </w:rPr>
      </w:pPr>
    </w:p>
    <w:p>
      <w:pPr>
        <w:ind w:left="1980" w:right="1319"/>
        <w:spacing w:after="0" w:line="279" w:lineRule="auto"/>
        <w:rPr>
          <w:sz w:val="20"/>
          <w:szCs w:val="20"/>
          <w:color w:val="auto"/>
        </w:rPr>
      </w:pPr>
      <w:r>
        <w:rPr>
          <w:rFonts w:ascii="Times New Roman" w:cs="Times New Roman" w:eastAsia="Times New Roman" w:hAnsi="Times New Roman"/>
          <w:sz w:val="12"/>
          <w:szCs w:val="12"/>
          <w:color w:val="auto"/>
        </w:rPr>
        <w:t>The total unrecognized compensation costs related to unvested employee and non-employee stock option grants as of December 31, 2024 were $27.8 million, which the Company expects to recognize over a weighted-average period of approximately 2.3 years.</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Scilex Holding Company 2022 Employee Stock Purchase Plan</w:t>
      </w:r>
    </w:p>
    <w:p>
      <w:pPr>
        <w:spacing w:after="0" w:line="82" w:lineRule="exact"/>
        <w:rPr>
          <w:sz w:val="20"/>
          <w:szCs w:val="20"/>
          <w:color w:val="auto"/>
        </w:rPr>
      </w:pPr>
    </w:p>
    <w:p>
      <w:pPr>
        <w:jc w:val="both"/>
        <w:ind w:left="1980" w:right="859"/>
        <w:spacing w:after="0" w:line="265" w:lineRule="auto"/>
        <w:rPr>
          <w:sz w:val="20"/>
          <w:szCs w:val="20"/>
          <w:color w:val="auto"/>
        </w:rPr>
      </w:pPr>
      <w:r>
        <w:rPr>
          <w:rFonts w:ascii="Times New Roman" w:cs="Times New Roman" w:eastAsia="Times New Roman" w:hAnsi="Times New Roman"/>
          <w:sz w:val="12"/>
          <w:szCs w:val="12"/>
          <w:color w:val="auto"/>
        </w:rPr>
        <w:t>In October 2022, the Board of Directors of the Company adopted the Scilex Holding Company 2022 Employee Stock Purchase Plan (the “ESPP”). The purchase price of the Common Stock is equal to 85% of the lesser of the market value of such shares at the beginning of an offering period or the date of purchase. As of December 31, 2024, the total number of shares of Common Stock that may be issued under the ESPP shall not exceed</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F-44</w:t>
      </w:r>
    </w:p>
    <w:p>
      <w:pPr>
        <w:sectPr>
          <w:pgSz w:w="11900" w:h="16838" w:orient="portrait"/>
          <w:cols w:equalWidth="0" w:num="1">
            <w:col w:w="10159"/>
          </w:cols>
          <w:pgMar w:left="300" w:top="368" w:right="1440"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4,476,601, which was increased from 2,875,759 shares as a result of automatic annual increase on January 1, 2024.</w:t>
      </w:r>
    </w:p>
    <w:p>
      <w:pPr>
        <w:spacing w:after="0" w:line="150"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Total stock-based compensation recorded as operating expense for the ESPP was $242.8 thousand and $21.0 thousand for the years ended December 31, 2024 and 2023, respectively.</w:t>
      </w:r>
    </w:p>
    <w:p>
      <w:pPr>
        <w:spacing w:after="0" w:line="11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There were 334,326 and nil shares of Common Stock issued under the ESPP during the years ended December 31, 2024 and 2023, respectively.</w:t>
      </w:r>
    </w:p>
    <w:p>
      <w:pPr>
        <w:spacing w:after="0" w:line="2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Valuation Assumptions</w:t>
      </w:r>
    </w:p>
    <w:p>
      <w:pPr>
        <w:spacing w:after="0" w:line="82" w:lineRule="exact"/>
        <w:rPr>
          <w:sz w:val="20"/>
          <w:szCs w:val="20"/>
          <w:color w:val="auto"/>
        </w:rPr>
      </w:pPr>
    </w:p>
    <w:p>
      <w:pPr>
        <w:ind w:left="1980" w:right="1119"/>
        <w:spacing w:after="0" w:line="279" w:lineRule="auto"/>
        <w:rPr>
          <w:sz w:val="20"/>
          <w:szCs w:val="20"/>
          <w:color w:val="auto"/>
        </w:rPr>
      </w:pPr>
      <w:r>
        <w:rPr>
          <w:rFonts w:ascii="Times New Roman" w:cs="Times New Roman" w:eastAsia="Times New Roman" w:hAnsi="Times New Roman"/>
          <w:sz w:val="12"/>
          <w:szCs w:val="12"/>
          <w:color w:val="auto"/>
        </w:rPr>
        <w:t>The Company calculates the fair value of stock options and ESPP awards granted to employees and nonemployees using the Black-Scholes option-pricing method. The Black-Scholes option-pricing method requires the use of subjective assumptions.</w:t>
      </w:r>
    </w:p>
    <w:p>
      <w:pPr>
        <w:spacing w:after="0" w:line="111"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The following assumptions were used in the Black-Scholes options pricing model to estimate stock-based compensation on the date of grant for stock options and ESPP:</w:t>
      </w:r>
    </w:p>
    <w:p>
      <w:pPr>
        <w:spacing w:after="0" w:line="108"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r>
      <w:tr>
        <w:trPr>
          <w:trHeight w:val="115"/>
        </w:trPr>
        <w:tc>
          <w:tcPr>
            <w:tcW w:w="3860" w:type="dxa"/>
            <w:vAlign w:val="bottom"/>
          </w:tcPr>
          <w:p>
            <w:pPr>
              <w:spacing w:after="0"/>
              <w:rPr>
                <w:sz w:val="10"/>
                <w:szCs w:val="10"/>
                <w:color w:val="auto"/>
              </w:rPr>
            </w:pP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3"/>
              </w:rPr>
              <w:t>December 31, 2024</w:t>
            </w:r>
          </w:p>
        </w:tc>
      </w:tr>
      <w:tr>
        <w:trPr>
          <w:trHeight w:val="124"/>
        </w:trPr>
        <w:tc>
          <w:tcPr>
            <w:tcW w:w="38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Stock options:</w:t>
            </w:r>
          </w:p>
        </w:tc>
        <w:tc>
          <w:tcPr>
            <w:tcW w:w="10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3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Expected dividend yield</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40" w:type="dxa"/>
            <w:vAlign w:val="bottom"/>
          </w:tcPr>
          <w:p>
            <w:pPr>
              <w:spacing w:after="0"/>
              <w:rPr>
                <w:sz w:val="12"/>
                <w:szCs w:val="12"/>
                <w:color w:val="auto"/>
              </w:rPr>
            </w:pPr>
          </w:p>
        </w:tc>
      </w:tr>
      <w:tr>
        <w:trPr>
          <w:trHeight w:val="144"/>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Expected volatility</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72.00%–119.08%</w:t>
            </w:r>
          </w:p>
        </w:tc>
      </w:tr>
      <w:tr>
        <w:trPr>
          <w:trHeight w:val="144"/>
        </w:trPr>
        <w:tc>
          <w:tcPr>
            <w:tcW w:w="3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Risk-free interest rate</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3.79%–4.71%</w:t>
            </w:r>
          </w:p>
        </w:tc>
      </w:tr>
      <w:tr>
        <w:trPr>
          <w:trHeight w:val="144"/>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Term of options (in years)</w:t>
            </w:r>
          </w:p>
        </w:tc>
        <w:tc>
          <w:tcPr>
            <w:tcW w:w="1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3.0–6.3</w:t>
            </w:r>
          </w:p>
        </w:tc>
      </w:tr>
      <w:tr>
        <w:trPr>
          <w:trHeight w:val="144"/>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Employee stock purchase plan:</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Expected dividend yield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0.00%</w:t>
            </w:r>
          </w:p>
        </w:tc>
        <w:tc>
          <w:tcPr>
            <w:tcW w:w="40" w:type="dxa"/>
            <w:vAlign w:val="bottom"/>
            <w:shd w:val="clear" w:color="auto" w:fill="CCEEFF"/>
          </w:tcPr>
          <w:p>
            <w:pPr>
              <w:spacing w:after="0"/>
              <w:rPr>
                <w:sz w:val="12"/>
                <w:szCs w:val="12"/>
                <w:color w:val="auto"/>
              </w:rPr>
            </w:pPr>
          </w:p>
        </w:tc>
      </w:tr>
      <w:tr>
        <w:trPr>
          <w:trHeight w:val="144"/>
        </w:trPr>
        <w:tc>
          <w:tcPr>
            <w:tcW w:w="3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Expected volatility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129.30%</w:t>
            </w:r>
          </w:p>
        </w:tc>
        <w:tc>
          <w:tcPr>
            <w:tcW w:w="40" w:type="dxa"/>
            <w:vAlign w:val="bottom"/>
          </w:tcPr>
          <w:p>
            <w:pPr>
              <w:spacing w:after="0"/>
              <w:rPr>
                <w:sz w:val="12"/>
                <w:szCs w:val="12"/>
                <w:color w:val="auto"/>
              </w:rPr>
            </w:pPr>
          </w:p>
        </w:tc>
      </w:tr>
      <w:tr>
        <w:trPr>
          <w:trHeight w:val="144"/>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Risk-free interest rate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5.39%</w:t>
            </w:r>
          </w:p>
        </w:tc>
        <w:tc>
          <w:tcPr>
            <w:tcW w:w="40" w:type="dxa"/>
            <w:vAlign w:val="bottom"/>
            <w:shd w:val="clear" w:color="auto" w:fill="CCEEFF"/>
          </w:tcPr>
          <w:p>
            <w:pPr>
              <w:spacing w:after="0"/>
              <w:rPr>
                <w:sz w:val="12"/>
                <w:szCs w:val="12"/>
                <w:color w:val="auto"/>
              </w:rPr>
            </w:pPr>
          </w:p>
        </w:tc>
      </w:tr>
      <w:tr>
        <w:trPr>
          <w:trHeight w:val="155"/>
        </w:trPr>
        <w:tc>
          <w:tcPr>
            <w:tcW w:w="38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Expected life (in years)</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0.50</w:t>
            </w:r>
          </w:p>
        </w:tc>
        <w:tc>
          <w:tcPr>
            <w:tcW w:w="40" w:type="dxa"/>
            <w:vAlign w:val="bottom"/>
          </w:tcPr>
          <w:p>
            <w:pPr>
              <w:spacing w:after="0"/>
              <w:rPr>
                <w:sz w:val="13"/>
                <w:szCs w:val="13"/>
                <w:color w:val="auto"/>
              </w:rPr>
            </w:pPr>
          </w:p>
        </w:tc>
      </w:tr>
    </w:tbl>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Semnur 2024 Stock Option Plan</w:t>
      </w:r>
    </w:p>
    <w:p>
      <w:pPr>
        <w:spacing w:after="0" w:line="82" w:lineRule="exact"/>
        <w:rPr>
          <w:sz w:val="20"/>
          <w:szCs w:val="20"/>
          <w:color w:val="auto"/>
        </w:rPr>
      </w:pPr>
    </w:p>
    <w:p>
      <w:pPr>
        <w:ind w:left="1980" w:right="859"/>
        <w:spacing w:after="0" w:line="254" w:lineRule="auto"/>
        <w:rPr>
          <w:sz w:val="20"/>
          <w:szCs w:val="20"/>
          <w:color w:val="auto"/>
        </w:rPr>
      </w:pPr>
      <w:r>
        <w:rPr>
          <w:rFonts w:ascii="Times New Roman" w:cs="Times New Roman" w:eastAsia="Times New Roman" w:hAnsi="Times New Roman"/>
          <w:sz w:val="12"/>
          <w:szCs w:val="12"/>
          <w:color w:val="auto"/>
        </w:rPr>
        <w:t>Concurrent with the signing of the Semnur Business Combination Agreement, the Board, the Company (as the sole stockholder of Semnur) and the board of directors of Semnur approved the 2024 Stock Option Plan (“Semnur 2024 Plan”). Under the Semnur 2024 Plan, 40,000,000 shares of Semnur Common Stock were reserved for future issuance and nonstatutory stock options (“NSOs”) to purchase the same amount of Semnur Common Stock were granted to certain executive officers of Semnur. The NSOs were granted on August 30, 2024 and expire on August 30, 2034. No expense was recorded in connection with the NSOs as of December 31, 2024, as until the date on which all payments and all obligations under the Oramed Note have been paid in full in cash, such options will not be or become exercisable, eligible for exchange, redemption or repurchase, eligible to participate in any dividends or distributions or have any voting rights in respect of the Company or any of its current or future subsidiaries of the Company, and following the closing of the transactions contemplated by the Semnur Business Combination Agreement, the Company, Denali or any of their respective current and future subsidiaries, successors and assigns.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Employee Benefit Plan</w:t>
      </w:r>
    </w:p>
    <w:p>
      <w:pPr>
        <w:spacing w:after="0" w:line="82"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The Company maintains a defined contribution 401(k) plan available to eligible employees. Employee contributions are voluntary and are determined on an individual basis, limited to the maximum amount allowable under federal tax regulations. The Company made matching contributions to the 401(k) plan totaling $0.6 million and $0.5 million for the years ended December 31, 2024 and 2023, respectively.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F-45</w:t>
      </w:r>
    </w:p>
    <w:p>
      <w:pPr>
        <w:sectPr>
          <w:pgSz w:w="11900" w:h="16838" w:orient="portrait"/>
          <w:cols w:equalWidth="0" w:num="1">
            <w:col w:w="10159"/>
          </w:cols>
          <w:pgMar w:left="300" w:top="368" w:right="1440"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Retainer Shares</w:t>
      </w:r>
    </w:p>
    <w:p>
      <w:pPr>
        <w:spacing w:after="0" w:line="8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On February 13, 2023, the Company entered into a Stock Issuance Agreement (the “2023 SIA”) with a law firm for the provision of legal services to the Company. Under the 2023 SIA, the Company issued 4,000,000 shares of Common Stock to the law firm. On July 1, 2024, the Company entered into another Stock Issuance Agreement (the “2024 SIA”) with the same law firm for the provision of legal services to the Company. Under the 2024 SIA, the Company issued 10,000,000 shares of Common Stock to the same law firm. All such shares are held by the law firm as collateral for current and future outstanding legal fees due from the Company (the “Retainer Shares”). At the option of the law firm, the Retainer Shares may be sold and the net proceeds may be applied against the outstanding legal fees. The Retainer Shares not applied against the outstanding legal fees due will be returned to the Company. As of December 31, 2024, it was not probable that any of the Retainer Shares would be applied against any outstanding legal fees.</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11. Commitments and Contingencies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Product Development Agreement</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In February 2013, Scilex Pharma became a party to a product development agreement (as amended, the “Product Development Agreement”) with Itochu and Oishi Koseido Co., Ltd. (“Oishi,” and together with Itochu, the “Developers”), pursuant to which the Developers will manufacture and supply lidocaine tape products, including ZTlido and SP-103 (the “Products”), for Scilex Pharma. The Developers initially developed and have intellectual property rights relating to the Products. Pursuant to the Product Development Agreement, Scilex Pharma acquired an exclusive right to develop and commercialize the Products worldwide except for Japan. The Developers are responsible for sourcing and supplying lidocaine for development and commercialization purposes.</w:t>
      </w:r>
    </w:p>
    <w:p>
      <w:pPr>
        <w:spacing w:after="0" w:line="125" w:lineRule="exact"/>
        <w:rPr>
          <w:sz w:val="20"/>
          <w:szCs w:val="20"/>
          <w:color w:val="auto"/>
        </w:rPr>
      </w:pPr>
    </w:p>
    <w:p>
      <w:pPr>
        <w:ind w:left="1980" w:right="859"/>
        <w:spacing w:after="0" w:line="253" w:lineRule="auto"/>
        <w:rPr>
          <w:sz w:val="20"/>
          <w:szCs w:val="20"/>
          <w:color w:val="auto"/>
        </w:rPr>
      </w:pPr>
      <w:r>
        <w:rPr>
          <w:rFonts w:ascii="Times New Roman" w:cs="Times New Roman" w:eastAsia="Times New Roman" w:hAnsi="Times New Roman"/>
          <w:sz w:val="12"/>
          <w:szCs w:val="12"/>
          <w:color w:val="auto"/>
        </w:rPr>
        <w:t>Pursuant to the Product Development Agreement, Scilex Pharma is required to make aggregate royalty payments between 25% and 35% to the Developers based on net profits. For each of the years ended December 31, 2024 and 2023, Scilex Pharma made royalty payments in the amount of $8.3 million. As of December 31, 2024 and 2023, Scilex Pharma had ending balances of accrued royalty payables of $4.0 million and $2.4 million, respectively. Total royalty expense recorded within cost of revenue was $9.9 million and $8.5 million for the years ended December 31, 2024 and 2023, respectively. Net profits are defined as net sales, less cost of goods and marketing expenses. Net sales are defined as total gross sales of any Product, less all applicable deductions, to the extent accrued, paid or allowed in the ordinary course of business with respect to the sale of such Product, and to the extent that they are in accordance with GAAP. If Scilex Pharma were to sublicense the licensed technologies, the Developers will receive the same proportion of any sublicensing fees received therefrom. The Product Development Agreement will continue in full force and effect until October 2, 2028, the date that is ten years from the date of the first commercial sale of ZTlido. The Product Development Agreement will renew automatically for subsequent successive one-year renewal periods unless Scilex Pharma or the Developers terminate it upon six months’ written notice.</w:t>
      </w:r>
    </w:p>
    <w:p>
      <w:pPr>
        <w:spacing w:after="0" w:line="129"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On February 16, 2017, Scilex Pharma entered into a Commercial Supply Agreement (as amended, the “Supply Agreement”) with the two Developers to provide commercial supply of ZTlido and SP-103 to Scilex Pharma. The Supply Agreement contains standard terms regarding term, termination, payment, product quality and supply. In addition, the agreement provides additional terms regarding the calculation and amount of marketing expenses that may be deducted from net sales for purposes of determining the amount of net profit under the Product Development Agreement.</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Litigation</w:t>
      </w:r>
    </w:p>
    <w:p>
      <w:pPr>
        <w:spacing w:after="0" w:line="82" w:lineRule="exact"/>
        <w:rPr>
          <w:sz w:val="20"/>
          <w:szCs w:val="20"/>
          <w:color w:val="auto"/>
        </w:rPr>
      </w:pPr>
    </w:p>
    <w:p>
      <w:pPr>
        <w:ind w:left="1980" w:right="1219"/>
        <w:spacing w:after="0" w:line="265" w:lineRule="auto"/>
        <w:rPr>
          <w:sz w:val="20"/>
          <w:szCs w:val="20"/>
          <w:color w:val="auto"/>
        </w:rPr>
      </w:pPr>
      <w:r>
        <w:rPr>
          <w:rFonts w:ascii="Times New Roman" w:cs="Times New Roman" w:eastAsia="Times New Roman" w:hAnsi="Times New Roman"/>
          <w:sz w:val="12"/>
          <w:szCs w:val="12"/>
          <w:color w:val="auto"/>
        </w:rPr>
        <w:t>In the normal course of business, the Company may be named as a defendant in one or more lawsuits. Other than the following four lawsuits, the Company is not a party to any outstanding material litigation and management is not aware of any legal proceedings that, individually or in the aggregate, are deemed to be material to the Company’s financial condition or results of operations.</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F-46</w:t>
      </w:r>
    </w:p>
    <w:p>
      <w:pPr>
        <w:sectPr>
          <w:pgSz w:w="11900" w:h="16838" w:orient="portrait"/>
          <w:cols w:equalWidth="0" w:num="1">
            <w:col w:w="10159"/>
          </w:cols>
          <w:pgMar w:left="300" w:top="368" w:right="1440"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From time to time the Company may become involved in various legal proceedings, including those that may arise in the ordinary course of business.</w:t>
      </w:r>
    </w:p>
    <w:p>
      <w:pPr>
        <w:spacing w:after="0" w:line="2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Sanofi-Aventis U.S. LLC and Hisamitsu America, Inc. Litigation</w:t>
      </w:r>
    </w:p>
    <w:p>
      <w:pPr>
        <w:spacing w:after="0" w:line="80" w:lineRule="exact"/>
        <w:rPr>
          <w:sz w:val="20"/>
          <w:szCs w:val="20"/>
          <w:color w:val="auto"/>
        </w:rPr>
      </w:pPr>
    </w:p>
    <w:p>
      <w:pPr>
        <w:ind w:left="1980" w:right="879"/>
        <w:spacing w:after="0" w:line="254" w:lineRule="auto"/>
        <w:rPr>
          <w:sz w:val="20"/>
          <w:szCs w:val="20"/>
          <w:color w:val="auto"/>
        </w:rPr>
      </w:pPr>
      <w:r>
        <w:rPr>
          <w:rFonts w:ascii="Times New Roman" w:cs="Times New Roman" w:eastAsia="Times New Roman" w:hAnsi="Times New Roman"/>
          <w:sz w:val="12"/>
          <w:szCs w:val="12"/>
          <w:color w:val="auto"/>
        </w:rPr>
        <w:t>On February 23, 2021, the Company filed an action (the “OTC Action”) in the U.S. District Court for the Northern District of California against Sanofi-Aventis U.S. LLC and Hisamitsu America, Inc., two manufacturers of over-the-counter (“OTC”) lidocaine patch products, alleging, among other things, false and deceptive advertising and unfair competition under the Lanham Act and California state laws by those companies regarding their respective OTC patch products. This lawsuit sought, among other relief, damages and an injunction enjoining the defendants from continuing to make false or misleading statements of fact about their respective OTC lidocaine patch products. The defendants filed motions to dismiss, which narrowed slightly the Company’s claims, but which motions the court largely rejected. Discovery proceeded. On January 26 and February 2, 2024, Scilex Pharma entered into two separate settlement agreements and mutual releases with the two manufacturers that resolved the OTC Action. The terms of those agreements are confidential.</w:t>
      </w:r>
    </w:p>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Former Employee Action</w:t>
      </w:r>
    </w:p>
    <w:p>
      <w:pPr>
        <w:spacing w:after="0" w:line="8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On March 12, 2021, Scilex Pharma and Sorrento (the “Plaintiffs”) filed an action (the “Former Employee Action”) in the Delaware Court of Chancery</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against the former President of Scilex Pharma, Anthony Mack, and Virpax Pharmaceuticals, Inc. (“Virpax”, and together with Mr. Mack,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“Defendants”), a company founded and then headed by Mr. Mack, alleging, among other things, breach by Mr. Mack of a restrictive covenant agreement</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with Sorrento related to his sale of his Scilex Pharma stock to Sorrento, tortious interference with that agreement by Virpax, breach of Mr. Mack’s</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fiduciary duties to Scilex Pharma, aiding and abetting of that breach by Virpax, and misappropriation of Scilex Pharma’s trade secrets by Mr. Mack and</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Virpax. Such lawsuit sought, among other relief, damages and various forms of injunctive relief. The case was tried from September 12, 2022 to</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September 14, 2022. On September 1, 2023, the court found in favor of the Plaintiffs on all but three counts deemed to have been waived. In its 95-page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opinion, the court instructed the parties to submit supplemental briefing on the appropriate remedy to implement its rulings. On October 18, 2023,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Plaintiffs submitted a supplemental brief on remedies. On November 29, 2023, Defendants submitted a supplemental brief on remedies. On</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December 21, 2023, the Plaintiffs submitted a supplemental reply brief on remedies. On February 26, 2024, the Company and Virpax entered into a term</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sheet regarding a mutual release and settlement agreement, pursuant to which the parties have agreed to resolve the ongoing disputes. On February 29,</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2024, the Company and Virpax entered into a definitive settlement agreement, which provides for, among other things, that Virpax would be obligated to</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make the following payments to the Company to settle the Former Employee Action: (i) $3.5 million (the “Initial Payment”) by two business days after</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Effective Date (as defined therein), which payment has been made; (ii) $2.5 million by July 1, 2024, which payment has been made on July 8, 2024</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and (iii) to the extent any of the following drug candidates are ever sold, royalty payments of (a) 6% of annual Net Sales (as defined therein)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Epoladerm; (b) 6% of annual Net Sales of Probudur and (c) 6% of annual Net Sales of Envelta during the Royalty Term (as defined therein).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Company and Virpax provided mutual releases of all claims that existed as of the Effective Date, whether known or unknown, arising from any</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allegations set forth in the Former Employee Action. Plaintiffs’ release relates to claims against Virpax only, which does not affect its claims against</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Mr. Mack. Plaintiffs have not released Mr. Mack, and litigation against him remains ongoing. The court has requested additional oral argument on the</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topic of remedies against Mr. Mack, which argument occurred on November 15, 2024. The parties are awaiting a final judgment from the court.</w:t>
      </w:r>
    </w:p>
    <w:p>
      <w:pPr>
        <w:spacing w:after="0" w:line="20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ZTlido Patent Litigation</w:t>
      </w:r>
    </w:p>
    <w:p>
      <w:pPr>
        <w:spacing w:after="0" w:line="80" w:lineRule="exact"/>
        <w:rPr>
          <w:sz w:val="20"/>
          <w:szCs w:val="20"/>
          <w:color w:val="auto"/>
        </w:rPr>
      </w:pPr>
    </w:p>
    <w:p>
      <w:pPr>
        <w:ind w:left="1980" w:right="959"/>
        <w:spacing w:after="0" w:line="265" w:lineRule="auto"/>
        <w:rPr>
          <w:sz w:val="20"/>
          <w:szCs w:val="20"/>
          <w:color w:val="auto"/>
        </w:rPr>
      </w:pPr>
      <w:r>
        <w:rPr>
          <w:rFonts w:ascii="Times New Roman" w:cs="Times New Roman" w:eastAsia="Times New Roman" w:hAnsi="Times New Roman"/>
          <w:sz w:val="12"/>
          <w:szCs w:val="12"/>
          <w:color w:val="auto"/>
        </w:rPr>
        <w:t>On June 22, 2022, the Company filed a complaint against Aveva Drug Delivery Systems, Inc. (“Aveva”), Apotex Corp., and Apotex, Inc. (together, “Apotex”) in the U.S. District Court for the Southern District of Florida (the “ZTlido Patent Litigation”) alleging infringement of certain Orange Book listed patents covering ZTlido (the</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F-47</w:t>
      </w:r>
    </w:p>
    <w:p>
      <w:pPr>
        <w:sectPr>
          <w:pgSz w:w="11900" w:h="16838" w:orient="portrait"/>
          <w:cols w:equalWidth="0" w:num="1">
            <w:col w:w="10159"/>
          </w:cols>
          <w:pgMar w:left="300" w:top="368" w:right="1440"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2" w:lineRule="auto"/>
        <w:rPr>
          <w:sz w:val="20"/>
          <w:szCs w:val="20"/>
          <w:color w:val="auto"/>
        </w:rPr>
      </w:pPr>
      <w:r>
        <w:rPr>
          <w:rFonts w:ascii="Times New Roman" w:cs="Times New Roman" w:eastAsia="Times New Roman" w:hAnsi="Times New Roman"/>
          <w:sz w:val="12"/>
          <w:szCs w:val="12"/>
          <w:color w:val="auto"/>
        </w:rPr>
        <w:t>“ZTlido Patents”). The ZTlido Patent Litigation was initiated following the submission by Apotex, in accordance with the procedures set out in the Hatch-Waxman Act, of an abbreviated new drug application (“ANDA”). Apotex’s ANDA seeks approval to market a generic version of ZTlido prior to the expiration of the ZTlido Patents and alleges that the ZTlido Patents are invalid, unenforceable, and/or not infringed. The Company is seeking, among other relief, an order that the effective date of any FDA approval of Apotex’s ANDA be no earlier than the expiration of the asserted patents listed in the Orange Book, the latest of which expires on May 10, 2031, and such further and other relief as the court may deem appropriate. Apotex and Aveva were subject to an automatic 30-month stay preventing them from selling a generic version of ZTlido during that time which was extinguished by the U.S. District Court for the Southern District of Florida decision described below. However, to our knowledge, Aveva has not received FDA approval for any generic version of ZTlido. The two Apotex entities were dismissed from the litigation without prejudice, as they no longer had an interest in the generic product that Aveva seeks to market. Before trial, Aveva dropped its challenge to the validity and enforceability of the Company’s patents. Trial in the ZTlido Patent Litigation was held from July 8, 2024 to July 11, 2024. Final post-trial briefing was submitted by the parties on July 25, 2024, and the case was submitted to the U.S. District Court for the Southern District of Florida. On August 26, 2024, that court issued a decision finding that Aveva’s product does not infringe the Company’s ZTlido Patents. The Company is appealing that decision to the U.S. Court of Appeals for the Federal Circuit, and it filed a Notice of Appeal with the U.S. District Court for the Southern District of Florida on September 25, 2024.</w:t>
      </w:r>
    </w:p>
    <w:p>
      <w:pPr>
        <w:spacing w:after="0" w:line="20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i w:val="1"/>
          <w:iCs w:val="1"/>
          <w:color w:val="auto"/>
        </w:rPr>
        <w:t>GLOPERBA Patent Litigation</w:t>
      </w:r>
    </w:p>
    <w:p>
      <w:pPr>
        <w:spacing w:after="0" w:line="80" w:lineRule="exact"/>
        <w:rPr>
          <w:sz w:val="20"/>
          <w:szCs w:val="20"/>
          <w:color w:val="auto"/>
        </w:rPr>
      </w:pPr>
    </w:p>
    <w:p>
      <w:pPr>
        <w:ind w:left="1980" w:right="879"/>
        <w:spacing w:after="0" w:line="249" w:lineRule="auto"/>
        <w:rPr>
          <w:sz w:val="20"/>
          <w:szCs w:val="20"/>
          <w:color w:val="auto"/>
        </w:rPr>
      </w:pPr>
      <w:r>
        <w:rPr>
          <w:rFonts w:ascii="Times New Roman" w:cs="Times New Roman" w:eastAsia="Times New Roman" w:hAnsi="Times New Roman"/>
          <w:sz w:val="12"/>
          <w:szCs w:val="12"/>
          <w:color w:val="auto"/>
        </w:rPr>
        <w:t>On November 6, 2023, Takeda Pharmaceuticals U.S.A., Inc. (“Takeda”) filed a complaint against the Company in the U.S. District Court for the District of Delaware (the “GLOPERBA Patent Litigation”) alleging that the Company’s filing with the FDA of an application for approval of a proposed revision to the product label for its GLOPERBA product infringed certain Orange Book listed patents covering Takeda’s colchicine product, Colcrys</w:t>
      </w: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2"/>
          <w:szCs w:val="12"/>
          <w:color w:val="auto"/>
        </w:rPr>
        <w:t xml:space="preserve"> (the “Colcrys Patents”). Takeda sought an order that the effective date of any FDA approval of the Company’s labeling revision be no earlier than the expiration date of the asserted patents listed in the Orange Book, and such further and other relief as the court may deem appropriate. The Company had previously accrued $0.5 million with respect to the GLOPERBA Patent Litigation. On March 7, 2024, the Company entered into a Settlement Agreement (the “Settlement Agreement”) with Takeda to resolve the action and entered into a license agreement with Takeda pursuant to which Takeda granted a non-exclusive license to the Company and its affiliates of certain patents owned by Takeda. The terms of those agreements are confidential. The Settlement Agreement was subject to review by the Federal Trade Commission and the U.S. Department of Justice, neither of which objected during the review period. After the expiration of the review period, the U.S. District Court for the District of Delaware entered a final consent judgment on May 3, 2024.</w:t>
      </w:r>
    </w:p>
    <w:p>
      <w:pPr>
        <w:spacing w:after="0" w:line="19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Operating Leases</w:t>
      </w:r>
    </w:p>
    <w:p>
      <w:pPr>
        <w:spacing w:after="0" w:line="82"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The Company leases administrative and research and development facilities under various non-cancelable lease agreements. Facility leases generally provide for periodic rent increases and may include options to extend. As of December 31, 2024, the Company’s leases have remaining lease terms of approximately 2.8 years. The terms of the Company’s leases, ranging from 3 to 5 years, include extension options that were not reasonably certain to be exercised. Many of the Company’s leases are subject to variable lease payments. Variable lease payments are recognized in the period in which the obligations for those payments are incurred, are not included in the measurement of the ROU assets or lease liabilities, and are immaterial. Additionally, the Company subleases certain properties to third parties. Sublease income is recognized on a straight-line basis and is immaterial.</w:t>
      </w:r>
    </w:p>
    <w:p>
      <w:pPr>
        <w:spacing w:after="0" w:line="125"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As the Company’s leases do not provide an implicit rate, the Company uses its incremental borrowing rate based on the information available at the commencement date in determining the present value of lease payments. The Company calculates the associated lease liability and corresponding ROU asset upon lease commencement using a discount rate based on a credit-adjusted secured borrowing rate commensurate with the term of the lease. As of December 31, 2024, the Company has no finance leases.</w:t>
      </w:r>
    </w:p>
    <w:p>
      <w:pPr>
        <w:spacing w:after="0" w:line="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F-48</w:t>
      </w:r>
    </w:p>
    <w:p>
      <w:pPr>
        <w:sectPr>
          <w:pgSz w:w="11900" w:h="16838" w:orient="portrait"/>
          <w:cols w:equalWidth="0" w:num="1">
            <w:col w:w="10159"/>
          </w:cols>
          <w:pgMar w:left="300" w:top="368" w:right="1440"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99"/>
        <w:spacing w:after="0" w:line="265" w:lineRule="auto"/>
        <w:rPr>
          <w:sz w:val="20"/>
          <w:szCs w:val="20"/>
          <w:color w:val="auto"/>
        </w:rPr>
      </w:pPr>
      <w:r>
        <w:rPr>
          <w:rFonts w:ascii="Times New Roman" w:cs="Times New Roman" w:eastAsia="Times New Roman" w:hAnsi="Times New Roman"/>
          <w:sz w:val="12"/>
          <w:szCs w:val="12"/>
          <w:color w:val="auto"/>
        </w:rPr>
        <w:t>In April 2023, the Company modified the lease term for its principal executive offices located in Palo Alto, California. The modification extended the lease term for an additional three years, with the lease term expiring in September 2027. As a result of the modification, the Company recognized additional ROU assets and corresponding lease liabilities of $2.5 million.</w:t>
      </w:r>
    </w:p>
    <w:p>
      <w:pPr>
        <w:spacing w:after="0" w:line="119" w:lineRule="exact"/>
        <w:rPr>
          <w:sz w:val="20"/>
          <w:szCs w:val="20"/>
          <w:color w:val="auto"/>
        </w:rPr>
      </w:pPr>
    </w:p>
    <w:p>
      <w:pPr>
        <w:jc w:val="both"/>
        <w:ind w:left="1980" w:right="1199"/>
        <w:spacing w:after="0" w:line="327" w:lineRule="auto"/>
        <w:rPr>
          <w:sz w:val="20"/>
          <w:szCs w:val="20"/>
          <w:color w:val="auto"/>
        </w:rPr>
      </w:pPr>
      <w:r>
        <w:rPr>
          <w:rFonts w:ascii="Times New Roman" w:cs="Times New Roman" w:eastAsia="Times New Roman" w:hAnsi="Times New Roman"/>
          <w:sz w:val="11"/>
          <w:szCs w:val="11"/>
          <w:color w:val="auto"/>
        </w:rPr>
        <w:t>Lease expense was $1.0 million and $1.1 million for the years ended December 31, 2024 and 2023, respectively, and was primarily comprised of operating lease costs. The lease expense also included variable lease costs and sublease income, which were immaterial for the periods presented.</w:t>
      </w:r>
    </w:p>
    <w:p>
      <w:pPr>
        <w:spacing w:after="0" w:line="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Supplemental quantitative information related to leases includes the following:</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80" w:type="dxa"/>
            <w:vAlign w:val="bottom"/>
            <w:gridSpan w:val="7"/>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88"/>
        </w:trPr>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40" w:type="dxa"/>
            <w:vAlign w:val="bottom"/>
            <w:tcBorders>
              <w:top w:val="single" w:sz="8" w:color="auto"/>
            </w:tcBorders>
          </w:tcPr>
          <w:p>
            <w:pPr>
              <w:jc w:val="right"/>
              <w:ind w:right="6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gridSpan w:val="4"/>
          </w:tcPr>
          <w:p>
            <w:pPr>
              <w:jc w:val="right"/>
              <w:ind w:right="12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Pr>
          <w:p>
            <w:pPr>
              <w:spacing w:after="0"/>
              <w:rPr>
                <w:sz w:val="7"/>
                <w:szCs w:val="7"/>
                <w:color w:val="auto"/>
              </w:rPr>
            </w:pPr>
          </w:p>
        </w:tc>
      </w:tr>
      <w:tr>
        <w:trPr>
          <w:trHeight w:val="124"/>
        </w:trPr>
        <w:tc>
          <w:tcPr>
            <w:tcW w:w="880" w:type="dxa"/>
            <w:vAlign w:val="bottom"/>
          </w:tcPr>
          <w:p>
            <w:pPr>
              <w:spacing w:after="0"/>
              <w:rPr>
                <w:sz w:val="10"/>
                <w:szCs w:val="10"/>
                <w:color w:val="auto"/>
              </w:rPr>
            </w:pPr>
          </w:p>
        </w:tc>
        <w:tc>
          <w:tcPr>
            <w:tcW w:w="4100" w:type="dxa"/>
            <w:vAlign w:val="bottom"/>
            <w:tcBorders>
              <w:top w:val="single" w:sz="8" w:color="CCEEFF"/>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Cash paid for amounts included in the measurement of lease liabilities:</w:t>
            </w:r>
          </w:p>
        </w:tc>
        <w:tc>
          <w:tcPr>
            <w:tcW w:w="4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44"/>
        </w:trPr>
        <w:tc>
          <w:tcPr>
            <w:tcW w:w="880" w:type="dxa"/>
            <w:vAlign w:val="bottom"/>
          </w:tcPr>
          <w:p>
            <w:pPr>
              <w:spacing w:after="0"/>
              <w:rPr>
                <w:sz w:val="12"/>
                <w:szCs w:val="12"/>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Operating cash flows from operating leases (in thousands)</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(1,042)</w:t>
            </w:r>
          </w:p>
        </w:tc>
        <w:tc>
          <w:tcPr>
            <w:tcW w:w="720" w:type="dxa"/>
            <w:vAlign w:val="bottom"/>
            <w:gridSpan w:val="5"/>
          </w:tcPr>
          <w:p>
            <w:pPr>
              <w:jc w:val="right"/>
              <w:ind w:right="100"/>
              <w:spacing w:after="0"/>
              <w:rPr>
                <w:sz w:val="20"/>
                <w:szCs w:val="20"/>
                <w:color w:val="auto"/>
              </w:rPr>
            </w:pPr>
            <w:r>
              <w:rPr>
                <w:rFonts w:ascii="Times New Roman" w:cs="Times New Roman" w:eastAsia="Times New Roman" w:hAnsi="Times New Roman"/>
                <w:sz w:val="12"/>
                <w:szCs w:val="12"/>
                <w:color w:val="auto"/>
              </w:rPr>
              <w:t>$ (1,021)</w:t>
            </w:r>
          </w:p>
        </w:tc>
      </w:tr>
      <w:tr>
        <w:trPr>
          <w:trHeight w:val="144"/>
        </w:trPr>
        <w:tc>
          <w:tcPr>
            <w:tcW w:w="880" w:type="dxa"/>
            <w:vAlign w:val="bottom"/>
          </w:tcPr>
          <w:p>
            <w:pPr>
              <w:spacing w:after="0"/>
              <w:rPr>
                <w:sz w:val="12"/>
                <w:szCs w:val="12"/>
                <w:color w:val="auto"/>
              </w:rPr>
            </w:pPr>
          </w:p>
        </w:tc>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remaining lease term in years—operating leases</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2.8</w:t>
            </w:r>
          </w:p>
        </w:tc>
        <w:tc>
          <w:tcPr>
            <w:tcW w:w="7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3.6</w:t>
            </w:r>
          </w:p>
        </w:tc>
      </w:tr>
      <w:tr>
        <w:trPr>
          <w:trHeight w:val="155"/>
        </w:trPr>
        <w:tc>
          <w:tcPr>
            <w:tcW w:w="880" w:type="dxa"/>
            <w:vAlign w:val="bottom"/>
          </w:tcPr>
          <w:p>
            <w:pPr>
              <w:spacing w:after="0"/>
              <w:rPr>
                <w:sz w:val="13"/>
                <w:szCs w:val="13"/>
                <w:color w:val="auto"/>
              </w:rPr>
            </w:pPr>
          </w:p>
        </w:tc>
        <w:tc>
          <w:tcPr>
            <w:tcW w:w="4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Weighted average discount rate—operating leases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2"/>
                <w:szCs w:val="12"/>
                <w:color w:val="auto"/>
              </w:rPr>
              <w:t>11.1%</w:t>
            </w:r>
          </w:p>
        </w:tc>
      </w:tr>
      <w:tr>
        <w:trPr>
          <w:trHeight w:val="277"/>
        </w:trPr>
        <w:tc>
          <w:tcPr>
            <w:tcW w:w="49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Approximate future minimum lease payments under operating leases were as follows (in thousands):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1"/>
        </w:trPr>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5"/>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w w:val="91"/>
              </w:rPr>
              <w:t>Amount</w:t>
            </w:r>
          </w:p>
        </w:tc>
      </w:tr>
      <w:tr>
        <w:trPr>
          <w:trHeight w:val="122"/>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2025</w:t>
            </w:r>
          </w:p>
        </w:tc>
        <w:tc>
          <w:tcPr>
            <w:tcW w:w="27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  916</w:t>
            </w: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44"/>
        </w:trPr>
        <w:tc>
          <w:tcPr>
            <w:tcW w:w="1180" w:type="dxa"/>
            <w:vAlign w:val="bottom"/>
            <w:gridSpan w:val="2"/>
          </w:tcPr>
          <w:p>
            <w:pPr>
              <w:spacing w:after="0"/>
              <w:rPr>
                <w:sz w:val="12"/>
                <w:szCs w:val="12"/>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2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944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gridSpan w:val="2"/>
          </w:tcPr>
          <w:p>
            <w:pPr>
              <w:spacing w:after="0"/>
              <w:rPr>
                <w:sz w:val="12"/>
                <w:szCs w:val="12"/>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27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lease payments</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2,584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lease liabilities</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2,237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 of lease liability</w:t>
            </w: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Lease liability, net of current portion</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1,523</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12. Income Taxes</w:t>
      </w:r>
    </w:p>
    <w:p>
      <w:pPr>
        <w:spacing w:after="0" w:line="8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Total loss before income taxes for the years ended December 31, 2024 and 2023 did not include a foreign component.</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F-49</w:t>
      </w:r>
    </w:p>
    <w:p>
      <w:pPr>
        <w:sectPr>
          <w:pgSz w:w="11900" w:h="16838" w:orient="portrait"/>
          <w:cols w:equalWidth="0" w:num="1">
            <w:col w:w="10159"/>
          </w:cols>
          <w:pgMar w:left="300" w:top="368" w:right="1440"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The components of the provision (benefit) expense were as follows for the years ended December 31, 2024 and 2023 (in thousands):</w:t>
      </w:r>
    </w:p>
    <w:p>
      <w:pPr>
        <w:spacing w:after="0" w:line="16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5"/>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0" w:type="dxa"/>
            <w:vAlign w:val="bottom"/>
          </w:tcPr>
          <w:p>
            <w:pPr>
              <w:spacing w:after="0"/>
              <w:rPr>
                <w:sz w:val="1"/>
                <w:szCs w:val="1"/>
                <w:color w:val="auto"/>
              </w:rPr>
            </w:pPr>
          </w:p>
        </w:tc>
      </w:tr>
      <w:tr>
        <w:trPr>
          <w:trHeight w:val="88"/>
        </w:trPr>
        <w:tc>
          <w:tcPr>
            <w:tcW w:w="400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56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0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Current income tax (benefit) expense:</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 current income tax (benefit) expense</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Federal</w:t>
            </w:r>
          </w:p>
        </w:tc>
        <w:tc>
          <w:tcPr>
            <w:tcW w:w="80" w:type="dxa"/>
            <w:vAlign w:val="bottom"/>
          </w:tcPr>
          <w:p>
            <w:pPr>
              <w:spacing w:after="0"/>
              <w:rPr>
                <w:sz w:val="12"/>
                <w:szCs w:val="12"/>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w w:val="97"/>
              </w:rPr>
              <w:t>(16,279)</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(16,514)</w:t>
            </w: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State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(2,803)</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(11,247)</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Total deferred income tax benefit</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7"/>
              </w:rPr>
              <w:t>(19,082)</w:t>
            </w: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2"/>
              </w:rPr>
              <w:t>(27,761)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Changes in tax rate</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2,155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(1,471)</w:t>
            </w:r>
          </w:p>
        </w:tc>
        <w:tc>
          <w:tcPr>
            <w:tcW w:w="0" w:type="dxa"/>
            <w:vAlign w:val="bottom"/>
          </w:tcPr>
          <w:p>
            <w:pPr>
              <w:spacing w:after="0"/>
              <w:rPr>
                <w:sz w:val="1"/>
                <w:szCs w:val="1"/>
                <w:color w:val="auto"/>
              </w:rPr>
            </w:pP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Changes in valuation allowance</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29,232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income tax (benefit) expense from continuing operations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right="999"/>
        <w:spacing w:after="0" w:line="259" w:lineRule="auto"/>
        <w:rPr>
          <w:sz w:val="20"/>
          <w:szCs w:val="20"/>
          <w:color w:val="auto"/>
        </w:rPr>
      </w:pPr>
      <w:r>
        <w:rPr>
          <w:rFonts w:ascii="Times New Roman" w:cs="Times New Roman" w:eastAsia="Times New Roman" w:hAnsi="Times New Roman"/>
          <w:sz w:val="12"/>
          <w:szCs w:val="12"/>
          <w:color w:val="auto"/>
        </w:rPr>
        <w:t>Deferred income taxes reflect the net tax effects of temporary differences between the carrying amounts of assets and liabilities for financial reporting purposes and the amounts used for income tax purposes.</w:t>
      </w:r>
    </w:p>
    <w:p>
      <w:pPr>
        <w:spacing w:after="0" w:line="1" w:lineRule="exact"/>
        <w:rPr>
          <w:sz w:val="20"/>
          <w:szCs w:val="20"/>
          <w:color w:val="auto"/>
        </w:rPr>
      </w:pPr>
    </w:p>
    <w:p>
      <w:pPr>
        <w:ind w:left="1980" w:right="1139"/>
        <w:spacing w:after="0" w:line="260" w:lineRule="auto"/>
        <w:rPr>
          <w:sz w:val="20"/>
          <w:szCs w:val="20"/>
          <w:color w:val="auto"/>
        </w:rPr>
      </w:pPr>
      <w:r>
        <w:rPr>
          <w:rFonts w:ascii="Times New Roman" w:cs="Times New Roman" w:eastAsia="Times New Roman" w:hAnsi="Times New Roman"/>
          <w:sz w:val="12"/>
          <w:szCs w:val="12"/>
          <w:color w:val="auto"/>
        </w:rPr>
        <w:t>The components of the Company’s net deferred tax liabilities and related valuation allowance are as follows as of December 31, 2024 and 2023 (in thousands):</w:t>
      </w:r>
    </w:p>
    <w:p>
      <w:pPr>
        <w:spacing w:after="0" w:line="135"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5"/>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88"/>
        </w:trPr>
        <w:tc>
          <w:tcPr>
            <w:tcW w:w="2360" w:type="dxa"/>
            <w:vAlign w:val="bottom"/>
            <w:tcBorders>
              <w:bottom w:val="single" w:sz="8" w:color="CCEEFF"/>
            </w:tcBorders>
          </w:tcPr>
          <w:p>
            <w:pPr>
              <w:spacing w:after="0"/>
              <w:rPr>
                <w:sz w:val="7"/>
                <w:szCs w:val="7"/>
                <w:color w:val="auto"/>
              </w:rPr>
            </w:pPr>
          </w:p>
        </w:tc>
        <w:tc>
          <w:tcPr>
            <w:tcW w:w="174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7"/>
                <w:szCs w:val="7"/>
                <w:color w:val="auto"/>
              </w:rPr>
            </w:pPr>
          </w:p>
        </w:tc>
      </w:tr>
      <w:tr>
        <w:trPr>
          <w:trHeight w:val="124"/>
        </w:trPr>
        <w:tc>
          <w:tcPr>
            <w:tcW w:w="2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Deferred tax assets:</w:t>
            </w:r>
          </w:p>
        </w:tc>
        <w:tc>
          <w:tcPr>
            <w:tcW w:w="1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2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Net operating loss carryforwards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85,226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71,434</w:t>
            </w:r>
          </w:p>
        </w:tc>
      </w:tr>
      <w:tr>
        <w:trPr>
          <w:trHeight w:val="144"/>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Debt related interest</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16,228</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16,898</w:t>
            </w:r>
          </w:p>
        </w:tc>
      </w:tr>
      <w:tr>
        <w:trPr>
          <w:trHeight w:val="144"/>
        </w:trPr>
        <w:tc>
          <w:tcPr>
            <w:tcW w:w="2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Capitalized research and development</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5,228</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4,936</w:t>
            </w:r>
          </w:p>
        </w:tc>
      </w:tr>
      <w:tr>
        <w:trPr>
          <w:trHeight w:val="144"/>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Tax credit carryforwards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4,415</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3,960</w:t>
            </w:r>
          </w:p>
        </w:tc>
      </w:tr>
      <w:tr>
        <w:trPr>
          <w:trHeight w:val="144"/>
        </w:trPr>
        <w:tc>
          <w:tcPr>
            <w:tcW w:w="2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1,157</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525</w:t>
            </w:r>
          </w:p>
        </w:tc>
      </w:tr>
      <w:tr>
        <w:trPr>
          <w:trHeight w:val="144"/>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expense and reserves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1,812</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1,584</w:t>
            </w:r>
          </w:p>
        </w:tc>
      </w:tr>
      <w:tr>
        <w:trPr>
          <w:trHeight w:val="144"/>
        </w:trPr>
        <w:tc>
          <w:tcPr>
            <w:tcW w:w="2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Purchased revenue liability</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1,754</w:t>
            </w: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577</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774</w:t>
            </w:r>
          </w:p>
        </w:tc>
      </w:tr>
      <w:tr>
        <w:trPr>
          <w:trHeight w:val="144"/>
        </w:trPr>
        <w:tc>
          <w:tcPr>
            <w:tcW w:w="2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303</w:t>
            </w:r>
          </w:p>
        </w:tc>
        <w:tc>
          <w:tcPr>
            <w:tcW w:w="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159</w:t>
            </w:r>
          </w:p>
        </w:tc>
      </w:tr>
      <w:tr>
        <w:trPr>
          <w:trHeight w:val="20"/>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116,700</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7"/>
              </w:rPr>
              <w:t>100,270</w:t>
            </w:r>
          </w:p>
        </w:tc>
      </w:tr>
      <w:tr>
        <w:trPr>
          <w:trHeight w:val="144"/>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w w:val="93"/>
              </w:rPr>
              <w:t>(113,703)</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(96,776)</w:t>
            </w:r>
          </w:p>
        </w:tc>
      </w:tr>
      <w:tr>
        <w:trPr>
          <w:trHeight w:val="20"/>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2,997</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3,494</w:t>
            </w: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2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Intangible assets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(2,423)</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(2,734)</w:t>
            </w:r>
          </w:p>
        </w:tc>
      </w:tr>
      <w:tr>
        <w:trPr>
          <w:trHeight w:val="144"/>
        </w:trPr>
        <w:tc>
          <w:tcPr>
            <w:tcW w:w="23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(574)</w:t>
            </w: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(760)</w:t>
            </w:r>
          </w:p>
        </w:tc>
      </w:tr>
      <w:tr>
        <w:trPr>
          <w:trHeight w:val="20"/>
        </w:trPr>
        <w:tc>
          <w:tcPr>
            <w:tcW w:w="2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(2,997)</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(3,494)</w:t>
            </w:r>
          </w:p>
        </w:tc>
      </w:tr>
      <w:tr>
        <w:trPr>
          <w:trHeight w:val="149"/>
        </w:trPr>
        <w:tc>
          <w:tcPr>
            <w:tcW w:w="236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tax liabilities</w:t>
            </w: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xml:space="preserve">— </w:t>
            </w:r>
          </w:p>
        </w:tc>
        <w:tc>
          <w:tcPr>
            <w:tcW w:w="80" w:type="dxa"/>
            <w:vAlign w:val="bottom"/>
          </w:tcPr>
          <w:p>
            <w:pPr>
              <w:spacing w:after="0"/>
              <w:rPr>
                <w:sz w:val="12"/>
                <w:szCs w:val="12"/>
                <w:color w:val="auto"/>
              </w:rPr>
            </w:pPr>
          </w:p>
        </w:tc>
      </w:tr>
      <w:tr>
        <w:trPr>
          <w:trHeight w:val="252"/>
        </w:trPr>
        <w:tc>
          <w:tcPr>
            <w:tcW w:w="2360" w:type="dxa"/>
            <w:vAlign w:val="bottom"/>
          </w:tcPr>
          <w:p>
            <w:pPr>
              <w:spacing w:after="0"/>
              <w:rPr>
                <w:sz w:val="21"/>
                <w:szCs w:val="21"/>
                <w:color w:val="auto"/>
              </w:rPr>
            </w:pPr>
          </w:p>
        </w:tc>
        <w:tc>
          <w:tcPr>
            <w:tcW w:w="1820" w:type="dxa"/>
            <w:vAlign w:val="bottom"/>
            <w:gridSpan w:val="2"/>
          </w:tcPr>
          <w:p>
            <w:pPr>
              <w:jc w:val="right"/>
              <w:ind w:right="1226"/>
              <w:spacing w:after="0"/>
              <w:rPr>
                <w:sz w:val="20"/>
                <w:szCs w:val="20"/>
                <w:color w:val="auto"/>
              </w:rPr>
            </w:pPr>
            <w:r>
              <w:rPr>
                <w:rFonts w:ascii="Times New Roman" w:cs="Times New Roman" w:eastAsia="Times New Roman" w:hAnsi="Times New Roman"/>
                <w:sz w:val="12"/>
                <w:szCs w:val="12"/>
                <w:color w:val="auto"/>
              </w:rPr>
              <w:t>F-50</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68" w:right="1440"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The reconciliation between U.S. federal income taxes at the statutory rate and the Company’s provision for income taxes are as follows for the years ended December 31, 2024 and 2023 (in thousands):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0" w:type="dxa"/>
            <w:vAlign w:val="bottom"/>
          </w:tcPr>
          <w:p>
            <w:pPr>
              <w:spacing w:after="0"/>
              <w:rPr>
                <w:sz w:val="1"/>
                <w:szCs w:val="1"/>
                <w:color w:val="auto"/>
              </w:rPr>
            </w:pPr>
          </w:p>
        </w:tc>
      </w:tr>
      <w:tr>
        <w:trPr>
          <w:trHeight w:val="88"/>
        </w:trPr>
        <w:tc>
          <w:tcPr>
            <w:tcW w:w="422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 at federal statutory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7"/>
              </w:rPr>
              <w:t>(15,290)</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(24,007)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18,559</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29,232</w:t>
            </w: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Compensation expense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2,772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3,798</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Acquisition related charges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485</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260</w:t>
            </w: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year true-up and carryback</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(1,182)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(5,079)</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State, net of federal tax benefit</w:t>
            </w:r>
          </w:p>
        </w:tc>
        <w:tc>
          <w:tcPr>
            <w:tcW w:w="8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(2,705)</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(5,127)</w:t>
            </w: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Convertible Debentures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(4,449)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1,752</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Change in tax rates</w:t>
            </w:r>
          </w:p>
        </w:tc>
        <w:tc>
          <w:tcPr>
            <w:tcW w:w="8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2,155</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(1,471)</w:t>
            </w:r>
          </w:p>
        </w:tc>
        <w:tc>
          <w:tcPr>
            <w:tcW w:w="0" w:type="dxa"/>
            <w:vAlign w:val="bottom"/>
          </w:tcPr>
          <w:p>
            <w:pPr>
              <w:spacing w:after="0"/>
              <w:rPr>
                <w:sz w:val="1"/>
                <w:szCs w:val="1"/>
                <w:color w:val="auto"/>
              </w:rPr>
            </w:pP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655</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Company has evaluated the available evidence supporting the realization of its gross deferred tax assets, including the amount and timing of future</w:t>
      </w:r>
    </w:p>
    <w:p>
      <w:pPr>
        <w:spacing w:after="0" w:line="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taxable income, and has determined that it is more likely than not that the deferred tax assets will not be realized. Due to such uncertainties surrounding</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the realization of the deferred tax assets, the Company maintains a valuation allowance of $113.7 million against its deferred tax assets as of</w:t>
      </w:r>
    </w:p>
    <w:p>
      <w:pPr>
        <w:spacing w:after="0" w:line="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1"/>
          <w:szCs w:val="11"/>
          <w:color w:val="auto"/>
        </w:rPr>
        <w:t>December 31, 2024. Realization of the deferred tax assets will be primarily dependent upon the Company’s ability to generate sufficient taxable income</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color w:val="auto"/>
        </w:rPr>
        <w:t>prior to the expiration of its net operating losses.</w:t>
      </w:r>
    </w:p>
    <w:p>
      <w:pPr>
        <w:spacing w:after="0" w:line="139" w:lineRule="exact"/>
        <w:rPr>
          <w:sz w:val="20"/>
          <w:szCs w:val="20"/>
          <w:color w:val="auto"/>
        </w:rPr>
      </w:pPr>
    </w:p>
    <w:p>
      <w:pPr>
        <w:ind w:left="1980" w:right="879"/>
        <w:spacing w:after="0" w:line="256" w:lineRule="auto"/>
        <w:rPr>
          <w:sz w:val="20"/>
          <w:szCs w:val="20"/>
          <w:color w:val="auto"/>
        </w:rPr>
      </w:pPr>
      <w:r>
        <w:rPr>
          <w:rFonts w:ascii="Times New Roman" w:cs="Times New Roman" w:eastAsia="Times New Roman" w:hAnsi="Times New Roman"/>
          <w:sz w:val="12"/>
          <w:szCs w:val="12"/>
          <w:color w:val="auto"/>
        </w:rPr>
        <w:t>As of December 31, 2024, the Company had $336.5 million and $248.2 million of federal and state net operating loss carryforwards, respectively. The net operating loss carryforwards begin to expire in 2033 for both federal and state. As of December 31, 2024, the Company had a total of $313.5 million of federal net operating losses that have an indefinite life and will not expire, and had federal research and development income tax credits of</w:t>
      </w:r>
    </w:p>
    <w:p>
      <w:pPr>
        <w:spacing w:after="0" w:line="1"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$3.7 million which will begin to expire in 2034. As of December 31, 2024, the Company had California research and development income tax credits of $2.2 million that have an indefinite life and will not expire.</w:t>
      </w:r>
    </w:p>
    <w:p>
      <w:pPr>
        <w:spacing w:after="0" w:line="122" w:lineRule="exact"/>
        <w:rPr>
          <w:sz w:val="20"/>
          <w:szCs w:val="20"/>
          <w:color w:val="auto"/>
        </w:rPr>
      </w:pPr>
    </w:p>
    <w:p>
      <w:pPr>
        <w:jc w:val="both"/>
        <w:ind w:left="1980" w:right="899"/>
        <w:spacing w:after="0" w:line="265" w:lineRule="auto"/>
        <w:rPr>
          <w:sz w:val="20"/>
          <w:szCs w:val="20"/>
          <w:color w:val="auto"/>
        </w:rPr>
      </w:pPr>
      <w:r>
        <w:rPr>
          <w:rFonts w:ascii="Times New Roman" w:cs="Times New Roman" w:eastAsia="Times New Roman" w:hAnsi="Times New Roman"/>
          <w:sz w:val="12"/>
          <w:szCs w:val="12"/>
          <w:color w:val="auto"/>
        </w:rPr>
        <w:t>Internal Revenue Code Section 382 rules apply to limit a corporation’s ability to utilize existing net operating loss and tax credit carryforwards once the corporation experiences an ownership change as defined in Section 382. For the years ended December 31, 2024 and 2023, there was no impact of such limitations on the Company’s income tax provision.</w:t>
      </w:r>
    </w:p>
    <w:p>
      <w:pPr>
        <w:spacing w:after="0" w:line="119" w:lineRule="exact"/>
        <w:rPr>
          <w:sz w:val="20"/>
          <w:szCs w:val="20"/>
          <w:color w:val="auto"/>
        </w:rPr>
      </w:pPr>
    </w:p>
    <w:p>
      <w:pPr>
        <w:ind w:left="1980" w:right="1059"/>
        <w:spacing w:after="0" w:line="265" w:lineRule="auto"/>
        <w:rPr>
          <w:sz w:val="20"/>
          <w:szCs w:val="20"/>
          <w:color w:val="auto"/>
        </w:rPr>
      </w:pPr>
      <w:r>
        <w:rPr>
          <w:rFonts w:ascii="Times New Roman" w:cs="Times New Roman" w:eastAsia="Times New Roman" w:hAnsi="Times New Roman"/>
          <w:sz w:val="12"/>
          <w:szCs w:val="12"/>
          <w:color w:val="auto"/>
        </w:rPr>
        <w:t>The Company is subject to taxation in U.S. federal and state tax jurisdictions. All of the Company’s tax years will remain open for three years for examination by the federal and state tax authorities from the date of utilizations of net operating loss. There are no active tax compliance audits as of December 31, 2024.</w:t>
      </w:r>
    </w:p>
    <w:p>
      <w:pPr>
        <w:spacing w:after="0" w:line="119"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A reconciliation of the beginning and ending amount of unrecognized tax benefits is as follows for the years ended December 31, 2024 and 2023 (in thousands):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5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40" w:type="dxa"/>
            <w:vAlign w:val="bottom"/>
            <w:tcBorders>
              <w:bottom w:val="single" w:sz="8" w:color="CCEEFF"/>
            </w:tcBorders>
          </w:tcPr>
          <w:p>
            <w:pPr>
              <w:spacing w:after="0"/>
              <w:rPr>
                <w:sz w:val="10"/>
                <w:szCs w:val="10"/>
                <w:color w:val="auto"/>
              </w:rPr>
            </w:pPr>
          </w:p>
        </w:tc>
      </w:tr>
      <w:tr>
        <w:trPr>
          <w:trHeight w:val="133"/>
        </w:trPr>
        <w:tc>
          <w:tcPr>
            <w:tcW w:w="4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tax benefits at the beginning of the year</w:t>
            </w:r>
          </w:p>
        </w:tc>
        <w:tc>
          <w:tcPr>
            <w:tcW w:w="3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$1,071</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408</w:t>
            </w:r>
          </w:p>
        </w:tc>
        <w:tc>
          <w:tcPr>
            <w:tcW w:w="40" w:type="dxa"/>
            <w:vAlign w:val="bottom"/>
            <w:shd w:val="clear" w:color="auto" w:fill="CCEEFF"/>
          </w:tcPr>
          <w:p>
            <w:pPr>
              <w:spacing w:after="0"/>
              <w:rPr>
                <w:sz w:val="11"/>
                <w:szCs w:val="11"/>
                <w:color w:val="auto"/>
              </w:rPr>
            </w:pPr>
          </w:p>
        </w:tc>
      </w:tr>
      <w:tr>
        <w:trPr>
          <w:trHeight w:val="144"/>
        </w:trPr>
        <w:tc>
          <w:tcPr>
            <w:tcW w:w="456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Increase related to prior year tax positions</w:t>
            </w: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536</w:t>
            </w:r>
          </w:p>
        </w:tc>
      </w:tr>
      <w:tr>
        <w:trPr>
          <w:trHeight w:val="144"/>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Increase related to current year tax positions</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w w:val="88"/>
              </w:rPr>
              <w:t>127</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127</w:t>
            </w:r>
          </w:p>
        </w:tc>
      </w:tr>
      <w:tr>
        <w:trPr>
          <w:trHeight w:val="149"/>
        </w:trPr>
        <w:tc>
          <w:tcPr>
            <w:tcW w:w="4560" w:type="dxa"/>
            <w:vAlign w:val="bottom"/>
          </w:tcPr>
          <w:p>
            <w:pPr>
              <w:spacing w:after="0"/>
              <w:rPr>
                <w:sz w:val="20"/>
                <w:szCs w:val="20"/>
                <w:color w:val="auto"/>
              </w:rPr>
            </w:pPr>
            <w:r>
              <w:rPr>
                <w:rFonts w:ascii="Times New Roman" w:cs="Times New Roman" w:eastAsia="Times New Roman" w:hAnsi="Times New Roman"/>
                <w:sz w:val="12"/>
                <w:szCs w:val="12"/>
                <w:color w:val="auto"/>
              </w:rPr>
              <w:t>Gross unrecognized tax benefits at the end of the year</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u w:val="single" w:color="auto"/>
                <w:color w:val="auto"/>
                <w:w w:val="96"/>
              </w:rPr>
              <w:t>$</w:t>
            </w:r>
            <w:r>
              <w:rPr>
                <w:rFonts w:ascii="Times New Roman" w:cs="Times New Roman" w:eastAsia="Times New Roman" w:hAnsi="Times New Roman"/>
                <w:sz w:val="12"/>
                <w:szCs w:val="12"/>
                <w:color w:val="auto"/>
                <w:w w:val="96"/>
              </w:rPr>
              <w:t>1,198</w:t>
            </w: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1,071</w:t>
            </w:r>
          </w:p>
        </w:tc>
        <w:tc>
          <w:tcPr>
            <w:tcW w:w="40" w:type="dxa"/>
            <w:vAlign w:val="bottom"/>
          </w:tcPr>
          <w:p>
            <w:pPr>
              <w:spacing w:after="0"/>
              <w:rPr>
                <w:sz w:val="12"/>
                <w:szCs w:val="12"/>
                <w:color w:val="auto"/>
              </w:rPr>
            </w:pPr>
          </w:p>
        </w:tc>
      </w:tr>
    </w:tbl>
    <w:p>
      <w:pPr>
        <w:spacing w:after="0" w:line="142" w:lineRule="exact"/>
        <w:rPr>
          <w:sz w:val="20"/>
          <w:szCs w:val="20"/>
          <w:color w:val="auto"/>
        </w:rPr>
      </w:pPr>
    </w:p>
    <w:p>
      <w:pPr>
        <w:ind w:left="1980" w:right="1019"/>
        <w:spacing w:after="0" w:line="279" w:lineRule="auto"/>
        <w:rPr>
          <w:sz w:val="20"/>
          <w:szCs w:val="20"/>
          <w:color w:val="auto"/>
        </w:rPr>
      </w:pPr>
      <w:r>
        <w:rPr>
          <w:rFonts w:ascii="Times New Roman" w:cs="Times New Roman" w:eastAsia="Times New Roman" w:hAnsi="Times New Roman"/>
          <w:sz w:val="12"/>
          <w:szCs w:val="12"/>
          <w:color w:val="auto"/>
        </w:rPr>
        <w:t>As of December 31, 2024 and 2023, the Company had $1.2 million and $1.1 million in total unrecognized tax benefits, respectively, which have been reflected as a reduction in deferred tax assets. If these were to be</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F-51</w:t>
      </w:r>
    </w:p>
    <w:p>
      <w:pPr>
        <w:sectPr>
          <w:pgSz w:w="11900" w:h="16838" w:orient="portrait"/>
          <w:cols w:equalWidth="0" w:num="1">
            <w:col w:w="10159"/>
          </w:cols>
          <w:pgMar w:left="300" w:top="368"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79" w:lineRule="auto"/>
        <w:rPr>
          <w:sz w:val="20"/>
          <w:szCs w:val="20"/>
          <w:color w:val="auto"/>
        </w:rPr>
      </w:pPr>
      <w:r>
        <w:rPr>
          <w:rFonts w:ascii="Times New Roman" w:cs="Times New Roman" w:eastAsia="Times New Roman" w:hAnsi="Times New Roman"/>
          <w:sz w:val="12"/>
          <w:szCs w:val="12"/>
          <w:color w:val="auto"/>
        </w:rPr>
        <w:t>recognized, they would affect the effective tax rate, however given the full valuation allowance in the jurisdiction in which the unrecognized tax benefits relate to, the impact on the effective tax rate would be nil.</w:t>
      </w:r>
    </w:p>
    <w:p>
      <w:pPr>
        <w:spacing w:after="0" w:line="111" w:lineRule="exact"/>
        <w:rPr>
          <w:sz w:val="20"/>
          <w:szCs w:val="20"/>
          <w:color w:val="auto"/>
        </w:rPr>
      </w:pPr>
    </w:p>
    <w:p>
      <w:pPr>
        <w:ind w:left="1980" w:right="1119"/>
        <w:spacing w:after="0" w:line="279" w:lineRule="auto"/>
        <w:rPr>
          <w:sz w:val="20"/>
          <w:szCs w:val="20"/>
          <w:color w:val="auto"/>
        </w:rPr>
      </w:pPr>
      <w:r>
        <w:rPr>
          <w:rFonts w:ascii="Times New Roman" w:cs="Times New Roman" w:eastAsia="Times New Roman" w:hAnsi="Times New Roman"/>
          <w:sz w:val="12"/>
          <w:szCs w:val="12"/>
          <w:color w:val="auto"/>
        </w:rPr>
        <w:t>The Company’s policy is to recognize interest and penalties related to income tax matters in income tax expense. No interest or penalties have been recognized as of and for the years ended December 31, 2024 and 2023.</w:t>
      </w:r>
    </w:p>
    <w:p>
      <w:pPr>
        <w:spacing w:after="0" w:line="111" w:lineRule="exact"/>
        <w:rPr>
          <w:sz w:val="20"/>
          <w:szCs w:val="20"/>
          <w:color w:val="auto"/>
        </w:rPr>
      </w:pPr>
    </w:p>
    <w:p>
      <w:pPr>
        <w:ind w:left="1980" w:right="999"/>
        <w:spacing w:after="0" w:line="279" w:lineRule="auto"/>
        <w:rPr>
          <w:sz w:val="20"/>
          <w:szCs w:val="20"/>
          <w:color w:val="auto"/>
        </w:rPr>
      </w:pPr>
      <w:r>
        <w:rPr>
          <w:rFonts w:ascii="Times New Roman" w:cs="Times New Roman" w:eastAsia="Times New Roman" w:hAnsi="Times New Roman"/>
          <w:sz w:val="12"/>
          <w:szCs w:val="12"/>
          <w:color w:val="auto"/>
        </w:rPr>
        <w:t>The Company believes that no material amount of the liabilities for uncertain tax positions are expected to reverse within 12 months of December 31, 2024.</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13. Net Loss Per Share</w:t>
      </w:r>
    </w:p>
    <w:p>
      <w:pPr>
        <w:spacing w:after="0" w:line="82" w:lineRule="exact"/>
        <w:rPr>
          <w:sz w:val="20"/>
          <w:szCs w:val="20"/>
          <w:color w:val="auto"/>
        </w:rPr>
      </w:pPr>
    </w:p>
    <w:p>
      <w:pPr>
        <w:ind w:left="1980" w:right="1179"/>
        <w:spacing w:after="0" w:line="279" w:lineRule="auto"/>
        <w:rPr>
          <w:sz w:val="20"/>
          <w:szCs w:val="20"/>
          <w:color w:val="auto"/>
        </w:rPr>
      </w:pPr>
      <w:r>
        <w:rPr>
          <w:rFonts w:ascii="Times New Roman" w:cs="Times New Roman" w:eastAsia="Times New Roman" w:hAnsi="Times New Roman"/>
          <w:sz w:val="12"/>
          <w:szCs w:val="12"/>
          <w:color w:val="auto"/>
        </w:rPr>
        <w:t>The following table sets forth the reconciliation of basic and diluted loss per share for the years ended December 31, 2024 and 2023 (in thousands except per share data):</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r>
      <w:tr>
        <w:trPr>
          <w:trHeight w:val="88"/>
        </w:trPr>
        <w:tc>
          <w:tcPr>
            <w:tcW w:w="42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7"/>
                <w:szCs w:val="7"/>
                <w:color w:val="auto"/>
              </w:rPr>
            </w:pPr>
          </w:p>
        </w:tc>
      </w:tr>
      <w:tr>
        <w:trPr>
          <w:trHeight w:val="133"/>
        </w:trPr>
        <w:tc>
          <w:tcPr>
            <w:tcW w:w="4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2"/>
              </w:rPr>
              <w:t>(72,807)</w:t>
            </w: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9"/>
              </w:rPr>
              <w:t>(114,331)</w:t>
            </w:r>
          </w:p>
        </w:tc>
        <w:tc>
          <w:tcPr>
            <w:tcW w:w="80" w:type="dxa"/>
            <w:vAlign w:val="bottom"/>
            <w:shd w:val="clear" w:color="auto" w:fill="CCEEFF"/>
          </w:tcPr>
          <w:p>
            <w:pPr>
              <w:spacing w:after="0"/>
              <w:rPr>
                <w:sz w:val="11"/>
                <w:szCs w:val="11"/>
                <w:color w:val="auto"/>
              </w:rPr>
            </w:pPr>
          </w:p>
        </w:tc>
      </w:tr>
      <w:tr>
        <w:trPr>
          <w:trHeight w:val="144"/>
        </w:trPr>
        <w:tc>
          <w:tcPr>
            <w:tcW w:w="4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Premium on redemption of Series A Preferred Stock</w:t>
            </w: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(52,645)</w:t>
            </w:r>
          </w:p>
        </w:tc>
      </w:tr>
      <w:tr>
        <w:trPr>
          <w:trHeight w:val="20"/>
        </w:trPr>
        <w:tc>
          <w:tcPr>
            <w:tcW w:w="4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for basic loss per share available to common stockholders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(72,807)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(166,976)</w:t>
            </w:r>
          </w:p>
        </w:tc>
      </w:tr>
      <w:tr>
        <w:trPr>
          <w:trHeight w:val="153"/>
        </w:trPr>
        <w:tc>
          <w:tcPr>
            <w:tcW w:w="4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Reversal of mark-to-market adjustment for liability classified warrants</w:t>
            </w: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(8,895)</w:t>
            </w:r>
          </w:p>
        </w:tc>
        <w:tc>
          <w:tcPr>
            <w:tcW w:w="3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0" w:type="dxa"/>
            <w:vAlign w:val="bottom"/>
          </w:tcPr>
          <w:p>
            <w:pPr>
              <w:spacing w:after="0"/>
              <w:rPr>
                <w:sz w:val="13"/>
                <w:szCs w:val="13"/>
                <w:color w:val="auto"/>
              </w:rPr>
            </w:pPr>
          </w:p>
        </w:tc>
      </w:tr>
      <w:tr>
        <w:trPr>
          <w:trHeight w:val="149"/>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loss for diluted loss per share available to common stockholders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(81,702)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7"/>
              </w:rPr>
              <w:t>(166,976)</w:t>
            </w:r>
          </w:p>
        </w:tc>
      </w:tr>
      <w:tr>
        <w:trPr>
          <w:trHeight w:val="153"/>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124,636</w:t>
            </w:r>
          </w:p>
        </w:tc>
        <w:tc>
          <w:tcPr>
            <w:tcW w:w="3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130,298</w:t>
            </w:r>
          </w:p>
        </w:tc>
        <w:tc>
          <w:tcPr>
            <w:tcW w:w="80" w:type="dxa"/>
            <w:vAlign w:val="bottom"/>
          </w:tcPr>
          <w:p>
            <w:pPr>
              <w:spacing w:after="0"/>
              <w:rPr>
                <w:sz w:val="13"/>
                <w:szCs w:val="13"/>
                <w:color w:val="auto"/>
              </w:rPr>
            </w:pPr>
          </w:p>
        </w:tc>
      </w:tr>
      <w:tr>
        <w:trPr>
          <w:trHeight w:val="133"/>
        </w:trPr>
        <w:tc>
          <w:tcPr>
            <w:tcW w:w="4200" w:type="dxa"/>
            <w:vAlign w:val="bottom"/>
            <w:shd w:val="clear" w:color="auto" w:fill="CCEEFF"/>
          </w:tcPr>
          <w:p>
            <w:pPr>
              <w:ind w:left="240"/>
              <w:spacing w:after="0" w:line="133" w:lineRule="exact"/>
              <w:rPr>
                <w:sz w:val="20"/>
                <w:szCs w:val="20"/>
                <w:color w:val="auto"/>
              </w:rPr>
            </w:pPr>
            <w:r>
              <w:rPr>
                <w:rFonts w:ascii="Times New Roman" w:cs="Times New Roman" w:eastAsia="Times New Roman" w:hAnsi="Times New Roman"/>
                <w:sz w:val="12"/>
                <w:szCs w:val="12"/>
                <w:color w:val="auto"/>
              </w:rPr>
              <w:t>Weighted average common stock warrants exercisable for nominal</w:t>
            </w: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5"/>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consideration</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6,500</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basic</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131,136</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130,298</w:t>
            </w:r>
          </w:p>
        </w:tc>
        <w:tc>
          <w:tcPr>
            <w:tcW w:w="80" w:type="dxa"/>
            <w:vAlign w:val="bottom"/>
          </w:tcPr>
          <w:p>
            <w:pPr>
              <w:spacing w:after="0"/>
              <w:rPr>
                <w:sz w:val="12"/>
                <w:szCs w:val="12"/>
                <w:color w:val="auto"/>
              </w:rPr>
            </w:pPr>
          </w:p>
        </w:tc>
      </w:tr>
      <w:tr>
        <w:trPr>
          <w:trHeight w:val="144"/>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Effect of dilutive securities</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2,939</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r>
      <w:tr>
        <w:trPr>
          <w:trHeight w:val="142"/>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shares, diluted</w:t>
            </w: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134,075</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130,298</w:t>
            </w:r>
          </w:p>
        </w:tc>
        <w:tc>
          <w:tcPr>
            <w:tcW w:w="80" w:type="dxa"/>
            <w:vAlign w:val="bottom"/>
          </w:tcPr>
          <w:p>
            <w:pPr>
              <w:spacing w:after="0"/>
              <w:rPr>
                <w:sz w:val="12"/>
                <w:szCs w:val="12"/>
                <w:color w:val="auto"/>
              </w:rPr>
            </w:pPr>
          </w:p>
        </w:tc>
      </w:tr>
      <w:tr>
        <w:trPr>
          <w:trHeight w:val="144"/>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42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Basic</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(0.56)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(1.28)</w:t>
            </w:r>
          </w:p>
        </w:tc>
      </w:tr>
      <w:tr>
        <w:trPr>
          <w:trHeight w:val="144"/>
        </w:trPr>
        <w:tc>
          <w:tcPr>
            <w:tcW w:w="4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Diluted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(0.61)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(1.28)</w:t>
            </w:r>
          </w:p>
        </w:tc>
      </w:tr>
    </w:tbl>
    <w:p>
      <w:pPr>
        <w:spacing w:after="0" w:line="133"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Basic net loss per share is computed by dividing net loss by the weighted average number of shares of Common Stock outstanding during the period. Premium paid on redemption of Series A Preferred Stock was added to the net loss to arrive at loss available for common stockholders as it represents a dividend to the Series A preferred stockholder. Diluted earnings per share is computed using the weighted average number of Common Stock and, if dilutive, potential Common Stock outstanding during the period. Potential Common Stock consists of the incremental Common Stock issuable upon the exercise of stock options and warrants (using the treasury stock method or the reverse treasury stock method, as applicable).</w:t>
      </w:r>
    </w:p>
    <w:p>
      <w:pPr>
        <w:spacing w:after="0" w:line="125" w:lineRule="exact"/>
        <w:rPr>
          <w:sz w:val="20"/>
          <w:szCs w:val="20"/>
          <w:color w:val="auto"/>
        </w:rPr>
      </w:pPr>
    </w:p>
    <w:p>
      <w:pPr>
        <w:ind w:left="1980" w:right="859"/>
        <w:spacing w:after="0" w:line="265" w:lineRule="auto"/>
        <w:rPr>
          <w:sz w:val="20"/>
          <w:szCs w:val="20"/>
          <w:color w:val="auto"/>
        </w:rPr>
      </w:pPr>
      <w:r>
        <w:rPr>
          <w:rFonts w:ascii="Times New Roman" w:cs="Times New Roman" w:eastAsia="Times New Roman" w:hAnsi="Times New Roman"/>
          <w:sz w:val="12"/>
          <w:szCs w:val="12"/>
          <w:color w:val="auto"/>
        </w:rPr>
        <w:t>In the computation of net loss per share, treasury shares are not included as part of the outstanding shares. Shares of the Dividend Stock, as declared by the Board of Directors of the Company on October 27, 2024 and not yet distributed as of December 31, 2024, are also excluded from the computation of net loss per share because the associated Series 1 Preferred Stock is not considered to be a participating security.</w:t>
      </w:r>
    </w:p>
    <w:p>
      <w:pPr>
        <w:spacing w:after="0" w:line="117" w:lineRule="exact"/>
        <w:rPr>
          <w:sz w:val="20"/>
          <w:szCs w:val="20"/>
          <w:color w:val="auto"/>
        </w:rPr>
      </w:pPr>
    </w:p>
    <w:p>
      <w:pPr>
        <w:ind w:left="1980" w:right="1279"/>
        <w:spacing w:after="0" w:line="283" w:lineRule="auto"/>
        <w:rPr>
          <w:sz w:val="20"/>
          <w:szCs w:val="20"/>
          <w:color w:val="auto"/>
        </w:rPr>
      </w:pPr>
      <w:r>
        <w:rPr>
          <w:rFonts w:ascii="Times New Roman" w:cs="Times New Roman" w:eastAsia="Times New Roman" w:hAnsi="Times New Roman"/>
          <w:sz w:val="12"/>
          <w:szCs w:val="12"/>
          <w:color w:val="auto"/>
        </w:rPr>
        <w:t xml:space="preserve">In accordance with FASB ASC 260, </w:t>
      </w:r>
      <w:r>
        <w:rPr>
          <w:rFonts w:ascii="Times New Roman" w:cs="Times New Roman" w:eastAsia="Times New Roman" w:hAnsi="Times New Roman"/>
          <w:sz w:val="12"/>
          <w:szCs w:val="12"/>
          <w:i w:val="1"/>
          <w:iCs w:val="1"/>
          <w:color w:val="auto"/>
        </w:rPr>
        <w:t>Earnings Per Share,</w:t>
      </w:r>
      <w:r>
        <w:rPr>
          <w:rFonts w:ascii="Times New Roman" w:cs="Times New Roman" w:eastAsia="Times New Roman" w:hAnsi="Times New Roman"/>
          <w:sz w:val="12"/>
          <w:szCs w:val="12"/>
          <w:color w:val="auto"/>
        </w:rPr>
        <w:t xml:space="preserve"> Penny Warrants are warrants that would be exercised for no or little consideration and therefore should be included in the calculation of weighted average shares</w:t>
      </w:r>
    </w:p>
    <w:p>
      <w:pPr>
        <w:spacing w:after="0" w:line="6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F-52</w:t>
      </w:r>
    </w:p>
    <w:p>
      <w:pPr>
        <w:sectPr>
          <w:pgSz w:w="11900" w:h="16838" w:orient="portrait"/>
          <w:cols w:equalWidth="0" w:num="1">
            <w:col w:w="10159"/>
          </w:cols>
          <w:pgMar w:left="300" w:top="368" w:right="1440"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79"/>
        <w:spacing w:after="0" w:line="284" w:lineRule="auto"/>
        <w:rPr>
          <w:sz w:val="20"/>
          <w:szCs w:val="20"/>
          <w:color w:val="auto"/>
        </w:rPr>
      </w:pPr>
      <w:r>
        <w:rPr>
          <w:rFonts w:ascii="Times New Roman" w:cs="Times New Roman" w:eastAsia="Times New Roman" w:hAnsi="Times New Roman"/>
          <w:sz w:val="11"/>
          <w:szCs w:val="11"/>
          <w:color w:val="auto"/>
        </w:rPr>
        <w:t>outstanding for purposes of calculating basic and diluted net income (loss) per share. The Closing Penny Warrants become exercisable upon the passage of time and are included in basic and diluted net income (loss) per share from the closing date of September 21, 2023. The Subsequent Penny Warrants to purchase up to an aggregate of 8,500,000 shares of Common Stock were not vested as of the closing date of September 21, 2023 and the vesting was based on the passage of time, the Company’s repayment of the Oramed Note or the occurrence of the Management Sale Trigger Date (as defined therein). The Subsequent Penny Warrants became vested during the year ended December 31, 2024, and therefore are included in the computation for basic and diluted net income per share as of December 31, 2024, since all other exercise contingencies were removed except for the passage of time.</w:t>
      </w:r>
    </w:p>
    <w:p>
      <w:pPr>
        <w:spacing w:after="0" w:line="110" w:lineRule="exact"/>
        <w:rPr>
          <w:sz w:val="20"/>
          <w:szCs w:val="20"/>
          <w:color w:val="auto"/>
        </w:rPr>
      </w:pPr>
    </w:p>
    <w:p>
      <w:pPr>
        <w:ind w:left="1980" w:right="1059"/>
        <w:spacing w:after="0" w:line="279" w:lineRule="auto"/>
        <w:rPr>
          <w:sz w:val="20"/>
          <w:szCs w:val="20"/>
          <w:color w:val="auto"/>
        </w:rPr>
      </w:pPr>
      <w:r>
        <w:rPr>
          <w:rFonts w:ascii="Times New Roman" w:cs="Times New Roman" w:eastAsia="Times New Roman" w:hAnsi="Times New Roman"/>
          <w:sz w:val="12"/>
          <w:szCs w:val="12"/>
          <w:color w:val="auto"/>
        </w:rPr>
        <w:t>The following potentially dilutive outstanding securities were excluded from the computation of diluted net loss per share because their effect would have been anti-dilutive for the periods presented:</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88"/>
        </w:trPr>
        <w:tc>
          <w:tcPr>
            <w:tcW w:w="3780" w:type="dxa"/>
            <w:vAlign w:val="bottom"/>
            <w:tcBorders>
              <w:bottom w:val="single" w:sz="8" w:color="CCEEFF"/>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221"/>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Borders>
              <w:bottom w:val="single" w:sz="8" w:color="CCEEFF"/>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Borders>
              <w:bottom w:val="single" w:sz="8" w:color="CCEEFF"/>
            </w:tcBorders>
          </w:tcPr>
          <w:p>
            <w:pPr>
              <w:spacing w:after="0"/>
              <w:rPr>
                <w:sz w:val="7"/>
                <w:szCs w:val="7"/>
                <w:color w:val="auto"/>
              </w:rPr>
            </w:pPr>
          </w:p>
        </w:tc>
      </w:tr>
      <w:tr>
        <w:trPr>
          <w:trHeight w:val="133"/>
        </w:trPr>
        <w:tc>
          <w:tcPr>
            <w:tcW w:w="3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Stock options</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35,985,182</w:t>
            </w: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33,123,798</w:t>
            </w:r>
          </w:p>
        </w:tc>
        <w:tc>
          <w:tcPr>
            <w:tcW w:w="60" w:type="dxa"/>
            <w:vAlign w:val="bottom"/>
            <w:shd w:val="clear" w:color="auto" w:fill="CCEEFF"/>
          </w:tcPr>
          <w:p>
            <w:pPr>
              <w:spacing w:after="0"/>
              <w:rPr>
                <w:sz w:val="11"/>
                <w:szCs w:val="11"/>
                <w:color w:val="auto"/>
              </w:rPr>
            </w:pP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Public Warrants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5,467,692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6,854,309</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February 2024 BDO Firm Warrants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3,803,447</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April 2024 RDO Placement Agent Warrants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1,200,000</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Retainer Shares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14,000,000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4,000,000</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Private Warrants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1,000,000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3,613,383</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February 2024 BDO Representative Warrants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470,588</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Shares Issuable pursuant to the ESPP</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77,167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29,806</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issuable under the SIPA</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300,000</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Convertible Debentures</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546,921</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2024 Placement Agent Warrants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3,669,724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December 2024 RDO Common Warrants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57,512,958</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StockBlock Warrants</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4,601,036</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Shares issuable under Tranche B Notes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40,551,607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r>
      <w:tr>
        <w:trPr>
          <w:trHeight w:val="20"/>
        </w:trPr>
        <w:tc>
          <w:tcPr>
            <w:tcW w:w="3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168,639,401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48,168,217</w:t>
            </w:r>
          </w:p>
        </w:tc>
      </w:tr>
      <w:tr>
        <w:trPr>
          <w:trHeight w:val="20"/>
        </w:trPr>
        <w:tc>
          <w:tcPr>
            <w:tcW w:w="3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14. Subsequent Events</w:t>
      </w:r>
    </w:p>
    <w:p>
      <w:pPr>
        <w:spacing w:after="0" w:line="7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Deferral and Consent under Tranche B Senior Secured Convertible Note</w:t>
      </w:r>
    </w:p>
    <w:p>
      <w:pPr>
        <w:spacing w:after="0" w:line="82" w:lineRule="exact"/>
        <w:rPr>
          <w:sz w:val="20"/>
          <w:szCs w:val="20"/>
          <w:color w:val="auto"/>
        </w:rPr>
      </w:pPr>
    </w:p>
    <w:p>
      <w:pPr>
        <w:ind w:left="1980" w:right="899"/>
        <w:spacing w:after="0" w:line="260" w:lineRule="auto"/>
        <w:rPr>
          <w:sz w:val="20"/>
          <w:szCs w:val="20"/>
          <w:color w:val="auto"/>
        </w:rPr>
      </w:pPr>
      <w:r>
        <w:rPr>
          <w:rFonts w:ascii="Times New Roman" w:cs="Times New Roman" w:eastAsia="Times New Roman" w:hAnsi="Times New Roman"/>
          <w:sz w:val="12"/>
          <w:szCs w:val="12"/>
          <w:color w:val="auto"/>
        </w:rPr>
        <w:t>Pursuant to the Tranche B Notes, commencing on January 2, 2025 (the “First Amortization Payment Date”), the Company is required to redeem in cash (the “First Amortization Payment”) such portion of the principal amount of the Tranche B Notes equal to each Tranche B Noteholder’s Holder Pro Rata Amount (as defined in the Tranche B Notes) of $6,250,000 per fiscal quarter at a redemption price equal to 100% of such Amortization Amount (as defined in the Tranche B Notes).</w:t>
      </w:r>
    </w:p>
    <w:p>
      <w:pPr>
        <w:spacing w:after="0" w:line="122" w:lineRule="exact"/>
        <w:rPr>
          <w:sz w:val="20"/>
          <w:szCs w:val="20"/>
          <w:color w:val="auto"/>
        </w:rPr>
      </w:pPr>
    </w:p>
    <w:p>
      <w:pPr>
        <w:ind w:left="1980" w:right="839"/>
        <w:spacing w:after="0" w:line="254" w:lineRule="auto"/>
        <w:rPr>
          <w:sz w:val="20"/>
          <w:szCs w:val="20"/>
          <w:color w:val="auto"/>
        </w:rPr>
      </w:pPr>
      <w:r>
        <w:rPr>
          <w:rFonts w:ascii="Times New Roman" w:cs="Times New Roman" w:eastAsia="Times New Roman" w:hAnsi="Times New Roman"/>
          <w:sz w:val="12"/>
          <w:szCs w:val="12"/>
          <w:color w:val="auto"/>
        </w:rPr>
        <w:t>On January 2, 2025, the Company entered into a deferral and consent letter with each of (i) Nomis Bay Ltd and BPY Limited (the “Nomis Bay Consent”), (ii) Oramed (the “Oramed Consent”) and (iii) 3i, LP (the “3i Consent” and, together with the Nomis Bay Consent and the Oramed Consent, the “Tranche B Consents”), respectively, pursuant to which the Tranche B Noteholders agreed to defer the Company’s obligation to make the First Amortization Payment until January 31, 2025. In consideration of such deferral, and to limit the Tranche B Noteholders’ right to exercise certain secured creditor remedies (including recourse against the assets of SCLX JV as a grantor under the Security Agreement (as defined in the Tranche B Consents)), SCLX JV delivered to the Tranche B Noteholders (or their designee) by deposit/withdrawal at custodian with the Depository Trust Company an aggregate of 5,000,000 Scilex Shares held by SCLX JV, of which 2,500,000 shares were delivered to Oramed, 720,000 shares were delivered to BPY Limited, 1,280,000 shares were delivered to Nomis Bay Ltd, and 500,000 shares were delivered to 3i, LP.</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F-53</w:t>
      </w:r>
    </w:p>
    <w:p>
      <w:pPr>
        <w:sectPr>
          <w:pgSz w:w="11900" w:h="16838" w:orient="portrait"/>
          <w:cols w:equalWidth="0" w:num="1">
            <w:col w:w="10159"/>
          </w:cols>
          <w:pgMar w:left="300" w:top="368" w:right="1440"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59"/>
        <w:spacing w:after="0" w:line="286" w:lineRule="auto"/>
        <w:rPr>
          <w:sz w:val="20"/>
          <w:szCs w:val="20"/>
          <w:color w:val="auto"/>
        </w:rPr>
      </w:pPr>
      <w:r>
        <w:rPr>
          <w:rFonts w:ascii="Times New Roman" w:cs="Times New Roman" w:eastAsia="Times New Roman" w:hAnsi="Times New Roman"/>
          <w:sz w:val="11"/>
          <w:szCs w:val="11"/>
          <w:color w:val="auto"/>
        </w:rPr>
        <w:t>In addition, pursuant to the Tranche B Consents, effective as of the latest of (i) the time of execution and delivery of the Tranche B Consents, (ii) the time of the delivery of the Scilex Shares and (iii) the time of grant of the Royalty and Exclusive Rights (each as defined in, and contemplated pursuant to, the Term Sheet that is an exhibit to the Tranche B Consents (the “Term Sheet”)), the Tranche B Noteholders agreed to further defer the Company’s obligation to make the First Amortization Payment until October 8, 2026, provided that, as contemplated in the Term Sheet, the Company pays an aggregate of $1.1 million in respect of a portion of the First Amortization Payment and related make-whole interest (which amount has been paid).</w:t>
      </w:r>
    </w:p>
    <w:p>
      <w:pPr>
        <w:spacing w:after="0" w:line="110" w:lineRule="exact"/>
        <w:rPr>
          <w:sz w:val="20"/>
          <w:szCs w:val="20"/>
          <w:color w:val="auto"/>
        </w:rPr>
      </w:pPr>
    </w:p>
    <w:p>
      <w:pPr>
        <w:ind w:left="1980" w:right="879"/>
        <w:spacing w:after="0" w:line="260" w:lineRule="auto"/>
        <w:rPr>
          <w:sz w:val="20"/>
          <w:szCs w:val="20"/>
          <w:color w:val="auto"/>
        </w:rPr>
      </w:pPr>
      <w:r>
        <w:rPr>
          <w:rFonts w:ascii="Times New Roman" w:cs="Times New Roman" w:eastAsia="Times New Roman" w:hAnsi="Times New Roman"/>
          <w:sz w:val="12"/>
          <w:szCs w:val="12"/>
          <w:color w:val="auto"/>
        </w:rPr>
        <w:t>The Term Sheet provides that the Company and the Tranche B Noteholders would enter into an agreement pursuant to which the Tranche B Noteholders shall collectively receive a 10 year, assignable, freely transferable, 4% royalty on the worldwide Net Sales (as defined therein) of GLOPERBA and ELYXYB, excluding sales of ELYXYB in Canada. Please see section below titled “Gloperba and Elyxyb Royalty Purchase Agreement” for a description of such royalty agreement entered into by us.</w:t>
      </w:r>
    </w:p>
    <w:p>
      <w:pPr>
        <w:spacing w:after="0" w:line="1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to Senior Secured Note</w:t>
      </w:r>
    </w:p>
    <w:p>
      <w:pPr>
        <w:spacing w:after="0" w:line="82" w:lineRule="exact"/>
        <w:rPr>
          <w:sz w:val="20"/>
          <w:szCs w:val="20"/>
          <w:color w:val="auto"/>
        </w:rPr>
      </w:pPr>
    </w:p>
    <w:p>
      <w:pPr>
        <w:jc w:val="both"/>
        <w:ind w:left="1980" w:right="879"/>
        <w:spacing w:after="0" w:line="265" w:lineRule="auto"/>
        <w:rPr>
          <w:sz w:val="20"/>
          <w:szCs w:val="20"/>
          <w:color w:val="auto"/>
        </w:rPr>
      </w:pPr>
      <w:r>
        <w:rPr>
          <w:rFonts w:ascii="Times New Roman" w:cs="Times New Roman" w:eastAsia="Times New Roman" w:hAnsi="Times New Roman"/>
          <w:sz w:val="12"/>
          <w:szCs w:val="12"/>
          <w:color w:val="auto"/>
        </w:rPr>
        <w:t>On January 21, 2025, the Company entered into an amendment letter with Oramed (the “Oramed Amendment”), pursuant to which, among other things, Oramed agreed to extend the Maturity Date under and as set forth in the Oramed Note from March 21, 2025 to December 31, 2025. In consideration of such extension, SCLX JV agreed to deliver to Oramed an aggregate of 3,250,000 shares of Common Stock held by SCLX JV.</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ZTlido Rest of World License Agreement</w:t>
      </w:r>
    </w:p>
    <w:p>
      <w:pPr>
        <w:spacing w:after="0" w:line="78" w:lineRule="exact"/>
        <w:rPr>
          <w:sz w:val="20"/>
          <w:szCs w:val="20"/>
          <w:color w:val="auto"/>
        </w:rPr>
      </w:pPr>
    </w:p>
    <w:p>
      <w:pPr>
        <w:ind w:left="1980" w:right="919"/>
        <w:spacing w:after="0" w:line="282" w:lineRule="auto"/>
        <w:rPr>
          <w:sz w:val="20"/>
          <w:szCs w:val="20"/>
          <w:color w:val="auto"/>
        </w:rPr>
      </w:pPr>
      <w:r>
        <w:rPr>
          <w:rFonts w:ascii="Times New Roman" w:cs="Times New Roman" w:eastAsia="Times New Roman" w:hAnsi="Times New Roman"/>
          <w:sz w:val="11"/>
          <w:szCs w:val="11"/>
          <w:color w:val="auto"/>
        </w:rPr>
        <w:t>On February 22, 2025 (the “</w:t>
      </w:r>
      <w:r>
        <w:rPr>
          <w:rFonts w:ascii="Times New Roman" w:cs="Times New Roman" w:eastAsia="Times New Roman" w:hAnsi="Times New Roman"/>
          <w:sz w:val="11"/>
          <w:szCs w:val="11"/>
          <w:b w:val="1"/>
          <w:bCs w:val="1"/>
          <w:i w:val="1"/>
          <w:iCs w:val="1"/>
          <w:color w:val="auto"/>
        </w:rPr>
        <w:t>Lido Effective Date</w:t>
      </w:r>
      <w:r>
        <w:rPr>
          <w:rFonts w:ascii="Times New Roman" w:cs="Times New Roman" w:eastAsia="Times New Roman" w:hAnsi="Times New Roman"/>
          <w:sz w:val="11"/>
          <w:szCs w:val="11"/>
          <w:color w:val="auto"/>
        </w:rPr>
        <w:t>”), Scilex Pharma entered into a License Agreement (the “</w:t>
      </w:r>
      <w:r>
        <w:rPr>
          <w:rFonts w:ascii="Times New Roman" w:cs="Times New Roman" w:eastAsia="Times New Roman" w:hAnsi="Times New Roman"/>
          <w:sz w:val="11"/>
          <w:szCs w:val="11"/>
          <w:b w:val="1"/>
          <w:bCs w:val="1"/>
          <w:i w:val="1"/>
          <w:iCs w:val="1"/>
          <w:color w:val="auto"/>
        </w:rPr>
        <w:t>Lido License Agreement</w:t>
      </w:r>
      <w:r>
        <w:rPr>
          <w:rFonts w:ascii="Times New Roman" w:cs="Times New Roman" w:eastAsia="Times New Roman" w:hAnsi="Times New Roman"/>
          <w:sz w:val="11"/>
          <w:szCs w:val="11"/>
          <w:color w:val="auto"/>
        </w:rPr>
        <w:t>”) with RoyaltyVest Ltd. (the “Licensee”) with respect to services, compositions, products, dosages and formulations comprising lidocaine that have been or are later developed by or on behalf of Scilex Pharma, including the product and any future product defined as a “Product” under Scilex Pharma’s existing</w:t>
      </w:r>
    </w:p>
    <w:p>
      <w:pPr>
        <w:spacing w:after="0" w:line="1" w:lineRule="exact"/>
        <w:rPr>
          <w:sz w:val="20"/>
          <w:szCs w:val="20"/>
          <w:color w:val="auto"/>
        </w:rPr>
      </w:pPr>
    </w:p>
    <w:p>
      <w:pPr>
        <w:ind w:left="1980" w:right="919" w:hanging="8"/>
        <w:spacing w:after="0" w:line="253" w:lineRule="auto"/>
        <w:tabs>
          <w:tab w:leader="none" w:pos="2123"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Development Agreement, dated as of May 11, 2011, with Oishi and Itochu, as amended, and (ii) the associated Commercial Supply Agreement, dated February 16, 2017, between Scilex Pharma, Oishi and Itochu, as amended, which include (a) ZTlido (lidocaine topical system) 1.8%, including the composition of matter with the NDC 69557-111-30 and (b) SP-103 (collectively, the “</w:t>
      </w:r>
      <w:r>
        <w:rPr>
          <w:rFonts w:ascii="Times New Roman" w:cs="Times New Roman" w:eastAsia="Times New Roman" w:hAnsi="Times New Roman"/>
          <w:sz w:val="12"/>
          <w:szCs w:val="12"/>
          <w:b w:val="1"/>
          <w:bCs w:val="1"/>
          <w:i w:val="1"/>
          <w:iCs w:val="1"/>
          <w:color w:val="auto"/>
        </w:rPr>
        <w:t>Lido Product</w:t>
      </w:r>
      <w:r>
        <w:rPr>
          <w:rFonts w:ascii="Times New Roman" w:cs="Times New Roman" w:eastAsia="Times New Roman" w:hAnsi="Times New Roman"/>
          <w:sz w:val="12"/>
          <w:szCs w:val="12"/>
          <w:color w:val="auto"/>
        </w:rPr>
        <w:t>”). The Lido License Agreement supersedes and replaces the that certain Rest of World License Term Sheet parties entered into on October 8, 2024.</w:t>
      </w:r>
    </w:p>
    <w:p>
      <w:pPr>
        <w:spacing w:after="0" w:line="127" w:lineRule="exact"/>
        <w:rPr>
          <w:sz w:val="20"/>
          <w:szCs w:val="20"/>
          <w:color w:val="auto"/>
        </w:rPr>
      </w:pPr>
    </w:p>
    <w:p>
      <w:pPr>
        <w:ind w:left="1980" w:right="839"/>
        <w:spacing w:after="0" w:line="253" w:lineRule="auto"/>
        <w:rPr>
          <w:sz w:val="20"/>
          <w:szCs w:val="20"/>
          <w:color w:val="auto"/>
        </w:rPr>
      </w:pPr>
      <w:r>
        <w:rPr>
          <w:rFonts w:ascii="Times New Roman" w:cs="Times New Roman" w:eastAsia="Times New Roman" w:hAnsi="Times New Roman"/>
          <w:sz w:val="12"/>
          <w:szCs w:val="12"/>
          <w:color w:val="auto"/>
        </w:rPr>
        <w:t>Under the Lido License Agreement, Scilex Pharma granted to the Licensee during the Lido License Term (as defined below) a worldwide (other than the United States and certain territories stated in the Lido License Agreement), exclusive, non-transferable right, license and interest in, to, and under all Product Rights Controlled (each as defined therein) by Scilex Pharma to develop, manufacture, obtain and maintain regulatory approvals for, commercialize and otherwise exploit all Lido Products, in all cases solely for commercialization of the Lido Products outside of the United States and certain territories stated in the Lido License Agreement (the “</w:t>
      </w:r>
      <w:r>
        <w:rPr>
          <w:rFonts w:ascii="Times New Roman" w:cs="Times New Roman" w:eastAsia="Times New Roman" w:hAnsi="Times New Roman"/>
          <w:sz w:val="12"/>
          <w:szCs w:val="12"/>
          <w:b w:val="1"/>
          <w:bCs w:val="1"/>
          <w:i w:val="1"/>
          <w:iCs w:val="1"/>
          <w:color w:val="auto"/>
        </w:rPr>
        <w:t>Lido Licensee Territory</w:t>
      </w:r>
      <w:r>
        <w:rPr>
          <w:rFonts w:ascii="Times New Roman" w:cs="Times New Roman" w:eastAsia="Times New Roman" w:hAnsi="Times New Roman"/>
          <w:sz w:val="12"/>
          <w:szCs w:val="12"/>
          <w:color w:val="auto"/>
        </w:rPr>
        <w:t>”). The Licensee granted to Scilex Pharma a non-exclusive, non-transferable, right and license under the Licensee Non-Blocking Patents (as defined therein) (i) in the Licensor Territory (as defined therein), to develop, manufacture, obtain and maintain regulatory approvals for, commercialize and otherwise exploit Lido Product for commercialization of Lido Products in the Licensor Territory in the Field (each as defined therein), and (ii) worldwide, to develop and manufacture Lido Product for commercialization in the Licensor Territory in the Field (each as defined therein). Each of the Licensee and Scilex Pharma will receive 50% of the Net Revenue (as defined therein) generated, and the Licensee shall effect the foregoing by paying to Scilex Pharma its share of the Net Revenue on a quarterly basis.</w:t>
      </w:r>
    </w:p>
    <w:p>
      <w:pPr>
        <w:spacing w:after="0" w:line="273" w:lineRule="exact"/>
        <w:rPr>
          <w:sz w:val="20"/>
          <w:szCs w:val="20"/>
          <w:color w:val="auto"/>
        </w:rPr>
      </w:pPr>
    </w:p>
    <w:p>
      <w:pPr>
        <w:ind w:left="1980" w:right="919"/>
        <w:spacing w:after="0" w:line="265" w:lineRule="auto"/>
        <w:rPr>
          <w:sz w:val="20"/>
          <w:szCs w:val="20"/>
          <w:color w:val="auto"/>
        </w:rPr>
      </w:pPr>
      <w:r>
        <w:rPr>
          <w:rFonts w:ascii="Times New Roman" w:cs="Times New Roman" w:eastAsia="Times New Roman" w:hAnsi="Times New Roman"/>
          <w:sz w:val="12"/>
          <w:szCs w:val="12"/>
          <w:color w:val="auto"/>
        </w:rPr>
        <w:t>Pursuant to the Lido License Agreement, the Licensee shall (i) use commercially reasonable efforts to obtain and maintain regulatory approval for the Lido Product in at least one Major Market Country (as defined therein) within 18 months after the Lido Effective Date, and (ii) commit $200,000, or its equivalent in kind, annually</w:t>
      </w:r>
    </w:p>
    <w:p>
      <w:pPr>
        <w:spacing w:after="0" w:line="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F-54</w:t>
      </w:r>
    </w:p>
    <w:p>
      <w:pPr>
        <w:sectPr>
          <w:pgSz w:w="11900" w:h="16838" w:orient="portrait"/>
          <w:cols w:equalWidth="0" w:num="1">
            <w:col w:w="10159"/>
          </w:cols>
          <w:pgMar w:left="300" w:top="368" w:right="1440"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79"/>
        <w:spacing w:after="0" w:line="265" w:lineRule="auto"/>
        <w:rPr>
          <w:sz w:val="20"/>
          <w:szCs w:val="20"/>
          <w:color w:val="auto"/>
        </w:rPr>
      </w:pPr>
      <w:r>
        <w:rPr>
          <w:rFonts w:ascii="Times New Roman" w:cs="Times New Roman" w:eastAsia="Times New Roman" w:hAnsi="Times New Roman"/>
          <w:sz w:val="12"/>
          <w:szCs w:val="12"/>
          <w:color w:val="auto"/>
        </w:rPr>
        <w:t>towards such efforts until it obtains regulatory approval for the Lido Product in the Lido Licensee Territory. Scilex Pharma shall use commercially reasonable and diligent efforts to obtain and maintain regulatory approvals for SP-103 and all existing Lido Products in each country or jurisdiction in the Licensor Territory (as defined therein).</w:t>
      </w:r>
    </w:p>
    <w:p>
      <w:pPr>
        <w:spacing w:after="0" w:line="119" w:lineRule="exact"/>
        <w:rPr>
          <w:sz w:val="20"/>
          <w:szCs w:val="20"/>
          <w:color w:val="auto"/>
        </w:rPr>
      </w:pPr>
    </w:p>
    <w:p>
      <w:pPr>
        <w:ind w:left="1980" w:right="859"/>
        <w:spacing w:after="0" w:line="260" w:lineRule="auto"/>
        <w:rPr>
          <w:sz w:val="20"/>
          <w:szCs w:val="20"/>
          <w:color w:val="auto"/>
        </w:rPr>
      </w:pPr>
      <w:r>
        <w:rPr>
          <w:rFonts w:ascii="Times New Roman" w:cs="Times New Roman" w:eastAsia="Times New Roman" w:hAnsi="Times New Roman"/>
          <w:sz w:val="12"/>
          <w:szCs w:val="12"/>
          <w:color w:val="auto"/>
        </w:rPr>
        <w:t>Promptly after the Lido Effective Date, Scilex Pharma is required to (i) facilitate an introduction between Oishi, Itochu, and the Licensee, and (ii) use reasonable efforts to cause each of Oishi and Itochu to accept a direct engagement with the Licensee for the manufacturing or supply of the Lido Product in finished dosage form. In addition, Scilex Pharma agreed to appoint the Licensee as its exclusive distributor of the Lido Product in the Licensee Territory during the Lido License Term.</w:t>
      </w:r>
    </w:p>
    <w:p>
      <w:pPr>
        <w:spacing w:after="0" w:line="122" w:lineRule="exact"/>
        <w:rPr>
          <w:sz w:val="20"/>
          <w:szCs w:val="20"/>
          <w:color w:val="auto"/>
        </w:rPr>
      </w:pPr>
    </w:p>
    <w:p>
      <w:pPr>
        <w:ind w:left="1980" w:right="899"/>
        <w:spacing w:after="0" w:line="279" w:lineRule="auto"/>
        <w:rPr>
          <w:sz w:val="20"/>
          <w:szCs w:val="20"/>
          <w:color w:val="auto"/>
        </w:rPr>
      </w:pPr>
      <w:r>
        <w:rPr>
          <w:rFonts w:ascii="Times New Roman" w:cs="Times New Roman" w:eastAsia="Times New Roman" w:hAnsi="Times New Roman"/>
          <w:sz w:val="12"/>
          <w:szCs w:val="12"/>
          <w:color w:val="auto"/>
        </w:rPr>
        <w:t>The term of the Lido License Agreement commences on the Lido Effective Date and continues until expiration of the last to expire Licensed Patents (as defined therein), unless earlier terminated (the “</w:t>
      </w:r>
      <w:r>
        <w:rPr>
          <w:rFonts w:ascii="Times New Roman" w:cs="Times New Roman" w:eastAsia="Times New Roman" w:hAnsi="Times New Roman"/>
          <w:sz w:val="12"/>
          <w:szCs w:val="12"/>
          <w:b w:val="1"/>
          <w:bCs w:val="1"/>
          <w:i w:val="1"/>
          <w:iCs w:val="1"/>
          <w:color w:val="auto"/>
        </w:rPr>
        <w:t>Lido License Term</w:t>
      </w:r>
      <w:r>
        <w:rPr>
          <w:rFonts w:ascii="Times New Roman" w:cs="Times New Roman" w:eastAsia="Times New Roman" w:hAnsi="Times New Roman"/>
          <w:sz w:val="12"/>
          <w:szCs w:val="12"/>
          <w:color w:val="auto"/>
        </w:rPr>
        <w: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Parent Guarantee for Lido License Agreement</w:t>
      </w:r>
    </w:p>
    <w:p>
      <w:pPr>
        <w:spacing w:after="0" w:line="82" w:lineRule="exact"/>
        <w:rPr>
          <w:sz w:val="20"/>
          <w:szCs w:val="20"/>
          <w:color w:val="auto"/>
        </w:rPr>
      </w:pPr>
    </w:p>
    <w:p>
      <w:pPr>
        <w:ind w:left="1980" w:right="919"/>
        <w:spacing w:after="0" w:line="256" w:lineRule="auto"/>
        <w:rPr>
          <w:sz w:val="20"/>
          <w:szCs w:val="20"/>
          <w:color w:val="auto"/>
        </w:rPr>
      </w:pPr>
      <w:r>
        <w:rPr>
          <w:rFonts w:ascii="Times New Roman" w:cs="Times New Roman" w:eastAsia="Times New Roman" w:hAnsi="Times New Roman"/>
          <w:sz w:val="12"/>
          <w:szCs w:val="12"/>
          <w:color w:val="auto"/>
        </w:rPr>
        <w:t>On February 22, 2025, in connection with Lido License Agreement, the Company entered into that certain Parent Guarantee for Lidocaine License Agreement (the “</w:t>
      </w:r>
      <w:r>
        <w:rPr>
          <w:rFonts w:ascii="Times New Roman" w:cs="Times New Roman" w:eastAsia="Times New Roman" w:hAnsi="Times New Roman"/>
          <w:sz w:val="12"/>
          <w:szCs w:val="12"/>
          <w:b w:val="1"/>
          <w:bCs w:val="1"/>
          <w:i w:val="1"/>
          <w:iCs w:val="1"/>
          <w:color w:val="auto"/>
        </w:rPr>
        <w:t>Parent Guarantee</w:t>
      </w:r>
      <w:r>
        <w:rPr>
          <w:rFonts w:ascii="Times New Roman" w:cs="Times New Roman" w:eastAsia="Times New Roman" w:hAnsi="Times New Roman"/>
          <w:sz w:val="12"/>
          <w:szCs w:val="12"/>
          <w:color w:val="auto"/>
        </w:rPr>
        <w:t>”) with the Licensee, pursuant to which the Company agreed to guarantee the due and proper performance of Scilex Pharma’s obligations under the Lido License Agreement on the terms and conditions set forth in the Parent Guarantee. Pursuant to the terms of the Parent Guarantee, the Company shall provide the Licensee with written notice of any Change of Control (as defined therein) of Scilex Pharma within five business days after the consummation of such Change of Control, and the Parent Guarantee and the guarantee obligations shall automatically terminate upon the consummation of such Change of Control.</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Gloperba-Elyxyb Royalty Purchase Agreement</w:t>
      </w:r>
    </w:p>
    <w:p>
      <w:pPr>
        <w:spacing w:after="0" w:line="82" w:lineRule="exact"/>
        <w:rPr>
          <w:sz w:val="20"/>
          <w:szCs w:val="20"/>
          <w:color w:val="auto"/>
        </w:rPr>
      </w:pPr>
    </w:p>
    <w:p>
      <w:pPr>
        <w:ind w:left="1980" w:right="859"/>
        <w:spacing w:after="0" w:line="255" w:lineRule="auto"/>
        <w:rPr>
          <w:sz w:val="20"/>
          <w:szCs w:val="20"/>
          <w:color w:val="auto"/>
        </w:rPr>
      </w:pPr>
      <w:r>
        <w:rPr>
          <w:rFonts w:ascii="Times New Roman" w:cs="Times New Roman" w:eastAsia="Times New Roman" w:hAnsi="Times New Roman"/>
          <w:sz w:val="12"/>
          <w:szCs w:val="12"/>
          <w:color w:val="auto"/>
        </w:rPr>
        <w:t>As contemplated by the Term Sheet in respect of the Royalty and Exclusive Rights described therein, on February 28, 2025 (the “Gloperba-Elyxyb Closing Date”), the Company entered into a Purchase and Sale Agreement (the “Gloperba-Elyxyb Royalty Purchase Agreement”) with Scilex Pharma, certain institutional investors (collectively, the “Gloperba-Elyxyb Royalty Investors”) and Oramed (together with the Gloperba-Elyxyb Royalty Investors, the “Gloperba-Elyxyb RPA Purchasers”). Pursuant to the Gloperba-Elyxyb Royalty Purchase Agreement, Scilex Pharma sold to the Gloperba-Elyxyb RPA Purchasers the right to receive 4% of all aggregate net sales worldwide (the “Gloperba-Elyxyb Purchased Receivables”) with respect to Gloperba, Elyxyb, and any related, improved, successor, replacement and/or varying dosage forms of the foregoing (the “Gloperba-Elyxyb Covered Products”).</w:t>
      </w:r>
    </w:p>
    <w:p>
      <w:pPr>
        <w:spacing w:after="0" w:line="126" w:lineRule="exact"/>
        <w:rPr>
          <w:sz w:val="20"/>
          <w:szCs w:val="20"/>
          <w:color w:val="auto"/>
        </w:rPr>
      </w:pPr>
    </w:p>
    <w:p>
      <w:pPr>
        <w:ind w:left="1980" w:right="939"/>
        <w:spacing w:after="0" w:line="255" w:lineRule="auto"/>
        <w:rPr>
          <w:sz w:val="20"/>
          <w:szCs w:val="20"/>
          <w:color w:val="auto"/>
        </w:rPr>
      </w:pPr>
      <w:r>
        <w:rPr>
          <w:rFonts w:ascii="Times New Roman" w:cs="Times New Roman" w:eastAsia="Times New Roman" w:hAnsi="Times New Roman"/>
          <w:sz w:val="12"/>
          <w:szCs w:val="12"/>
          <w:color w:val="auto"/>
        </w:rPr>
        <w:t>In consideration of the Further Deferral and representing the “grant of the Royalty and Exclusive Rights” (as defined in the Term Sheet), during the period commencing on the Gloperba-Elyxyb Closing Date and expiring on the tenth anniversary of the Gloperba-Elyxyb Closing Date (the “Gloperba-Elyxyb Payment Term”), Scilex Pharma shall pay to each Gloperba-Elyxyb RPA Purchaser, by wire transfer of immediately available funds in U.S. dollars to such Gloperba-Elyxyb RPA Purchaser’s account such Gloperba-Elyxyb RPA Purchaser’s Specified Percentage (as defined in the Gloperba-Elyxyb Royalty Purchase Agreement) of the Covered Product Revenue Payments (each as defined in the Gloperba-Elyxyb Royalty Purchase Agreement) for each calendar quarter (commencing with the calendar quarter beginning January 1, 2025) promptly, but in any event no later than 60 calendar days after the end of each calendar quarter.</w:t>
      </w:r>
    </w:p>
    <w:p>
      <w:pPr>
        <w:spacing w:after="0" w:line="126" w:lineRule="exact"/>
        <w:rPr>
          <w:sz w:val="20"/>
          <w:szCs w:val="20"/>
          <w:color w:val="auto"/>
        </w:rPr>
      </w:pPr>
    </w:p>
    <w:p>
      <w:pPr>
        <w:ind w:left="1980" w:right="1279"/>
        <w:spacing w:after="0" w:line="279" w:lineRule="auto"/>
        <w:rPr>
          <w:sz w:val="20"/>
          <w:szCs w:val="20"/>
          <w:color w:val="auto"/>
        </w:rPr>
      </w:pPr>
      <w:r>
        <w:rPr>
          <w:rFonts w:ascii="Times New Roman" w:cs="Times New Roman" w:eastAsia="Times New Roman" w:hAnsi="Times New Roman"/>
          <w:sz w:val="12"/>
          <w:szCs w:val="12"/>
          <w:color w:val="auto"/>
        </w:rPr>
        <w:t>The Gloperba-Elyxyb Royalty Purchase Agreement shall terminate six months following receipt by the Gloperba-Elyxyb RPA Purchasers of all payments of the Purchased Receivables to which each Gloperba-Elyxyb RPA Purchaser is entitled during the Payment Term.</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F-55</w:t>
      </w:r>
    </w:p>
    <w:p>
      <w:pPr>
        <w:sectPr>
          <w:pgSz w:w="11900" w:h="16838" w:orient="portrait"/>
          <w:cols w:equalWidth="0" w:num="1">
            <w:col w:w="10159"/>
          </w:cols>
          <w:pgMar w:left="300" w:top="368" w:right="1440"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Royalty Security Agreement</w:t>
      </w:r>
    </w:p>
    <w:p>
      <w:pPr>
        <w:spacing w:after="0" w:line="82" w:lineRule="exact"/>
        <w:rPr>
          <w:sz w:val="20"/>
          <w:szCs w:val="20"/>
          <w:color w:val="auto"/>
        </w:rPr>
      </w:pPr>
    </w:p>
    <w:p>
      <w:pPr>
        <w:ind w:left="1980" w:right="899"/>
        <w:spacing w:after="0" w:line="265" w:lineRule="auto"/>
        <w:rPr>
          <w:sz w:val="20"/>
          <w:szCs w:val="20"/>
          <w:color w:val="auto"/>
        </w:rPr>
      </w:pPr>
      <w:r>
        <w:rPr>
          <w:rFonts w:ascii="Times New Roman" w:cs="Times New Roman" w:eastAsia="Times New Roman" w:hAnsi="Times New Roman"/>
          <w:sz w:val="12"/>
          <w:szCs w:val="12"/>
          <w:color w:val="auto"/>
        </w:rPr>
        <w:t>Pursuant to the terms of the Gloperba-Elyxyb Royalty Purchase Agreement, the Company entered into a Security Agreement with Scilex Pharma and the collateral agent (as identified therein) for the benefit of the Gloperba-Elyxyb RPA Purchasers, dated as of February 28, 2025 (the “Gloperba-Elyxyb Royalty Security Agreement”).</w:t>
      </w:r>
    </w:p>
    <w:p>
      <w:pPr>
        <w:spacing w:after="0" w:line="119" w:lineRule="exact"/>
        <w:rPr>
          <w:sz w:val="20"/>
          <w:szCs w:val="20"/>
          <w:color w:val="auto"/>
        </w:rPr>
      </w:pPr>
    </w:p>
    <w:p>
      <w:pPr>
        <w:jc w:val="both"/>
        <w:ind w:left="1980" w:right="999"/>
        <w:spacing w:after="0" w:line="265" w:lineRule="auto"/>
        <w:rPr>
          <w:sz w:val="20"/>
          <w:szCs w:val="20"/>
          <w:color w:val="auto"/>
        </w:rPr>
      </w:pPr>
      <w:r>
        <w:rPr>
          <w:rFonts w:ascii="Times New Roman" w:cs="Times New Roman" w:eastAsia="Times New Roman" w:hAnsi="Times New Roman"/>
          <w:sz w:val="12"/>
          <w:szCs w:val="12"/>
          <w:color w:val="auto"/>
        </w:rPr>
        <w:t>Under the Gloperba-Elyxyb Royalty Security Agreement, each of our and Scilex Pharma’s due performance and payment under the Gloperba-Elyxyb Royalty Purchase Agreement is secured by certain collateral, including a collection account and certain material contracts, intellectual property rights and regulatory approvals, in each case related to the Gloperba-Elyxyb Covered Products.</w:t>
      </w:r>
    </w:p>
    <w:p>
      <w:pPr>
        <w:spacing w:after="0" w:line="18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Subordination Agreement</w:t>
      </w:r>
    </w:p>
    <w:p>
      <w:pPr>
        <w:spacing w:after="0" w:line="82"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In connection with the Gloperba-Elyxyb Royalty Purchase Agreement and the Gloperba-Elyxyb Royalty Security Agreement, the Company entered into that certain Subordination Agreement, dated as of February 28, 2025 (the “Gloperba-Elyxyb Subordination Agreement”), by and among the Company, Scilex Pharma the Gloperba-Elyxyb RPA Purchasers and the Note Agent (each as defined in the Subordination Agreement). Pursuant to the Gloperba-Elyxyb Subordination Agreement, the parties agreed that all obligations, liabilities and indebtedness under the Gloperba-Elyxyb Royalty Purchase Agreement are secured by first priority liens on the collateral under the Gloperba-Elyxyb Royalty Security Agreement (the “Gloperba-Elyxyb Royalty Collateral”) and the Note Agent’s lien on the Gloperba-Elyxyb Royalty Collateral is subordinated and becomes a second priority lien.</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Amendment No. 1 to ZTlido Royalty Purchase Agreement</w:t>
      </w:r>
    </w:p>
    <w:p>
      <w:pPr>
        <w:spacing w:after="0" w:line="82" w:lineRule="exact"/>
        <w:rPr>
          <w:sz w:val="20"/>
          <w:szCs w:val="20"/>
          <w:color w:val="auto"/>
        </w:rPr>
      </w:pPr>
    </w:p>
    <w:p>
      <w:pPr>
        <w:ind w:left="1980" w:right="919"/>
        <w:spacing w:after="0" w:line="255" w:lineRule="auto"/>
        <w:rPr>
          <w:sz w:val="20"/>
          <w:szCs w:val="20"/>
          <w:color w:val="auto"/>
        </w:rPr>
      </w:pPr>
      <w:r>
        <w:rPr>
          <w:rFonts w:ascii="Times New Roman" w:cs="Times New Roman" w:eastAsia="Times New Roman" w:hAnsi="Times New Roman"/>
          <w:sz w:val="12"/>
          <w:szCs w:val="12"/>
          <w:color w:val="auto"/>
        </w:rPr>
        <w:t>On February 28, 2025, the Company and Scilex Pharma entered into an Amendment No. 1 to Purchase and Sale Agreement (the “ZTlido Royalty Amendment”) with the purchasers (the “ZTlido Royalty Purchasers”) under that certain Purchase and Sale Agreement, dated as of October 8, 2024 (the “ZTlido Royalty Purchase Agreement”). Pursuant to the Royalty Amendment, the Company and Scilex Pharma may assign their respective rights or delegate their respective obligations under the ZTlido Royalty Purchase Agreement without the prior written consent of the Purchasers if the Company receives a commitment, contingent upon an asset purchase of Covered Products (as defined in the ZTlido Royalty Purchase Agreement), that would allow the Company to pay in full all obligations owed under the Debt Instruments (as defined therein), provided that such purchaser of Covered Products agrees to assume all of the obligations of the Company and Scilex Pharma under the ZTlido Royalty Purchase Agreement.</w:t>
      </w:r>
    </w:p>
    <w:p>
      <w:pPr>
        <w:spacing w:after="0" w:line="19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i w:val="1"/>
          <w:iCs w:val="1"/>
          <w:color w:val="auto"/>
        </w:rPr>
        <w:t>Gloperba Rest of World License Agreement</w:t>
      </w:r>
    </w:p>
    <w:p>
      <w:pPr>
        <w:spacing w:after="0" w:line="82" w:lineRule="exact"/>
        <w:rPr>
          <w:sz w:val="20"/>
          <w:szCs w:val="20"/>
          <w:color w:val="auto"/>
        </w:rPr>
      </w:pPr>
    </w:p>
    <w:p>
      <w:pPr>
        <w:ind w:left="1980" w:right="899"/>
        <w:spacing w:after="0" w:line="257" w:lineRule="auto"/>
        <w:rPr>
          <w:sz w:val="20"/>
          <w:szCs w:val="20"/>
          <w:color w:val="auto"/>
        </w:rPr>
      </w:pPr>
      <w:r>
        <w:rPr>
          <w:rFonts w:ascii="Times New Roman" w:cs="Times New Roman" w:eastAsia="Times New Roman" w:hAnsi="Times New Roman"/>
          <w:sz w:val="12"/>
          <w:szCs w:val="12"/>
          <w:color w:val="auto"/>
        </w:rPr>
        <w:t>On February 28, 2025 (the “Effective Date”), the Company entered into a License Agreement (the “Gloperba License Agreement”) with Scilex Pharma and the Licensee with respect to (i) services, compositions, products, dosages and formulations comprising Gloperba that have been or are later developed by or on behalf of the Company, including the product and any future product defined as a “Licensed Product” under the Romeg License Agreement, as amended and as may be further amended or restated from time to time, and (ii) any related, improved, successor or replacement forms of any such product Controlled (as defined therein) by the Company ((i) and (ii) collectively, the “Gloperba Product”).</w:t>
      </w:r>
    </w:p>
    <w:p>
      <w:pPr>
        <w:spacing w:after="0" w:line="125" w:lineRule="exact"/>
        <w:rPr>
          <w:sz w:val="20"/>
          <w:szCs w:val="20"/>
          <w:color w:val="auto"/>
        </w:rPr>
      </w:pPr>
    </w:p>
    <w:p>
      <w:pPr>
        <w:ind w:left="1980" w:right="899"/>
        <w:spacing w:after="0" w:line="256" w:lineRule="auto"/>
        <w:rPr>
          <w:sz w:val="20"/>
          <w:szCs w:val="20"/>
          <w:color w:val="auto"/>
        </w:rPr>
      </w:pPr>
      <w:r>
        <w:rPr>
          <w:rFonts w:ascii="Times New Roman" w:cs="Times New Roman" w:eastAsia="Times New Roman" w:hAnsi="Times New Roman"/>
          <w:sz w:val="12"/>
          <w:szCs w:val="12"/>
          <w:color w:val="auto"/>
        </w:rPr>
        <w:t>Under the Gloperba License Agreement, the Company granted to the Licensee during the Gloperba License Term (as defined below) a worldwide, exclusive, non-transferable (except in connection with a permitted assignment of the Gloperba License Agreement) right, license and interest in, to, and under all Product Rights Controlled (each as defined therein) by the Company to develop, manufacture, obtain and maintain regulatory approvals for, commercialize and otherwise exploit all Gloperba Products, in all cases solely for commercialization of the Gloperba Products outside of the United States in the Field (as defined therein). The Licensee granted to the Company a non-exclusive, non-transferable (except in connection with a permitted assignment of the Gloperba</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F-56</w:t>
      </w:r>
    </w:p>
    <w:p>
      <w:pPr>
        <w:sectPr>
          <w:pgSz w:w="11900" w:h="16838" w:orient="portrait"/>
          <w:cols w:equalWidth="0" w:num="1">
            <w:col w:w="10159"/>
          </w:cols>
          <w:pgMar w:left="300" w:top="368"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859"/>
        <w:spacing w:after="0" w:line="256" w:lineRule="auto"/>
        <w:rPr>
          <w:sz w:val="20"/>
          <w:szCs w:val="20"/>
          <w:color w:val="auto"/>
        </w:rPr>
      </w:pPr>
      <w:r>
        <w:rPr>
          <w:rFonts w:ascii="Times New Roman" w:cs="Times New Roman" w:eastAsia="Times New Roman" w:hAnsi="Times New Roman"/>
          <w:sz w:val="12"/>
          <w:szCs w:val="12"/>
          <w:color w:val="auto"/>
        </w:rPr>
        <w:t>License Agreement), right and license under the Licensee Non-Blocking Patents (as defined therein) (i) in the United States, to develop, manufacture, obtain and maintain regulatory approvals for, commercialize and otherwise exploit Gloperba Product for commercialization of Gloperba Products in the United States in the Field (as defined therein), and (ii) worldwide, to develop and manufacture Gloperba Product for commercialization in the United States in the Field (as defined therein). Each of the Licensee and the Company will receive 50% of the Net Revenue (as defined therein) generated based on Licensee’s sale of the Gloperba Products, and the Licensee shall effect the foregoing by paying to the Company an amount required for the Company to receive its share of the Net Revenue on a quarterly basis.</w:t>
      </w:r>
    </w:p>
    <w:p>
      <w:pPr>
        <w:spacing w:after="0" w:line="125" w:lineRule="exact"/>
        <w:rPr>
          <w:sz w:val="20"/>
          <w:szCs w:val="20"/>
          <w:color w:val="auto"/>
        </w:rPr>
      </w:pPr>
    </w:p>
    <w:p>
      <w:pPr>
        <w:ind w:left="1980" w:right="879"/>
        <w:spacing w:after="0" w:line="279" w:lineRule="auto"/>
        <w:rPr>
          <w:sz w:val="20"/>
          <w:szCs w:val="20"/>
          <w:color w:val="auto"/>
        </w:rPr>
      </w:pPr>
      <w:r>
        <w:rPr>
          <w:rFonts w:ascii="Times New Roman" w:cs="Times New Roman" w:eastAsia="Times New Roman" w:hAnsi="Times New Roman"/>
          <w:sz w:val="12"/>
          <w:szCs w:val="12"/>
          <w:color w:val="auto"/>
        </w:rPr>
        <w:t>Pursuant to the Gloperba License Agreement, the Licensee shall obtain and maintain regulatory approval for the Gloperba Product outside of the United States in accordance with its own business judgment and in its sole and absolute discretion.</w:t>
      </w:r>
    </w:p>
    <w:p>
      <w:pPr>
        <w:spacing w:after="0" w:line="111" w:lineRule="exact"/>
        <w:rPr>
          <w:sz w:val="20"/>
          <w:szCs w:val="20"/>
          <w:color w:val="auto"/>
        </w:rPr>
      </w:pPr>
    </w:p>
    <w:p>
      <w:pPr>
        <w:ind w:left="1980" w:right="959"/>
        <w:spacing w:after="0" w:line="257" w:lineRule="auto"/>
        <w:rPr>
          <w:sz w:val="20"/>
          <w:szCs w:val="20"/>
          <w:color w:val="auto"/>
        </w:rPr>
      </w:pPr>
      <w:r>
        <w:rPr>
          <w:rFonts w:ascii="Times New Roman" w:cs="Times New Roman" w:eastAsia="Times New Roman" w:hAnsi="Times New Roman"/>
          <w:sz w:val="12"/>
          <w:szCs w:val="12"/>
          <w:color w:val="auto"/>
        </w:rPr>
        <w:t>Promptly after the Effective Date, the Company is required to (i) facilitate an introduction between the Licensee and the Company’s contract manufacturer of the Gloperba Product (the “Gloperba CMO”) as of the Effective Date, and (ii) use reasonable efforts to cause such Gloperba CMO to accept a direct engagement with the Licensee for the manufacturing or supply of the Gloperba Product in finished dosage form. In addition, the Company agreed to appoint the Licensee as its exclusive distributor of the Gloperba Product in the entire world other than the United States during the Gloperba License Term.</w:t>
      </w:r>
    </w:p>
    <w:p>
      <w:pPr>
        <w:spacing w:after="0" w:line="125" w:lineRule="exact"/>
        <w:rPr>
          <w:sz w:val="20"/>
          <w:szCs w:val="20"/>
          <w:color w:val="auto"/>
        </w:rPr>
      </w:pPr>
    </w:p>
    <w:p>
      <w:pPr>
        <w:ind w:left="1980" w:right="939"/>
        <w:spacing w:after="0" w:line="279" w:lineRule="auto"/>
        <w:rPr>
          <w:sz w:val="20"/>
          <w:szCs w:val="20"/>
          <w:color w:val="auto"/>
        </w:rPr>
      </w:pPr>
      <w:r>
        <w:rPr>
          <w:rFonts w:ascii="Times New Roman" w:cs="Times New Roman" w:eastAsia="Times New Roman" w:hAnsi="Times New Roman"/>
          <w:sz w:val="12"/>
          <w:szCs w:val="12"/>
          <w:color w:val="auto"/>
        </w:rPr>
        <w:t>The term of the Gloperba License Agreement commences on the Effective Date and continues until expiration of the last to expire Licensed Patents (as defined therein), unless earlier terminated (the “Gloperba License Term”).</w:t>
      </w:r>
    </w:p>
    <w:p>
      <w:pPr>
        <w:spacing w:after="0" w:line="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F-57</w:t>
      </w:r>
    </w:p>
    <w:p>
      <w:pPr>
        <w:sectPr>
          <w:pgSz w:w="11900" w:h="16838" w:orient="portrait"/>
          <w:cols w:equalWidth="0" w:num="1">
            <w:col w:w="10159"/>
          </w:cols>
          <w:pgMar w:left="300" w:top="368" w:right="1440"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INFORMATION NOT REQUIRED IN THE PROSPECTUS</w:t>
      </w:r>
    </w:p>
    <w:p>
      <w:pPr>
        <w:spacing w:after="0" w:line="15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13. Other Expenses of Issuance and Distribution.</w:t>
      </w:r>
    </w:p>
    <w:p>
      <w:pPr>
        <w:spacing w:after="0" w:line="82" w:lineRule="exact"/>
        <w:rPr>
          <w:sz w:val="20"/>
          <w:szCs w:val="20"/>
          <w:color w:val="auto"/>
        </w:rPr>
      </w:pPr>
    </w:p>
    <w:p>
      <w:pPr>
        <w:ind w:left="1980" w:right="899" w:firstLine="294"/>
        <w:spacing w:after="0" w:line="327" w:lineRule="auto"/>
        <w:rPr>
          <w:sz w:val="20"/>
          <w:szCs w:val="20"/>
          <w:color w:val="auto"/>
        </w:rPr>
      </w:pPr>
      <w:r>
        <w:rPr>
          <w:rFonts w:ascii="Times New Roman" w:cs="Times New Roman" w:eastAsia="Times New Roman" w:hAnsi="Times New Roman"/>
          <w:sz w:val="11"/>
          <w:szCs w:val="11"/>
          <w:color w:val="auto"/>
        </w:rPr>
        <w:t>The following table sets forth all expenses to be paid by Scilex Holding Company (the “Registrant”) in connection with the sale of the Common Stock being registered. The security holders will not bear any portion of such expenses. All amounts shown are estimates except for the registration fee.</w:t>
      </w:r>
    </w:p>
    <w:p>
      <w:pPr>
        <w:spacing w:after="0" w:line="116"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 registration fee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74,771.21*</w:t>
            </w: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Legal fees and expenses</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75,000</w:t>
            </w:r>
          </w:p>
        </w:tc>
      </w:tr>
      <w:tr>
        <w:trPr>
          <w:trHeight w:val="14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Accounting fees and expenses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40,000</w:t>
            </w:r>
          </w:p>
        </w:tc>
      </w:tr>
      <w:tr>
        <w:trPr>
          <w:trHeight w:val="144"/>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Printing, transfer agent fees and miscellaneous expenses</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100" w:type="dxa"/>
            <w:vAlign w:val="bottom"/>
          </w:tcPr>
          <w:p>
            <w:pPr>
              <w:spacing w:after="0"/>
              <w:rPr>
                <w:sz w:val="12"/>
                <w:szCs w:val="12"/>
                <w:color w:val="auto"/>
              </w:rPr>
            </w:pPr>
          </w:p>
        </w:tc>
      </w:tr>
      <w:tr>
        <w:trPr>
          <w:trHeight w:val="142"/>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199,771.21</w:t>
            </w:r>
          </w:p>
        </w:tc>
      </w:tr>
    </w:tbl>
    <w:p>
      <w:pPr>
        <w:spacing w:after="0" w:line="151" w:lineRule="exact"/>
        <w:rPr>
          <w:sz w:val="20"/>
          <w:szCs w:val="20"/>
          <w:color w:val="auto"/>
        </w:rPr>
      </w:pPr>
    </w:p>
    <w:p>
      <w:pPr>
        <w:ind w:left="2260" w:right="1379" w:hanging="288"/>
        <w:spacing w:after="0" w:line="279" w:lineRule="auto"/>
        <w:tabs>
          <w:tab w:leader="none" w:pos="226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paid. This amount represents the aggregate SEC registration fees which were previously paid with the filings of the previous registration statements (File Nos. 333-280882, and 333-276245).</w:t>
      </w:r>
    </w:p>
    <w:p>
      <w:pPr>
        <w:spacing w:after="0" w:line="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14. Indemnification of Directors and Officers.</w:t>
      </w:r>
    </w:p>
    <w:p>
      <w:pPr>
        <w:spacing w:after="0" w:line="82" w:lineRule="exact"/>
        <w:rPr>
          <w:sz w:val="20"/>
          <w:szCs w:val="20"/>
          <w:color w:val="auto"/>
        </w:rPr>
      </w:pPr>
    </w:p>
    <w:p>
      <w:pPr>
        <w:ind w:left="1980" w:right="919" w:firstLine="294"/>
        <w:spacing w:after="0" w:line="254" w:lineRule="auto"/>
        <w:rPr>
          <w:sz w:val="20"/>
          <w:szCs w:val="20"/>
          <w:color w:val="auto"/>
        </w:rPr>
      </w:pPr>
      <w:r>
        <w:rPr>
          <w:rFonts w:ascii="Times New Roman" w:cs="Times New Roman" w:eastAsia="Times New Roman" w:hAnsi="Times New Roman"/>
          <w:sz w:val="12"/>
          <w:szCs w:val="12"/>
          <w:color w:val="auto"/>
        </w:rPr>
        <w:t>Section 102 of the General Corporation Law of the State of Delaware (“DGCL”) permits a corporation to eliminate or limit the personal liability of directors and officers of a corporation to the corporation or its stockholders for monetary damages for a breach of fiduciary duty as a director or officer, except where the director or officer breached his or her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or, with respect to any officer, any action by or in the right of the corporation. The Registrant’s restated certificate of incorporation, as amended (the “Certificate of Incorporation”) contains provisions that limit the liability of our directors and officers for monetary damages to the fullest extent permitted by the DGCL. Consequently, the Registrant’s directors and officers will not be personally liable to the Registrant or its stockholders for monetary damages for any breach of fiduciary duty as a director or officer, except liability for the following:</w:t>
      </w:r>
    </w:p>
    <w:p>
      <w:pPr>
        <w:spacing w:after="0" w:line="63" w:lineRule="exact"/>
        <w:rPr>
          <w:sz w:val="20"/>
          <w:szCs w:val="20"/>
          <w:color w:val="auto"/>
        </w:rPr>
      </w:pPr>
    </w:p>
    <w:p>
      <w:pPr>
        <w:ind w:left="2620" w:hanging="288"/>
        <w:spacing w:after="0"/>
        <w:tabs>
          <w:tab w:leader="none" w:pos="26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their duty of loyalty to the Registrant or its stockholders;</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or omissions not in good faith or that involve intentional misconduct or a knowing violation of law;</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director, unlawful payments of dividends or unlawful stock repurchases or redemptions in violation of the DGCL;</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from which the director or officer derived an improper personal benefit; or</w:t>
      </w:r>
    </w:p>
    <w:p>
      <w:pPr>
        <w:spacing w:after="0" w:line="87" w:lineRule="exact"/>
        <w:rPr>
          <w:rFonts w:ascii="Times New Roman" w:cs="Times New Roman" w:eastAsia="Times New Roman" w:hAnsi="Times New Roman"/>
          <w:sz w:val="12"/>
          <w:szCs w:val="12"/>
          <w:color w:val="auto"/>
        </w:rPr>
      </w:pPr>
    </w:p>
    <w:p>
      <w:pPr>
        <w:ind w:left="2620" w:hanging="288"/>
        <w:spacing w:after="0"/>
        <w:tabs>
          <w:tab w:leader="none" w:pos="26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officer, any action by or in the right of the corporation.</w:t>
      </w:r>
    </w:p>
    <w:p>
      <w:pPr>
        <w:spacing w:after="0" w:line="150" w:lineRule="exact"/>
        <w:rPr>
          <w:sz w:val="20"/>
          <w:szCs w:val="20"/>
          <w:color w:val="auto"/>
        </w:rPr>
      </w:pPr>
    </w:p>
    <w:p>
      <w:pPr>
        <w:ind w:left="1980" w:right="899" w:firstLine="294"/>
        <w:spacing w:after="0" w:line="265" w:lineRule="auto"/>
        <w:rPr>
          <w:sz w:val="20"/>
          <w:szCs w:val="20"/>
          <w:color w:val="auto"/>
        </w:rPr>
      </w:pPr>
      <w:r>
        <w:rPr>
          <w:rFonts w:ascii="Times New Roman" w:cs="Times New Roman" w:eastAsia="Times New Roman" w:hAnsi="Times New Roman"/>
          <w:sz w:val="12"/>
          <w:szCs w:val="12"/>
          <w:color w:val="auto"/>
        </w:rPr>
        <w:t>The Certificate of Incorporation also provides that if the DGCL is amended to permit further elimination or limitation of the personal liability of directors or officers, then the liability of the Registrant’s directors and officers will be eliminated or limited to the fullest extent permitted by the DGCL, as so amended.</w:t>
      </w:r>
    </w:p>
    <w:p>
      <w:pPr>
        <w:spacing w:after="0" w:line="119" w:lineRule="exact"/>
        <w:rPr>
          <w:sz w:val="20"/>
          <w:szCs w:val="20"/>
          <w:color w:val="auto"/>
        </w:rPr>
      </w:pPr>
    </w:p>
    <w:p>
      <w:pPr>
        <w:ind w:left="1980" w:right="899" w:firstLine="294"/>
        <w:spacing w:after="0" w:line="256" w:lineRule="auto"/>
        <w:rPr>
          <w:sz w:val="20"/>
          <w:szCs w:val="20"/>
          <w:color w:val="auto"/>
        </w:rPr>
      </w:pPr>
      <w:r>
        <w:rPr>
          <w:rFonts w:ascii="Times New Roman" w:cs="Times New Roman" w:eastAsia="Times New Roman" w:hAnsi="Times New Roman"/>
          <w:sz w:val="12"/>
          <w:szCs w:val="12"/>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w:t>
      </w:r>
    </w:p>
    <w:p>
      <w:pPr>
        <w:spacing w:after="0" w:line="8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II-1</w:t>
      </w:r>
    </w:p>
    <w:p>
      <w:pPr>
        <w:sectPr>
          <w:pgSz w:w="11900" w:h="16838" w:orient="portrait"/>
          <w:cols w:equalWidth="0" w:num="1">
            <w:col w:w="10159"/>
          </w:cols>
          <w:pgMar w:left="300" w:top="368" w:right="1440"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1980" w:right="919"/>
        <w:spacing w:after="0" w:line="254" w:lineRule="auto"/>
        <w:rPr>
          <w:sz w:val="20"/>
          <w:szCs w:val="20"/>
          <w:color w:val="auto"/>
        </w:rPr>
      </w:pPr>
      <w:r>
        <w:rPr>
          <w:rFonts w:ascii="Times New Roman" w:cs="Times New Roman" w:eastAsia="Times New Roman" w:hAnsi="Times New Roman"/>
          <w:sz w:val="12"/>
          <w:szCs w:val="12"/>
          <w:color w:val="auto"/>
        </w:rPr>
        <w:t>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The Certificate of Incorporation permits the Registrant to indemnify its directors, officers, employees and other agents to the maximum extent permitted by the DGCL, and the Registrant’s bylaws (the “Bylaws”) provide that the Registrant will indemnify its directors and officers and permit the Registrant to indemnify its employees and other agents, in each case to the extent not prohibited by the DGCL or any other applicable law.</w:t>
      </w:r>
    </w:p>
    <w:p>
      <w:pPr>
        <w:spacing w:after="0" w:line="126" w:lineRule="exact"/>
        <w:rPr>
          <w:sz w:val="20"/>
          <w:szCs w:val="20"/>
          <w:color w:val="auto"/>
        </w:rPr>
      </w:pPr>
    </w:p>
    <w:p>
      <w:pPr>
        <w:ind w:left="1980" w:right="919" w:firstLine="294"/>
        <w:spacing w:after="0" w:line="257" w:lineRule="auto"/>
        <w:rPr>
          <w:sz w:val="20"/>
          <w:szCs w:val="20"/>
          <w:color w:val="auto"/>
        </w:rPr>
      </w:pPr>
      <w:r>
        <w:rPr>
          <w:rFonts w:ascii="Times New Roman" w:cs="Times New Roman" w:eastAsia="Times New Roman" w:hAnsi="Times New Roman"/>
          <w:sz w:val="12"/>
          <w:szCs w:val="12"/>
          <w:color w:val="auto"/>
        </w:rPr>
        <w:t>The Registrant has entered, and expects to continue to enter, into indemnification agreements with its directors and officers, that may be broader than the specific indemnification provisions contained in the DGCL. These agreements, among other things, require the Registrant to indemnify its directors and officers against liabilities that may arise by reason of their status or service. These indemnification agreements also require the Registrant to advance all expenses actually and reasonably incurred by the directors and executive officers in connection with any proceeding. The Registrant also maintains directors’ and officers’ liability insurance.</w:t>
      </w:r>
    </w:p>
    <w:p>
      <w:pPr>
        <w:spacing w:after="0" w:line="19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15. Recent Sales of Unregistered Securities.</w:t>
      </w:r>
    </w:p>
    <w:p>
      <w:pPr>
        <w:spacing w:after="0" w:line="82" w:lineRule="exact"/>
        <w:rPr>
          <w:sz w:val="20"/>
          <w:szCs w:val="20"/>
          <w:color w:val="auto"/>
        </w:rPr>
      </w:pPr>
    </w:p>
    <w:p>
      <w:pPr>
        <w:jc w:val="both"/>
        <w:ind w:left="1980" w:right="1139" w:firstLine="294"/>
        <w:spacing w:after="0" w:line="265" w:lineRule="auto"/>
        <w:rPr>
          <w:sz w:val="20"/>
          <w:szCs w:val="20"/>
          <w:color w:val="auto"/>
        </w:rPr>
      </w:pPr>
      <w:r>
        <w:rPr>
          <w:rFonts w:ascii="Times New Roman" w:cs="Times New Roman" w:eastAsia="Times New Roman" w:hAnsi="Times New Roman"/>
          <w:sz w:val="12"/>
          <w:szCs w:val="12"/>
          <w:color w:val="auto"/>
        </w:rPr>
        <w:t>The following list sets forth information as to all of the Registrant’s securities sold in the last three years (on a pre-Reverse Stock Split basis) which were not registered under the U.S. Securities Act of 1933, as amended (the “Securities Act”). Capitalized terms used and not defined in this Item 15 have the meaning given to them in the prospectus which forms a part of this registration statement.</w:t>
      </w:r>
    </w:p>
    <w:p>
      <w:pPr>
        <w:spacing w:after="0" w:line="56" w:lineRule="exact"/>
        <w:rPr>
          <w:sz w:val="20"/>
          <w:szCs w:val="20"/>
          <w:color w:val="auto"/>
        </w:rPr>
      </w:pPr>
    </w:p>
    <w:p>
      <w:pPr>
        <w:ind w:left="2620" w:right="1059" w:hanging="288"/>
        <w:spacing w:after="0" w:line="260" w:lineRule="auto"/>
        <w:tabs>
          <w:tab w:leader="none" w:pos="262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October 17, 2022, the Registrant issued an aggregate of 533,057 shares of common stock, par value $0.0001 per share, of the Registrant (the “Common Stock”) to the Sponsors pursuant to the Debt Contribution Agreement (the “Debt Contribution Agreement”), dated as of October 17, 2022, between the Sponsors and the Registrant, in exchange for the Sponsors’ contribution to the Registrant of approximately $5.3 million of indebtedness described in the Debt Contribution Agreement.</w:t>
      </w:r>
    </w:p>
    <w:p>
      <w:pPr>
        <w:spacing w:after="0" w:line="59" w:lineRule="exact"/>
        <w:rPr>
          <w:rFonts w:ascii="Times New Roman" w:cs="Times New Roman" w:eastAsia="Times New Roman" w:hAnsi="Times New Roman"/>
          <w:sz w:val="12"/>
          <w:szCs w:val="12"/>
          <w:color w:val="auto"/>
        </w:rPr>
      </w:pPr>
    </w:p>
    <w:p>
      <w:pPr>
        <w:ind w:left="2620" w:right="839" w:hanging="288"/>
        <w:spacing w:after="0" w:line="260" w:lineRule="auto"/>
        <w:tabs>
          <w:tab w:leader="none" w:pos="262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November 17, 2022, the Registrant issued 250,000 shares of Common Stock to YA II PN, Ltd., a Cayman Islands exempt limited partnership (“Yorkville”), in consideration for Yorkville’s irrevocable commitment to purchase shares of Common Stock pursuant to the standby equity purchase agreement the Registrant entered into with Yorkville on November 17, 2022 (the “Original Purchase Agreement”), as amended and restated on February 8, 2023 (the “A&amp;R Yorkville Purchase Agreement”).</w:t>
      </w:r>
    </w:p>
    <w:p>
      <w:pPr>
        <w:spacing w:after="0" w:line="59" w:lineRule="exact"/>
        <w:rPr>
          <w:rFonts w:ascii="Times New Roman" w:cs="Times New Roman" w:eastAsia="Times New Roman" w:hAnsi="Times New Roman"/>
          <w:sz w:val="12"/>
          <w:szCs w:val="12"/>
          <w:color w:val="auto"/>
        </w:rPr>
      </w:pPr>
    </w:p>
    <w:p>
      <w:pPr>
        <w:ind w:left="2620" w:right="919" w:hanging="288"/>
        <w:spacing w:after="0" w:line="300" w:lineRule="auto"/>
        <w:tabs>
          <w:tab w:leader="none" w:pos="2620" w:val="left"/>
        </w:tabs>
        <w:numPr>
          <w:ilvl w:val="0"/>
          <w:numId w:val="1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January 11, 2023, the Registrant issued 250,000 shares of Common Stock to B. Riley Principal Capital II, LLC, a Delaware limited liability company (“B. Riley”), in consideration for B. Riley’s irrevocable commitment to purchase shares of Common Stock pursuant to the standby equity purchase agreement the Registrant entered into with B. Riley on January 8, 2023 (the “B. Riley Purchase Agreement”).</w:t>
      </w:r>
    </w:p>
    <w:p>
      <w:pPr>
        <w:spacing w:after="0" w:line="38" w:lineRule="exact"/>
        <w:rPr>
          <w:rFonts w:ascii="Times New Roman" w:cs="Times New Roman" w:eastAsia="Times New Roman" w:hAnsi="Times New Roman"/>
          <w:sz w:val="11"/>
          <w:szCs w:val="11"/>
          <w:color w:val="auto"/>
        </w:rPr>
      </w:pPr>
    </w:p>
    <w:p>
      <w:pPr>
        <w:ind w:left="2620" w:right="879" w:hanging="288"/>
        <w:spacing w:after="0" w:line="257" w:lineRule="auto"/>
        <w:tabs>
          <w:tab w:leader="none" w:pos="262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February 13, 2023, the Registrant issued 4,000,000 shares of Common Stock (the “Retainer Shares”) to Paul Hastings LLP, pursuant to a stock issuance agreement dated as of such date, as a retainer for legal services to be provided by Paul Hastings LLP to the Registrant and its affiliates following such date, and as payment for prior services provided to the Registrant, to be held by Paul Hastings LLP until such time as the Retainer Shares are applied against the outstanding legal fees or returned to the Registrant, in each case in accordance with the terms of such agreement.</w:t>
      </w:r>
    </w:p>
    <w:p>
      <w:pPr>
        <w:spacing w:after="0" w:line="62" w:lineRule="exact"/>
        <w:rPr>
          <w:rFonts w:ascii="Times New Roman" w:cs="Times New Roman" w:eastAsia="Times New Roman" w:hAnsi="Times New Roman"/>
          <w:sz w:val="12"/>
          <w:szCs w:val="12"/>
          <w:color w:val="auto"/>
        </w:rPr>
      </w:pPr>
    </w:p>
    <w:p>
      <w:pPr>
        <w:ind w:left="2620" w:right="1099" w:hanging="288"/>
        <w:spacing w:after="0" w:line="279" w:lineRule="auto"/>
        <w:tabs>
          <w:tab w:leader="none" w:pos="262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Between February 15, 2023 and December 28, 2023, the Registrant has sold 1,414,554 shares of Common Stock pursuant to advances under the B. Riley Purchase Agreement.</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II-2</w:t>
      </w:r>
    </w:p>
    <w:p>
      <w:pPr>
        <w:sectPr>
          <w:pgSz w:w="11900" w:h="16838" w:orient="portrait"/>
          <w:cols w:equalWidth="0" w:num="1">
            <w:col w:w="10159"/>
          </w:cols>
          <w:pgMar w:left="300" w:top="368" w:right="1440"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979" w:hanging="288"/>
        <w:spacing w:after="0" w:line="279" w:lineRule="auto"/>
        <w:tabs>
          <w:tab w:leader="none" w:pos="26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Between February 16, 2023 and February 12, 2024, the Registrant sold 11,649,056 shares of Common Stock pursuant to advances under the A&amp;R Yorkville Purchase Agreement.</w:t>
      </w:r>
    </w:p>
    <w:p>
      <w:pPr>
        <w:spacing w:after="0" w:line="48" w:lineRule="exact"/>
        <w:rPr>
          <w:rFonts w:ascii="Times New Roman" w:cs="Times New Roman" w:eastAsia="Times New Roman" w:hAnsi="Times New Roman"/>
          <w:sz w:val="12"/>
          <w:szCs w:val="12"/>
          <w:color w:val="auto"/>
        </w:rPr>
      </w:pPr>
    </w:p>
    <w:p>
      <w:pPr>
        <w:ind w:left="2620" w:right="859" w:hanging="288"/>
        <w:spacing w:after="0" w:line="256" w:lineRule="auto"/>
        <w:tabs>
          <w:tab w:leader="none" w:pos="26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March 21, 2023, the Registrant entered into a securities purchase agreement with Yorkville, pursuant to which the Registrant sold and issued to Yorkville convertible debentures in the following aggregate principal amounts on the specified dates: (i) $10,000,000, on March 21, 2023, (ii) $7,500,000, on April 11, 2023, and (iii) $7,500,000, on April 20, 2023, each of which is convertible into shares of the Registrant’s Common Stock. In April 2023, Yorkville elected to convert $5.0 million of the outstanding principal and accrued interest of the convertible debentures, resulting in the issuance of 632,431 shares of the Registrant’s Common Stock at a conversion price of $8.00 per share.</w:t>
      </w:r>
    </w:p>
    <w:p>
      <w:pPr>
        <w:spacing w:after="0" w:line="61" w:lineRule="exact"/>
        <w:rPr>
          <w:rFonts w:ascii="Times New Roman" w:cs="Times New Roman" w:eastAsia="Times New Roman" w:hAnsi="Times New Roman"/>
          <w:sz w:val="12"/>
          <w:szCs w:val="12"/>
          <w:color w:val="auto"/>
        </w:rPr>
      </w:pPr>
    </w:p>
    <w:p>
      <w:pPr>
        <w:ind w:left="2620" w:right="919" w:hanging="288"/>
        <w:spacing w:after="0" w:line="260" w:lineRule="auto"/>
        <w:tabs>
          <w:tab w:leader="none" w:pos="26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15, 2023, the Registrant entered into a settlement agreement with Cove Lane Onshore Fund, LLC (“Cove Lane”), HBC Investments LLC (“HBC”) and Hudson Bay Capital Management LP, pursuant to which the Registrant issued, on September 25, 2023, an aggregate of 474,683 shares of Common Stock, consisting of 161,392 shares of Common Stock to Cove Lane and 313,291 shares of Common Stock to HBC.</w:t>
      </w:r>
    </w:p>
    <w:p>
      <w:pPr>
        <w:spacing w:after="0" w:line="59" w:lineRule="exact"/>
        <w:rPr>
          <w:rFonts w:ascii="Times New Roman" w:cs="Times New Roman" w:eastAsia="Times New Roman" w:hAnsi="Times New Roman"/>
          <w:sz w:val="12"/>
          <w:szCs w:val="12"/>
          <w:color w:val="auto"/>
        </w:rPr>
      </w:pPr>
    </w:p>
    <w:p>
      <w:pPr>
        <w:ind w:left="2620" w:right="919" w:hanging="288"/>
        <w:spacing w:after="0" w:line="280" w:lineRule="auto"/>
        <w:tabs>
          <w:tab w:leader="none" w:pos="2620" w:val="left"/>
        </w:tabs>
        <w:numPr>
          <w:ilvl w:val="0"/>
          <w:numId w:val="1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September 21, 2023, the Registrant entered into the Securities Purchase Agreement, dated as of such date, with Oramed Pharmaceuticals Inc. (“Oramed”), pursuant to which, among other things, the Registrant issued to Oramed (i) a senior secured promissory note due 18 months from the date of issuance in the principal amount of $101,875,000 (ii) a warrant to purchase up to an aggregate</w:t>
      </w:r>
    </w:p>
    <w:p>
      <w:pPr>
        <w:ind w:left="2620" w:right="1099"/>
        <w:spacing w:after="0" w:line="255"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of 4,500,000 shares of Common Stock, with an exercise price of $0.01 per share and restrictions on exercisability, and (iii) warrants to purchase up to an aggregate of 8,500,000 shares of Common Stock, each with an exercise price of $0.01 per share and each with restrictions on exercisability.</w:t>
      </w:r>
    </w:p>
    <w:p>
      <w:pPr>
        <w:spacing w:after="0" w:line="62" w:lineRule="exact"/>
        <w:rPr>
          <w:rFonts w:ascii="Times New Roman" w:cs="Times New Roman" w:eastAsia="Times New Roman" w:hAnsi="Times New Roman"/>
          <w:sz w:val="11"/>
          <w:szCs w:val="11"/>
          <w:color w:val="auto"/>
        </w:rPr>
      </w:pPr>
    </w:p>
    <w:p>
      <w:pPr>
        <w:ind w:left="2620" w:right="899" w:hanging="288"/>
        <w:spacing w:after="0" w:line="260" w:lineRule="auto"/>
        <w:tabs>
          <w:tab w:leader="none" w:pos="26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18, 2024, the Registrant issued a warrant to purchase up to an aggregate of 3,250,000 shares of Common Stock (the “Deposit Warrant”) pursuant to the Commitment Letter that the Registrant entered into with FSF 33433 LLC, a Delaware limited liability company, on June 11, 2024. The exercise price of the Deposit Warrant is $1.20 per share. The Registrant will receive up to $3.9 million from the exercise of the Deposit Warrant, assuming the exercise in full of the Deposit Warrant for cash.</w:t>
      </w:r>
    </w:p>
    <w:p>
      <w:pPr>
        <w:spacing w:after="0" w:line="59" w:lineRule="exact"/>
        <w:rPr>
          <w:rFonts w:ascii="Times New Roman" w:cs="Times New Roman" w:eastAsia="Times New Roman" w:hAnsi="Times New Roman"/>
          <w:sz w:val="12"/>
          <w:szCs w:val="12"/>
          <w:color w:val="auto"/>
        </w:rPr>
      </w:pPr>
    </w:p>
    <w:p>
      <w:pPr>
        <w:jc w:val="both"/>
        <w:ind w:left="2620" w:right="919" w:hanging="288"/>
        <w:spacing w:after="0" w:line="260" w:lineRule="auto"/>
        <w:tabs>
          <w:tab w:leader="none" w:pos="26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1, 2024, the Registrant issued 10,000,000 shares of Common Stock to a law firm, pursuant to a stock issuance agreement dated as of such date, as a retainer for legal services to be provided by such law firm to the Registrant and its subsidiaries following such date, and as payment for prior services provided to the Registrant, to be held by such law firm until such time as such shares are applied against the outstanding legal fees or returned to us, in each case in accordance with the terms of such agreement.</w:t>
      </w:r>
    </w:p>
    <w:p>
      <w:pPr>
        <w:spacing w:after="0" w:line="59" w:lineRule="exact"/>
        <w:rPr>
          <w:rFonts w:ascii="Times New Roman" w:cs="Times New Roman" w:eastAsia="Times New Roman" w:hAnsi="Times New Roman"/>
          <w:sz w:val="12"/>
          <w:szCs w:val="12"/>
          <w:color w:val="auto"/>
        </w:rPr>
      </w:pPr>
    </w:p>
    <w:p>
      <w:pPr>
        <w:ind w:left="2620" w:right="879" w:hanging="288"/>
        <w:spacing w:after="0" w:line="260" w:lineRule="auto"/>
        <w:tabs>
          <w:tab w:leader="none" w:pos="26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16, 2024, the Registrant issued a warrant to purchase up to an aggregate of 250,000 shares of Common Stock (the “Fee Warrant”) pursuant to the Tranche B Letter Agreement that the Registrant entered into with IVI 66766 LLC, a Delaware limited liability company, dated July 16, 2024. The exercise price of the Fee Warrant is $1.20 per share. The Registrant received $0.3 million from the exercise of the Fee Warrant, when it was exercised in full in October 2024.</w:t>
      </w:r>
    </w:p>
    <w:p>
      <w:pPr>
        <w:spacing w:after="0" w:line="122" w:lineRule="exact"/>
        <w:rPr>
          <w:sz w:val="20"/>
          <w:szCs w:val="20"/>
          <w:color w:val="auto"/>
        </w:rPr>
      </w:pPr>
    </w:p>
    <w:p>
      <w:pPr>
        <w:ind w:left="1980" w:right="1039" w:firstLine="294"/>
        <w:spacing w:after="0" w:line="279" w:lineRule="auto"/>
        <w:rPr>
          <w:sz w:val="20"/>
          <w:szCs w:val="20"/>
          <w:color w:val="auto"/>
        </w:rPr>
      </w:pPr>
      <w:r>
        <w:rPr>
          <w:rFonts w:ascii="Times New Roman" w:cs="Times New Roman" w:eastAsia="Times New Roman" w:hAnsi="Times New Roman"/>
          <w:sz w:val="12"/>
          <w:szCs w:val="12"/>
          <w:color w:val="auto"/>
        </w:rPr>
        <w:t>The Registrant issued the foregoing securities in transactions not involving an underwriter and not requiring registration under Section 5 of the Securities Act in reliance on the exemption afforded by Section 4(a)(2) thereof.</w:t>
      </w:r>
    </w:p>
    <w:p>
      <w:pPr>
        <w:spacing w:after="0" w:line="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II-3</w:t>
      </w:r>
    </w:p>
    <w:p>
      <w:pPr>
        <w:sectPr>
          <w:pgSz w:w="11900" w:h="16838" w:orient="portrait"/>
          <w:cols w:equalWidth="0" w:num="1">
            <w:col w:w="10159"/>
          </w:cols>
          <w:pgMar w:left="300" w:top="368" w:right="1440"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16. Exhibits and Financial Statements Schedules.</w:t>
      </w:r>
    </w:p>
    <w:p>
      <w:pPr>
        <w:spacing w:after="0" w:line="87" w:lineRule="exact"/>
        <w:rPr>
          <w:sz w:val="20"/>
          <w:szCs w:val="20"/>
          <w:color w:val="auto"/>
        </w:rPr>
      </w:pPr>
    </w:p>
    <w:p>
      <w:pPr>
        <w:ind w:left="2260" w:hanging="288"/>
        <w:spacing w:after="0"/>
        <w:tabs>
          <w:tab w:leader="none" w:pos="2260" w:val="left"/>
        </w:tabs>
        <w:numPr>
          <w:ilvl w:val="0"/>
          <w:numId w:val="1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Exhibits</w:t>
      </w:r>
    </w:p>
    <w:p>
      <w:pPr>
        <w:spacing w:after="0" w:line="82" w:lineRule="exact"/>
        <w:rPr>
          <w:rFonts w:ascii="Times New Roman" w:cs="Times New Roman" w:eastAsia="Times New Roman" w:hAnsi="Times New Roman"/>
          <w:sz w:val="12"/>
          <w:szCs w:val="12"/>
          <w:b w:val="1"/>
          <w:bCs w:val="1"/>
          <w:color w:val="auto"/>
        </w:rPr>
      </w:pPr>
    </w:p>
    <w:p>
      <w:pPr>
        <w:ind w:left="2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exhibits are filed as part of this registration statement: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520" w:type="dxa"/>
            <w:vAlign w:val="bottom"/>
            <w:gridSpan w:val="21"/>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0" w:type="dxa"/>
            <w:vAlign w:val="bottom"/>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gridSpan w:val="2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2.1#</w:t>
            </w:r>
          </w:p>
        </w:tc>
        <w:tc>
          <w:tcPr>
            <w:tcW w:w="608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r:id="rId400">
              <w:r>
                <w:rPr>
                  <w:rFonts w:ascii="Times New Roman" w:cs="Times New Roman" w:eastAsia="Times New Roman" w:hAnsi="Times New Roman"/>
                  <w:sz w:val="12"/>
                  <w:szCs w:val="12"/>
                  <w:color w:val="0000EE"/>
                  <w:w w:val="99"/>
                </w:rPr>
                <w:t>Agreement and Plan of Merger, dated as of March 18, 2019, by and among Scilex Holding Company, Sigma Merger Sub, Inc.,</w:t>
              </w:r>
            </w:hyperlink>
          </w:p>
        </w:tc>
        <w:tc>
          <w:tcPr>
            <w:tcW w:w="3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4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r:id="rId400">
              <w:r>
                <w:rPr>
                  <w:rFonts w:ascii="Times New Roman" w:cs="Times New Roman" w:eastAsia="Times New Roman" w:hAnsi="Times New Roman"/>
                  <w:sz w:val="12"/>
                  <w:szCs w:val="12"/>
                  <w:color w:val="0000EE"/>
                  <w:w w:val="99"/>
                </w:rPr>
                <w:t>Semnur Pharmaceuticals, Inc., Fortis Advisors LLC, solely as the representative of the Equityholders and, solely with respect to</w:t>
              </w:r>
            </w:hyperlink>
          </w:p>
        </w:tc>
        <w:tc>
          <w:tcPr>
            <w:tcW w:w="2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2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400">
              <w:r>
                <w:rPr>
                  <w:rFonts w:ascii="Times New Roman" w:cs="Times New Roman" w:eastAsia="Times New Roman" w:hAnsi="Times New Roman"/>
                  <w:sz w:val="12"/>
                  <w:szCs w:val="12"/>
                  <w:color w:val="0000EE"/>
                  <w:w w:val="99"/>
                </w:rPr>
                <w:t>Section 1.8(a), Section 3.11 and Article X, Sorrento Therapeutics, Inc. (incorporated by reference to Exhibit 2.1 of Amendment</w:t>
              </w:r>
            </w:hyperlink>
          </w:p>
        </w:tc>
        <w:tc>
          <w:tcPr>
            <w:tcW w:w="2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34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400">
              <w:r>
                <w:rPr>
                  <w:rFonts w:ascii="Times New Roman" w:cs="Times New Roman" w:eastAsia="Times New Roman" w:hAnsi="Times New Roman"/>
                  <w:sz w:val="12"/>
                  <w:szCs w:val="12"/>
                  <w:color w:val="0000EE"/>
                  <w:w w:val="99"/>
                </w:rPr>
                <w:t>No. 1 of Vickers’s Form S-4 (File No. 333-264941), filed with the SEC on June 27, 2022).</w:t>
              </w:r>
            </w:hyperlink>
          </w:p>
        </w:tc>
        <w:tc>
          <w:tcPr>
            <w:tcW w:w="2040" w:type="dxa"/>
            <w:vAlign w:val="bottom"/>
            <w:gridSpan w:val="17"/>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2.2</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01">
              <w:r>
                <w:rPr>
                  <w:rFonts w:ascii="Times New Roman" w:cs="Times New Roman" w:eastAsia="Times New Roman" w:hAnsi="Times New Roman"/>
                  <w:sz w:val="12"/>
                  <w:szCs w:val="12"/>
                  <w:color w:val="0000EE"/>
                </w:rPr>
                <w:t>Amendment No. 1 to Agreement and Plan of Merger, dated as of August 7, 2019, by and among Semnur Pharmaceuticals, Inc.,</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01">
              <w:r>
                <w:rPr>
                  <w:rFonts w:ascii="Times New Roman" w:cs="Times New Roman" w:eastAsia="Times New Roman" w:hAnsi="Times New Roman"/>
                  <w:sz w:val="12"/>
                  <w:szCs w:val="12"/>
                  <w:color w:val="0000EE"/>
                </w:rPr>
                <w:t>Scilex Holding Company, Sigma Merger Sub, Inc., Fortis Advisors, LLC, solely as the representative of the Equityholders and,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6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01">
              <w:r>
                <w:rPr>
                  <w:rFonts w:ascii="Times New Roman" w:cs="Times New Roman" w:eastAsia="Times New Roman" w:hAnsi="Times New Roman"/>
                  <w:sz w:val="12"/>
                  <w:szCs w:val="12"/>
                  <w:color w:val="0000EE"/>
                  <w:w w:val="99"/>
                </w:rPr>
                <w:t>solely with respect to Section 1.8(a), 3.11 and Article X of the Agreement and Plan of Merger, Sorrento Therapeutics, Inc.</w:t>
              </w:r>
            </w:hyperlink>
          </w:p>
        </w:tc>
        <w:tc>
          <w:tcPr>
            <w:tcW w:w="240" w:type="dxa"/>
            <w:vAlign w:val="bottom"/>
            <w:tcBorders>
              <w:top w:val="single" w:sz="8" w:color="0000EE"/>
            </w:tcBorders>
            <w:gridSpan w:val="4"/>
          </w:tcPr>
          <w:p>
            <w:pPr>
              <w:spacing w:after="0"/>
              <w:rPr>
                <w:sz w:val="10"/>
                <w:szCs w:val="10"/>
                <w:color w:val="auto"/>
              </w:rPr>
            </w:pPr>
          </w:p>
        </w:tc>
        <w:tc>
          <w:tcPr>
            <w:tcW w:w="2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4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9"/>
              </w:rPr>
            </w:pPr>
            <w:hyperlink r:id="rId401">
              <w:r>
                <w:rPr>
                  <w:rFonts w:ascii="Times New Roman" w:cs="Times New Roman" w:eastAsia="Times New Roman" w:hAnsi="Times New Roman"/>
                  <w:sz w:val="12"/>
                  <w:szCs w:val="12"/>
                  <w:color w:val="0000EE"/>
                  <w:w w:val="99"/>
                </w:rPr>
                <w:t>(incorporated by reference to Exhibit 2.2 of Amendment No. 1 of Vickers’s Form S-4 (File No. 333-264941), filed with the SEC on</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6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401">
              <w:r>
                <w:rPr>
                  <w:rFonts w:ascii="Times New Roman" w:cs="Times New Roman" w:eastAsia="Times New Roman" w:hAnsi="Times New Roman"/>
                  <w:sz w:val="12"/>
                  <w:szCs w:val="12"/>
                  <w:color w:val="0000EE"/>
                  <w:w w:val="98"/>
                </w:rPr>
                <w:t>October June 27, 2022).</w:t>
              </w:r>
            </w:hyperlink>
          </w:p>
        </w:tc>
        <w:tc>
          <w:tcPr>
            <w:tcW w:w="5220" w:type="dxa"/>
            <w:vAlign w:val="bottom"/>
            <w:gridSpan w:val="24"/>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2.3#</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02">
              <w:r>
                <w:rPr>
                  <w:rFonts w:ascii="Times New Roman" w:cs="Times New Roman" w:eastAsia="Times New Roman" w:hAnsi="Times New Roman"/>
                  <w:sz w:val="12"/>
                  <w:szCs w:val="12"/>
                  <w:color w:val="0000EE"/>
                </w:rPr>
                <w:t>Bill of Sale and Assignment and Assumption Agreement, dated May 12, 2022, by and between Scilex Holding Company and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0" w:type="dxa"/>
            <w:vAlign w:val="bottom"/>
            <w:tcBorders>
              <w:top w:val="single" w:sz="8" w:color="0000EE"/>
            </w:tcBorders>
            <w:gridSpan w:val="13"/>
          </w:tcPr>
          <w:p>
            <w:pPr>
              <w:spacing w:after="0" w:line="124" w:lineRule="exact"/>
              <w:rPr>
                <w:rFonts w:ascii="Times New Roman" w:cs="Times New Roman" w:eastAsia="Times New Roman" w:hAnsi="Times New Roman"/>
                <w:sz w:val="12"/>
                <w:szCs w:val="12"/>
                <w:color w:val="0000EE"/>
              </w:rPr>
            </w:pPr>
            <w:hyperlink r:id="rId402">
              <w:r>
                <w:rPr>
                  <w:rFonts w:ascii="Times New Roman" w:cs="Times New Roman" w:eastAsia="Times New Roman" w:hAnsi="Times New Roman"/>
                  <w:sz w:val="12"/>
                  <w:szCs w:val="12"/>
                  <w:color w:val="0000EE"/>
                </w:rPr>
                <w:t>Sorrento Therapeutics, Inc. (incorporated by reference to Exhibit 2.3 of Amendment No. 1 of Vickers’s Form S-4 (File</w:t>
              </w:r>
            </w:hyperlink>
          </w:p>
        </w:tc>
        <w:tc>
          <w:tcPr>
            <w:tcW w:w="38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0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402">
              <w:r>
                <w:rPr>
                  <w:rFonts w:ascii="Times New Roman" w:cs="Times New Roman" w:eastAsia="Times New Roman" w:hAnsi="Times New Roman"/>
                  <w:sz w:val="12"/>
                  <w:szCs w:val="12"/>
                  <w:color w:val="0000EE"/>
                  <w:w w:val="99"/>
                </w:rPr>
                <w:t>No. 333-264941), filed with the SEC on June 27, 2022).</w:t>
              </w:r>
            </w:hyperlink>
          </w:p>
        </w:tc>
        <w:tc>
          <w:tcPr>
            <w:tcW w:w="2980" w:type="dxa"/>
            <w:vAlign w:val="bottom"/>
            <w:tcBorders>
              <w:top w:val="single" w:sz="8" w:color="0000EE"/>
            </w:tcBorders>
            <w:gridSpan w:val="7"/>
          </w:tcPr>
          <w:p>
            <w:pPr>
              <w:spacing w:after="0"/>
              <w:rPr>
                <w:sz w:val="10"/>
                <w:szCs w:val="10"/>
                <w:color w:val="auto"/>
              </w:rPr>
            </w:pPr>
          </w:p>
        </w:tc>
        <w:tc>
          <w:tcPr>
            <w:tcW w:w="7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2.4^#</w:t>
            </w:r>
          </w:p>
        </w:tc>
        <w:tc>
          <w:tcPr>
            <w:tcW w:w="634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403">
              <w:r>
                <w:rPr>
                  <w:rFonts w:ascii="Times New Roman" w:cs="Times New Roman" w:eastAsia="Times New Roman" w:hAnsi="Times New Roman"/>
                  <w:sz w:val="12"/>
                  <w:szCs w:val="12"/>
                  <w:color w:val="0000EE"/>
                  <w:w w:val="99"/>
                </w:rPr>
                <w:t>Asset Purchase Agreement, dated April 23, 2021, between Sorrento Therapeutics, Inc. and Aardvark Therapeutics, Inc., as assumed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4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9"/>
              </w:rPr>
            </w:pPr>
            <w:hyperlink r:id="rId403">
              <w:r>
                <w:rPr>
                  <w:rFonts w:ascii="Times New Roman" w:cs="Times New Roman" w:eastAsia="Times New Roman" w:hAnsi="Times New Roman"/>
                  <w:sz w:val="12"/>
                  <w:szCs w:val="12"/>
                  <w:color w:val="0000EE"/>
                  <w:w w:val="99"/>
                </w:rPr>
                <w:t>by Scilex Holding Company on May 12, 2022, pursuant to the Bill of Sale and Assignment and Assumption Agreement, dated as of</w:t>
              </w:r>
            </w:hyperlink>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8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403">
              <w:r>
                <w:rPr>
                  <w:rFonts w:ascii="Times New Roman" w:cs="Times New Roman" w:eastAsia="Times New Roman" w:hAnsi="Times New Roman"/>
                  <w:sz w:val="12"/>
                  <w:szCs w:val="12"/>
                  <w:color w:val="0000EE"/>
                  <w:w w:val="99"/>
                </w:rPr>
                <w:t>such date, by and between Scilex Holding Company and Sorrento Therapeutics, Inc. (incorporated by reference to Exhibit 2.4 of</w:t>
              </w:r>
            </w:hyperlink>
          </w:p>
        </w:tc>
        <w:tc>
          <w:tcPr>
            <w:tcW w:w="2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96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403">
              <w:r>
                <w:rPr>
                  <w:rFonts w:ascii="Times New Roman" w:cs="Times New Roman" w:eastAsia="Times New Roman" w:hAnsi="Times New Roman"/>
                  <w:sz w:val="12"/>
                  <w:szCs w:val="12"/>
                  <w:color w:val="0000EE"/>
                  <w:w w:val="99"/>
                </w:rPr>
                <w:t>Amendment No. 1 of Vickers’s Form S-4 (File No. 333-264941), filed with the SEC on June 27, 2022).</w:t>
              </w:r>
            </w:hyperlink>
          </w:p>
        </w:tc>
        <w:tc>
          <w:tcPr>
            <w:tcW w:w="142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2.5#</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04">
              <w:r>
                <w:rPr>
                  <w:rFonts w:ascii="Times New Roman" w:cs="Times New Roman" w:eastAsia="Times New Roman" w:hAnsi="Times New Roman"/>
                  <w:sz w:val="12"/>
                  <w:szCs w:val="12"/>
                  <w:color w:val="0000EE"/>
                </w:rPr>
                <w:t>Agreement and Plan of Merger, dated as of March 17, 2022, by and among Vickers Vantage Corp. I, Vickers Merger Sub, Inc.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2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404">
              <w:r>
                <w:rPr>
                  <w:rFonts w:ascii="Times New Roman" w:cs="Times New Roman" w:eastAsia="Times New Roman" w:hAnsi="Times New Roman"/>
                  <w:sz w:val="12"/>
                  <w:szCs w:val="12"/>
                  <w:color w:val="0000EE"/>
                  <w:w w:val="99"/>
                </w:rPr>
                <w:t>Scilex Holding Company (incorporated by reference to Exhibit 2.1 of Vickers’s Current Report on Form 8-K (File No. 001-39852),</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0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r:id="rId404">
              <w:r>
                <w:rPr>
                  <w:rFonts w:ascii="Times New Roman" w:cs="Times New Roman" w:eastAsia="Times New Roman" w:hAnsi="Times New Roman"/>
                  <w:sz w:val="12"/>
                  <w:szCs w:val="12"/>
                  <w:color w:val="0000EE"/>
                  <w:w w:val="98"/>
                </w:rPr>
                <w:t>filed with the SEC on March 21, 2022).</w:t>
              </w:r>
            </w:hyperlink>
          </w:p>
        </w:tc>
        <w:tc>
          <w:tcPr>
            <w:tcW w:w="448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2.6#</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05">
              <w:r>
                <w:rPr>
                  <w:rFonts w:ascii="Times New Roman" w:cs="Times New Roman" w:eastAsia="Times New Roman" w:hAnsi="Times New Roman"/>
                  <w:sz w:val="12"/>
                  <w:szCs w:val="12"/>
                  <w:color w:val="0000EE"/>
                </w:rPr>
                <w:t>Amendment No. 1 to Agreement and Plan of Merger, dated as of September 12, 2022, by and among Vickers Vantage Corp. I,</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6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405">
              <w:r>
                <w:rPr>
                  <w:rFonts w:ascii="Times New Roman" w:cs="Times New Roman" w:eastAsia="Times New Roman" w:hAnsi="Times New Roman"/>
                  <w:sz w:val="12"/>
                  <w:szCs w:val="12"/>
                  <w:color w:val="0000EE"/>
                  <w:w w:val="99"/>
                </w:rPr>
                <w:t>Vickers Merger Sub, Inc. and Scilex Holding Company (incorporated by reference to Exhibit 2.1 of Vickers’s Current Report on</w:t>
              </w:r>
            </w:hyperlink>
          </w:p>
        </w:tc>
        <w:tc>
          <w:tcPr>
            <w:tcW w:w="2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70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405">
              <w:r>
                <w:rPr>
                  <w:rFonts w:ascii="Times New Roman" w:cs="Times New Roman" w:eastAsia="Times New Roman" w:hAnsi="Times New Roman"/>
                  <w:sz w:val="12"/>
                  <w:szCs w:val="12"/>
                  <w:color w:val="0000EE"/>
                  <w:w w:val="99"/>
                </w:rPr>
                <w:t>Form 8-K (File No. 001-39852), filed with the SEC on September 14, 2022).</w:t>
              </w:r>
            </w:hyperlink>
          </w:p>
        </w:tc>
        <w:tc>
          <w:tcPr>
            <w:tcW w:w="2680" w:type="dxa"/>
            <w:vAlign w:val="bottom"/>
            <w:gridSpan w:val="18"/>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2.7#</w:t>
            </w:r>
          </w:p>
        </w:tc>
        <w:tc>
          <w:tcPr>
            <w:tcW w:w="622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406">
              <w:r>
                <w:rPr>
                  <w:rFonts w:ascii="Times New Roman" w:cs="Times New Roman" w:eastAsia="Times New Roman" w:hAnsi="Times New Roman"/>
                  <w:sz w:val="12"/>
                  <w:szCs w:val="12"/>
                  <w:color w:val="0000EE"/>
                  <w:w w:val="99"/>
                </w:rPr>
                <w:t>Agreement and Plan of Merger, dated as of August 30, 2024, by and among Denali Capital Acquisition Corp., Denali Merger Sub</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2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406">
              <w:r>
                <w:rPr>
                  <w:rFonts w:ascii="Times New Roman" w:cs="Times New Roman" w:eastAsia="Times New Roman" w:hAnsi="Times New Roman"/>
                  <w:sz w:val="12"/>
                  <w:szCs w:val="12"/>
                  <w:color w:val="0000EE"/>
                  <w:w w:val="99"/>
                </w:rPr>
                <w:t>Inc. and Semnur Pharmaceuticals, Inc. (incorporated by reference to Exhibit 2.1 of our Current Report on Form 8-K (File</w:t>
              </w:r>
            </w:hyperlink>
          </w:p>
        </w:tc>
        <w:tc>
          <w:tcPr>
            <w:tcW w:w="5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06">
              <w:r>
                <w:rPr>
                  <w:rFonts w:ascii="Times New Roman" w:cs="Times New Roman" w:eastAsia="Times New Roman" w:hAnsi="Times New Roman"/>
                  <w:sz w:val="12"/>
                  <w:szCs w:val="12"/>
                  <w:color w:val="0000EE"/>
                </w:rPr>
                <w:t>No. 001-39852), filed with the SEC on September 3,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2.8#</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07">
              <w:r>
                <w:rPr>
                  <w:rFonts w:ascii="Times New Roman" w:cs="Times New Roman" w:eastAsia="Times New Roman" w:hAnsi="Times New Roman"/>
                  <w:sz w:val="12"/>
                  <w:szCs w:val="12"/>
                  <w:color w:val="0000EE"/>
                </w:rPr>
                <w:t>Amendment No. 1 to Agreement and Plan of Merger, dated as of April 16, 2025, by and among Denali Capital Acquisition Corp.,</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540" w:type="dxa"/>
            <w:vAlign w:val="bottom"/>
            <w:gridSpan w:val="1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00" w:type="dxa"/>
            <w:vAlign w:val="bottom"/>
            <w:tcBorders>
              <w:bottom w:val="single" w:sz="8" w:color="0000EE"/>
            </w:tcBorders>
            <w:gridSpan w:val="22"/>
          </w:tcPr>
          <w:p>
            <w:pPr>
              <w:spacing w:after="0" w:line="124" w:lineRule="exact"/>
              <w:rPr>
                <w:rFonts w:ascii="Times New Roman" w:cs="Times New Roman" w:eastAsia="Times New Roman" w:hAnsi="Times New Roman"/>
                <w:sz w:val="12"/>
                <w:szCs w:val="12"/>
                <w:color w:val="0000EE"/>
                <w:w w:val="99"/>
              </w:rPr>
            </w:pPr>
            <w:hyperlink r:id="rId407">
              <w:r>
                <w:rPr>
                  <w:rFonts w:ascii="Times New Roman" w:cs="Times New Roman" w:eastAsia="Times New Roman" w:hAnsi="Times New Roman"/>
                  <w:sz w:val="12"/>
                  <w:szCs w:val="12"/>
                  <w:color w:val="0000EE"/>
                  <w:w w:val="99"/>
                </w:rPr>
                <w:t>Denali Merger Sub Inc. and Semnur Pharmaceuticals, Inc. (incorporated by reference to Exhibit 2.1 of our Current Report on Form</w:t>
              </w:r>
            </w:hyperlink>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14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407">
              <w:r>
                <w:rPr>
                  <w:rFonts w:ascii="Times New Roman" w:cs="Times New Roman" w:eastAsia="Times New Roman" w:hAnsi="Times New Roman"/>
                  <w:sz w:val="12"/>
                  <w:szCs w:val="12"/>
                  <w:color w:val="0000EE"/>
                  <w:w w:val="99"/>
                </w:rPr>
                <w:t>8-K (File No. 001-39852), filed with the SEC on April 21, 2025).</w:t>
              </w:r>
            </w:hyperlink>
          </w:p>
        </w:tc>
        <w:tc>
          <w:tcPr>
            <w:tcW w:w="324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3.1</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08">
              <w:r>
                <w:rPr>
                  <w:rFonts w:ascii="Times New Roman" w:cs="Times New Roman" w:eastAsia="Times New Roman" w:hAnsi="Times New Roman"/>
                  <w:sz w:val="12"/>
                  <w:szCs w:val="12"/>
                  <w:color w:val="0000EE"/>
                </w:rPr>
                <w:t>Restated Certificate of Incorporation of Scilex Holding Company (incorporated by reference to Exhibit 3.1 of our Current Report on</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80" w:type="dxa"/>
            <w:vAlign w:val="bottom"/>
            <w:tcBorders>
              <w:top w:val="single" w:sz="8" w:color="0000EE"/>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08">
              <w:r>
                <w:rPr>
                  <w:rFonts w:ascii="Times New Roman" w:cs="Times New Roman" w:eastAsia="Times New Roman" w:hAnsi="Times New Roman"/>
                  <w:sz w:val="12"/>
                  <w:szCs w:val="12"/>
                  <w:color w:val="0000EE"/>
                  <w:w w:val="99"/>
                </w:rPr>
                <w:t>Form 8-K (File No. 001-39852), filed with the SEC on November 17, 2022).</w:t>
              </w:r>
            </w:hyperlink>
          </w:p>
        </w:tc>
        <w:tc>
          <w:tcPr>
            <w:tcW w:w="2660" w:type="dxa"/>
            <w:vAlign w:val="bottom"/>
            <w:tcBorders>
              <w:top w:val="single" w:sz="8" w:color="0000EE"/>
            </w:tcBorders>
            <w:gridSpan w:val="18"/>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80" w:type="dxa"/>
            <w:vAlign w:val="bottom"/>
            <w:gridSpan w:val="23"/>
          </w:tcPr>
          <w:p>
            <w:pPr>
              <w:ind w:left="720"/>
              <w:spacing w:after="0"/>
              <w:rPr>
                <w:sz w:val="20"/>
                <w:szCs w:val="20"/>
                <w:color w:val="auto"/>
              </w:rPr>
            </w:pPr>
            <w:r>
              <w:rPr>
                <w:rFonts w:ascii="Times New Roman" w:cs="Times New Roman" w:eastAsia="Times New Roman" w:hAnsi="Times New Roman"/>
                <w:sz w:val="12"/>
                <w:szCs w:val="12"/>
                <w:color w:val="auto"/>
              </w:rPr>
              <w:t>II-4</w:t>
            </w: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60" w:type="dxa"/>
            <w:vAlign w:val="bottom"/>
            <w:gridSpan w:val="2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520" w:type="dxa"/>
            <w:vAlign w:val="bottom"/>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3.2</w:t>
            </w:r>
          </w:p>
        </w:tc>
        <w:tc>
          <w:tcPr>
            <w:tcW w:w="6180" w:type="dxa"/>
            <w:vAlign w:val="bottom"/>
            <w:tcBorders>
              <w:bottom w:val="single" w:sz="8" w:color="0000EE"/>
            </w:tcBorders>
            <w:gridSpan w:val="19"/>
          </w:tcPr>
          <w:p>
            <w:pPr>
              <w:spacing w:after="0"/>
              <w:rPr>
                <w:rFonts w:ascii="Times New Roman" w:cs="Times New Roman" w:eastAsia="Times New Roman" w:hAnsi="Times New Roman"/>
                <w:sz w:val="12"/>
                <w:szCs w:val="12"/>
                <w:color w:val="0000EE"/>
                <w:w w:val="99"/>
              </w:rPr>
            </w:pPr>
            <w:hyperlink r:id="rId410">
              <w:r>
                <w:rPr>
                  <w:rFonts w:ascii="Times New Roman" w:cs="Times New Roman" w:eastAsia="Times New Roman" w:hAnsi="Times New Roman"/>
                  <w:sz w:val="12"/>
                  <w:szCs w:val="12"/>
                  <w:color w:val="0000EE"/>
                  <w:w w:val="99"/>
                </w:rPr>
                <w:t>Certificate of Designations of Scilex Holding Company (incorporated by reference to Exhibit 3.2 of our Current Report on Form</w:t>
              </w:r>
            </w:hyperlink>
          </w:p>
        </w:tc>
        <w:tc>
          <w:tcPr>
            <w:tcW w:w="2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8"/>
          </w:tcPr>
          <w:p>
            <w:pPr>
              <w:spacing w:after="0" w:line="124" w:lineRule="exact"/>
              <w:rPr>
                <w:rFonts w:ascii="Times New Roman" w:cs="Times New Roman" w:eastAsia="Times New Roman" w:hAnsi="Times New Roman"/>
                <w:sz w:val="12"/>
                <w:szCs w:val="12"/>
                <w:color w:val="0000EE"/>
              </w:rPr>
            </w:pPr>
            <w:hyperlink r:id="rId410">
              <w:r>
                <w:rPr>
                  <w:rFonts w:ascii="Times New Roman" w:cs="Times New Roman" w:eastAsia="Times New Roman" w:hAnsi="Times New Roman"/>
                  <w:sz w:val="12"/>
                  <w:szCs w:val="12"/>
                  <w:color w:val="0000EE"/>
                </w:rPr>
                <w:t>8-K (File No. 001-39852), filed with the SEC on November 17,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3.3</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1">
              <w:r>
                <w:rPr>
                  <w:rFonts w:ascii="Times New Roman" w:cs="Times New Roman" w:eastAsia="Times New Roman" w:hAnsi="Times New Roman"/>
                  <w:sz w:val="12"/>
                  <w:szCs w:val="12"/>
                  <w:color w:val="0000EE"/>
                </w:rPr>
                <w:t>Certificate of Designation of Preferences, Rights and Limitations of Series 1 Mandatory Exchangeable Preferred Stock of Scilex</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60" w:type="dxa"/>
            <w:vAlign w:val="bottom"/>
            <w:tcBorders>
              <w:bottom w:val="single" w:sz="8" w:color="0000EE"/>
            </w:tcBorders>
            <w:gridSpan w:val="27"/>
          </w:tcPr>
          <w:p>
            <w:pPr>
              <w:spacing w:after="0" w:line="124" w:lineRule="exact"/>
              <w:rPr>
                <w:rFonts w:ascii="Times New Roman" w:cs="Times New Roman" w:eastAsia="Times New Roman" w:hAnsi="Times New Roman"/>
                <w:sz w:val="12"/>
                <w:szCs w:val="12"/>
                <w:color w:val="0000EE"/>
                <w:w w:val="99"/>
              </w:rPr>
            </w:pPr>
            <w:hyperlink r:id="rId411">
              <w:r>
                <w:rPr>
                  <w:rFonts w:ascii="Times New Roman" w:cs="Times New Roman" w:eastAsia="Times New Roman" w:hAnsi="Times New Roman"/>
                  <w:sz w:val="12"/>
                  <w:szCs w:val="12"/>
                  <w:color w:val="0000EE"/>
                  <w:w w:val="99"/>
                </w:rPr>
                <w:t>Holding Company (incorporated by reference to Exhibit 3.1 of our Current Report on Form 8-K (File No. 001-39852), filed with the</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8"/>
          </w:tcPr>
          <w:p>
            <w:pPr>
              <w:spacing w:after="0" w:line="124" w:lineRule="exact"/>
              <w:rPr>
                <w:rFonts w:ascii="Times New Roman" w:cs="Times New Roman" w:eastAsia="Times New Roman" w:hAnsi="Times New Roman"/>
                <w:sz w:val="12"/>
                <w:szCs w:val="12"/>
                <w:color w:val="0000EE"/>
              </w:rPr>
            </w:pPr>
            <w:hyperlink r:id="rId411">
              <w:r>
                <w:rPr>
                  <w:rFonts w:ascii="Times New Roman" w:cs="Times New Roman" w:eastAsia="Times New Roman" w:hAnsi="Times New Roman"/>
                  <w:sz w:val="12"/>
                  <w:szCs w:val="12"/>
                  <w:color w:val="0000EE"/>
                </w:rPr>
                <w:t>SEC on October 28,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3.4</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2">
              <w:r>
                <w:rPr>
                  <w:rFonts w:ascii="Times New Roman" w:cs="Times New Roman" w:eastAsia="Times New Roman" w:hAnsi="Times New Roman"/>
                  <w:sz w:val="12"/>
                  <w:szCs w:val="12"/>
                  <w:color w:val="0000EE"/>
                </w:rPr>
                <w:t>Bylaws of Scilex Holding Company (incorporated by reference to Exhibit 3.3 of our Current Report on Form 8-K (File</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92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412">
              <w:r>
                <w:rPr>
                  <w:rFonts w:ascii="Times New Roman" w:cs="Times New Roman" w:eastAsia="Times New Roman" w:hAnsi="Times New Roman"/>
                  <w:sz w:val="12"/>
                  <w:szCs w:val="12"/>
                  <w:color w:val="0000EE"/>
                  <w:w w:val="99"/>
                </w:rPr>
                <w:t>No. 001-39852), filed with the SEC on November 17, 2022).</w:t>
              </w:r>
            </w:hyperlink>
          </w:p>
        </w:tc>
        <w:tc>
          <w:tcPr>
            <w:tcW w:w="2780" w:type="dxa"/>
            <w:vAlign w:val="bottom"/>
            <w:tcBorders>
              <w:top w:val="single" w:sz="8" w:color="0000EE"/>
            </w:tcBorders>
            <w:gridSpan w:val="10"/>
          </w:tcPr>
          <w:p>
            <w:pPr>
              <w:spacing w:after="0"/>
              <w:rPr>
                <w:sz w:val="10"/>
                <w:szCs w:val="10"/>
                <w:color w:val="auto"/>
              </w:rPr>
            </w:pPr>
          </w:p>
        </w:tc>
        <w:tc>
          <w:tcPr>
            <w:tcW w:w="68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w:t>
            </w:r>
          </w:p>
        </w:tc>
        <w:tc>
          <w:tcPr>
            <w:tcW w:w="6240" w:type="dxa"/>
            <w:vAlign w:val="bottom"/>
            <w:tcBorders>
              <w:bottom w:val="single" w:sz="8" w:color="0000EE"/>
            </w:tcBorders>
            <w:gridSpan w:val="22"/>
          </w:tcPr>
          <w:p>
            <w:pPr>
              <w:spacing w:after="0"/>
              <w:rPr>
                <w:rFonts w:ascii="Times New Roman" w:cs="Times New Roman" w:eastAsia="Times New Roman" w:hAnsi="Times New Roman"/>
                <w:sz w:val="12"/>
                <w:szCs w:val="12"/>
                <w:color w:val="0000EE"/>
                <w:w w:val="98"/>
              </w:rPr>
            </w:pPr>
            <w:hyperlink r:id="rId413">
              <w:r>
                <w:rPr>
                  <w:rFonts w:ascii="Times New Roman" w:cs="Times New Roman" w:eastAsia="Times New Roman" w:hAnsi="Times New Roman"/>
                  <w:sz w:val="12"/>
                  <w:szCs w:val="12"/>
                  <w:color w:val="0000EE"/>
                  <w:w w:val="98"/>
                </w:rPr>
                <w:t>Warrant Agreement, dated as of January 6, 2021, by and between Vickers Vantage Corp. I and Continental Stock Transfer &amp; Trust</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20" w:type="dxa"/>
            <w:vAlign w:val="bottom"/>
            <w:tcBorders>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r:id="rId413">
              <w:r>
                <w:rPr>
                  <w:rFonts w:ascii="Times New Roman" w:cs="Times New Roman" w:eastAsia="Times New Roman" w:hAnsi="Times New Roman"/>
                  <w:sz w:val="12"/>
                  <w:szCs w:val="12"/>
                  <w:color w:val="0000EE"/>
                  <w:w w:val="99"/>
                </w:rPr>
                <w:t>Company (incorporated by reference to Exhibit 4.1 of Vickers’s Current Report on Form 8-K (File No. 001-39852), filed with the</w:t>
              </w:r>
            </w:hyperlink>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8"/>
          </w:tcPr>
          <w:p>
            <w:pPr>
              <w:spacing w:after="0" w:line="124" w:lineRule="exact"/>
              <w:rPr>
                <w:rFonts w:ascii="Times New Roman" w:cs="Times New Roman" w:eastAsia="Times New Roman" w:hAnsi="Times New Roman"/>
                <w:sz w:val="12"/>
                <w:szCs w:val="12"/>
                <w:color w:val="0000EE"/>
              </w:rPr>
            </w:pPr>
            <w:hyperlink r:id="rId413">
              <w:r>
                <w:rPr>
                  <w:rFonts w:ascii="Times New Roman" w:cs="Times New Roman" w:eastAsia="Times New Roman" w:hAnsi="Times New Roman"/>
                  <w:sz w:val="12"/>
                  <w:szCs w:val="12"/>
                  <w:color w:val="0000EE"/>
                </w:rPr>
                <w:t>SEC on January 11, 2021).</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4.2</w:t>
            </w:r>
          </w:p>
        </w:tc>
        <w:tc>
          <w:tcPr>
            <w:tcW w:w="630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414">
              <w:r>
                <w:rPr>
                  <w:rFonts w:ascii="Times New Roman" w:cs="Times New Roman" w:eastAsia="Times New Roman" w:hAnsi="Times New Roman"/>
                  <w:sz w:val="12"/>
                  <w:szCs w:val="12"/>
                  <w:color w:val="0000EE"/>
                  <w:w w:val="99"/>
                </w:rPr>
                <w:t>Specimen Warrant Certificate of Scilex Holding Company (f/k/a Vickers Vantage Corp. I) (incorporated by reference to Exhibit 4.3</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32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414">
              <w:r>
                <w:rPr>
                  <w:rFonts w:ascii="Times New Roman" w:cs="Times New Roman" w:eastAsia="Times New Roman" w:hAnsi="Times New Roman"/>
                  <w:sz w:val="12"/>
                  <w:szCs w:val="12"/>
                  <w:color w:val="0000EE"/>
                  <w:w w:val="99"/>
                </w:rPr>
                <w:t>of Vickers’s Form S-1 (File No. 333-251352), filed with the SEC on December 15, 2020).</w:t>
              </w:r>
            </w:hyperlink>
          </w:p>
        </w:tc>
        <w:tc>
          <w:tcPr>
            <w:tcW w:w="206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4.3</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5">
              <w:r>
                <w:rPr>
                  <w:rFonts w:ascii="Times New Roman" w:cs="Times New Roman" w:eastAsia="Times New Roman" w:hAnsi="Times New Roman"/>
                  <w:sz w:val="12"/>
                  <w:szCs w:val="12"/>
                  <w:color w:val="0000EE"/>
                </w:rPr>
                <w:t>Senior Secured Promissory Note issued to Oramed Pharmaceuticals, Inc. on September 21, 2023 (incorporated by reference to</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80" w:type="dxa"/>
            <w:vAlign w:val="bottom"/>
            <w:tcBorders>
              <w:top w:val="single" w:sz="8" w:color="0000EE"/>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415">
              <w:r>
                <w:rPr>
                  <w:rFonts w:ascii="Times New Roman" w:cs="Times New Roman" w:eastAsia="Times New Roman" w:hAnsi="Times New Roman"/>
                  <w:sz w:val="12"/>
                  <w:szCs w:val="12"/>
                  <w:color w:val="0000EE"/>
                  <w:w w:val="99"/>
                </w:rPr>
                <w:t>Exhibit 4.1 of our Current Report on Form 8-K (File No. 001-39852), filed with the SEC on September 26, 2023).</w:t>
              </w:r>
            </w:hyperlink>
          </w:p>
        </w:tc>
        <w:tc>
          <w:tcPr>
            <w:tcW w:w="580" w:type="dxa"/>
            <w:vAlign w:val="bottom"/>
            <w:tcBorders>
              <w:top w:val="single" w:sz="8" w:color="0000EE"/>
            </w:tcBorders>
            <w:gridSpan w:val="3"/>
          </w:tcPr>
          <w:p>
            <w:pPr>
              <w:spacing w:after="0"/>
              <w:rPr>
                <w:sz w:val="10"/>
                <w:szCs w:val="10"/>
                <w:color w:val="auto"/>
              </w:rPr>
            </w:pPr>
          </w:p>
        </w:tc>
        <w:tc>
          <w:tcPr>
            <w:tcW w:w="32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4.4</w:t>
            </w:r>
          </w:p>
        </w:tc>
        <w:tc>
          <w:tcPr>
            <w:tcW w:w="616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416">
              <w:r>
                <w:rPr>
                  <w:rFonts w:ascii="Times New Roman" w:cs="Times New Roman" w:eastAsia="Times New Roman" w:hAnsi="Times New Roman"/>
                  <w:sz w:val="12"/>
                  <w:szCs w:val="12"/>
                  <w:color w:val="0000EE"/>
                  <w:w w:val="99"/>
                </w:rPr>
                <w:t>Form of Scilex Holding Company Warrant to Purchase Common Stock (incorporated by reference to Exhibit 4.2 of our Current</w:t>
              </w:r>
            </w:hyperlink>
          </w:p>
        </w:tc>
        <w:tc>
          <w:tcPr>
            <w:tcW w:w="2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416">
              <w:r>
                <w:rPr>
                  <w:rFonts w:ascii="Times New Roman" w:cs="Times New Roman" w:eastAsia="Times New Roman" w:hAnsi="Times New Roman"/>
                  <w:sz w:val="12"/>
                  <w:szCs w:val="12"/>
                  <w:color w:val="0000EE"/>
                  <w:w w:val="99"/>
                </w:rPr>
                <w:t>Report on Form 8-K (File No. 001-39852), filed with the SEC on September 26, 2023).</w:t>
              </w:r>
            </w:hyperlink>
          </w:p>
        </w:tc>
        <w:tc>
          <w:tcPr>
            <w:tcW w:w="218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4.5</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7">
              <w:r>
                <w:rPr>
                  <w:rFonts w:ascii="Times New Roman" w:cs="Times New Roman" w:eastAsia="Times New Roman" w:hAnsi="Times New Roman"/>
                  <w:sz w:val="12"/>
                  <w:szCs w:val="12"/>
                  <w:color w:val="0000EE"/>
                </w:rPr>
                <w:t>Form of Common Warrant (incorporated by reference to Exhibit 4.1 of our Current Report on Form 8-K (File No. 001-39852), filed</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tcBorders>
              <w:top w:val="single" w:sz="8" w:color="0000EE"/>
            </w:tcBorders>
            <w:gridSpan w:val="25"/>
          </w:tcPr>
          <w:p>
            <w:pPr>
              <w:spacing w:after="0" w:line="124" w:lineRule="exact"/>
              <w:rPr>
                <w:rFonts w:ascii="Times New Roman" w:cs="Times New Roman" w:eastAsia="Times New Roman" w:hAnsi="Times New Roman"/>
                <w:sz w:val="12"/>
                <w:szCs w:val="12"/>
                <w:color w:val="0000EE"/>
              </w:rPr>
            </w:pPr>
            <w:hyperlink r:id="rId417">
              <w:r>
                <w:rPr>
                  <w:rFonts w:ascii="Times New Roman" w:cs="Times New Roman" w:eastAsia="Times New Roman" w:hAnsi="Times New Roman"/>
                  <w:sz w:val="12"/>
                  <w:szCs w:val="12"/>
                  <w:color w:val="0000EE"/>
                </w:rPr>
                <w:t>with the SEC on March 5, 2024).</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4.6</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8">
              <w:r>
                <w:rPr>
                  <w:rFonts w:ascii="Times New Roman" w:cs="Times New Roman" w:eastAsia="Times New Roman" w:hAnsi="Times New Roman"/>
                  <w:sz w:val="12"/>
                  <w:szCs w:val="12"/>
                  <w:color w:val="0000EE"/>
                </w:rPr>
                <w:t>Form of Representative Warrant (incorporated by reference to Exhibit 4.2 of our Current Report on Form 8-K (File No. 001-39852),</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4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418">
              <w:r>
                <w:rPr>
                  <w:rFonts w:ascii="Times New Roman" w:cs="Times New Roman" w:eastAsia="Times New Roman" w:hAnsi="Times New Roman"/>
                  <w:sz w:val="12"/>
                  <w:szCs w:val="12"/>
                  <w:color w:val="0000EE"/>
                  <w:w w:val="98"/>
                </w:rPr>
                <w:t>filed with the SEC on March 5, 2024).</w:t>
              </w:r>
            </w:hyperlink>
          </w:p>
        </w:tc>
        <w:tc>
          <w:tcPr>
            <w:tcW w:w="4500" w:type="dxa"/>
            <w:vAlign w:val="bottom"/>
            <w:tcBorders>
              <w:top w:val="single" w:sz="8" w:color="0000EE"/>
            </w:tcBorders>
            <w:gridSpan w:val="2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4.7</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9">
              <w:r>
                <w:rPr>
                  <w:rFonts w:ascii="Times New Roman" w:cs="Times New Roman" w:eastAsia="Times New Roman" w:hAnsi="Times New Roman"/>
                  <w:sz w:val="12"/>
                  <w:szCs w:val="12"/>
                  <w:color w:val="0000EE"/>
                </w:rPr>
                <w:t>Form of Common Warrant (incorporated by reference to Exhibit 4.1 of our Current Report on Form 8-K (File No. 001-39852), filed</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tcBorders>
              <w:top w:val="single" w:sz="8" w:color="0000EE"/>
            </w:tcBorders>
            <w:gridSpan w:val="25"/>
          </w:tcPr>
          <w:p>
            <w:pPr>
              <w:spacing w:after="0" w:line="124" w:lineRule="exact"/>
              <w:rPr>
                <w:rFonts w:ascii="Times New Roman" w:cs="Times New Roman" w:eastAsia="Times New Roman" w:hAnsi="Times New Roman"/>
                <w:sz w:val="12"/>
                <w:szCs w:val="12"/>
                <w:color w:val="0000EE"/>
              </w:rPr>
            </w:pPr>
            <w:hyperlink r:id="rId419">
              <w:r>
                <w:rPr>
                  <w:rFonts w:ascii="Times New Roman" w:cs="Times New Roman" w:eastAsia="Times New Roman" w:hAnsi="Times New Roman"/>
                  <w:sz w:val="12"/>
                  <w:szCs w:val="12"/>
                  <w:color w:val="0000EE"/>
                </w:rPr>
                <w:t>with the SEC on April 25, 2024).</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4.8</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19">
              <w:r>
                <w:rPr>
                  <w:rFonts w:ascii="Times New Roman" w:cs="Times New Roman" w:eastAsia="Times New Roman" w:hAnsi="Times New Roman"/>
                  <w:sz w:val="12"/>
                  <w:szCs w:val="12"/>
                  <w:color w:val="0000EE"/>
                </w:rPr>
                <w:t>Form of Placement Agent Warrant (incorporated by reference to Exhibit 4.2 of our Current Report on Form 8-K (File</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20" w:type="dxa"/>
            <w:vAlign w:val="bottom"/>
            <w:tcBorders>
              <w:top w:val="single" w:sz="8" w:color="0000EE"/>
            </w:tcBorders>
            <w:gridSpan w:val="14"/>
          </w:tcPr>
          <w:p>
            <w:pPr>
              <w:spacing w:after="0" w:line="124" w:lineRule="exact"/>
              <w:rPr>
                <w:rFonts w:ascii="Times New Roman" w:cs="Times New Roman" w:eastAsia="Times New Roman" w:hAnsi="Times New Roman"/>
                <w:sz w:val="12"/>
                <w:szCs w:val="12"/>
                <w:color w:val="0000EE"/>
              </w:rPr>
            </w:pPr>
            <w:hyperlink r:id="rId419">
              <w:r>
                <w:rPr>
                  <w:rFonts w:ascii="Times New Roman" w:cs="Times New Roman" w:eastAsia="Times New Roman" w:hAnsi="Times New Roman"/>
                  <w:sz w:val="12"/>
                  <w:szCs w:val="12"/>
                  <w:color w:val="0000EE"/>
                </w:rPr>
                <w:t>No. 001-39852), filed with the SEC on April 25, 2024).</w:t>
              </w:r>
            </w:hyperlink>
          </w:p>
        </w:tc>
        <w:tc>
          <w:tcPr>
            <w:tcW w:w="7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4.9</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20">
              <w:r>
                <w:rPr>
                  <w:rFonts w:ascii="Times New Roman" w:cs="Times New Roman" w:eastAsia="Times New Roman" w:hAnsi="Times New Roman"/>
                  <w:sz w:val="12"/>
                  <w:szCs w:val="12"/>
                  <w:color w:val="0000EE"/>
                </w:rPr>
                <w:t>Warrant to Purchase Common Stock, issued to FSF 33433 LLC on June 18, 2024 (incorporated by reference to Exhibit 4.8 of our</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0" w:type="dxa"/>
            <w:vAlign w:val="bottom"/>
            <w:tcBorders>
              <w:top w:val="single" w:sz="8" w:color="0000EE"/>
            </w:tcBorders>
            <w:gridSpan w:val="20"/>
          </w:tcPr>
          <w:p>
            <w:pPr>
              <w:spacing w:after="0" w:line="124" w:lineRule="exact"/>
              <w:rPr>
                <w:rFonts w:ascii="Times New Roman" w:cs="Times New Roman" w:eastAsia="Times New Roman" w:hAnsi="Times New Roman"/>
                <w:sz w:val="12"/>
                <w:szCs w:val="12"/>
                <w:color w:val="0000EE"/>
              </w:rPr>
            </w:pPr>
            <w:hyperlink r:id="rId420">
              <w:r>
                <w:rPr>
                  <w:rFonts w:ascii="Times New Roman" w:cs="Times New Roman" w:eastAsia="Times New Roman" w:hAnsi="Times New Roman"/>
                  <w:sz w:val="12"/>
                  <w:szCs w:val="12"/>
                  <w:color w:val="0000EE"/>
                </w:rPr>
                <w:t>Registration Statement on Form S-3 (File No. 333-280882), filed with the SEC on July 18, 2024).</w:t>
              </w:r>
            </w:hyperlink>
          </w:p>
        </w:tc>
        <w:tc>
          <w:tcPr>
            <w:tcW w:w="1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4.10</w:t>
            </w:r>
          </w:p>
        </w:tc>
        <w:tc>
          <w:tcPr>
            <w:tcW w:w="6280" w:type="dxa"/>
            <w:vAlign w:val="bottom"/>
            <w:tcBorders>
              <w:bottom w:val="single" w:sz="8" w:color="0000EE"/>
            </w:tcBorders>
            <w:gridSpan w:val="23"/>
          </w:tcPr>
          <w:p>
            <w:pPr>
              <w:spacing w:after="0"/>
              <w:rPr>
                <w:rFonts w:ascii="Times New Roman" w:cs="Times New Roman" w:eastAsia="Times New Roman" w:hAnsi="Times New Roman"/>
                <w:sz w:val="12"/>
                <w:szCs w:val="12"/>
                <w:color w:val="0000EE"/>
                <w:w w:val="99"/>
              </w:rPr>
            </w:pPr>
            <w:hyperlink r:id="rId419">
              <w:r>
                <w:rPr>
                  <w:rFonts w:ascii="Times New Roman" w:cs="Times New Roman" w:eastAsia="Times New Roman" w:hAnsi="Times New Roman"/>
                  <w:sz w:val="12"/>
                  <w:szCs w:val="12"/>
                  <w:color w:val="0000EE"/>
                  <w:w w:val="99"/>
                </w:rPr>
                <w:t>Form of Tranche B Senior Secured Convertible Note issued by Scilex Holding Company. (incorporated by reference to Exhibit 4.1</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8"/>
          </w:tcPr>
          <w:p>
            <w:pPr>
              <w:spacing w:after="0" w:line="124" w:lineRule="exact"/>
              <w:rPr>
                <w:rFonts w:ascii="Times New Roman" w:cs="Times New Roman" w:eastAsia="Times New Roman" w:hAnsi="Times New Roman"/>
                <w:sz w:val="12"/>
                <w:szCs w:val="12"/>
                <w:color w:val="0000EE"/>
              </w:rPr>
            </w:pPr>
            <w:hyperlink r:id="rId419">
              <w:r>
                <w:rPr>
                  <w:rFonts w:ascii="Times New Roman" w:cs="Times New Roman" w:eastAsia="Times New Roman" w:hAnsi="Times New Roman"/>
                  <w:sz w:val="12"/>
                  <w:szCs w:val="12"/>
                  <w:color w:val="0000EE"/>
                </w:rPr>
                <w:t>of our Current Report on Form 8-K (File No. 001-39852), filed with the SEC on October 8,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4.11</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21">
              <w:r>
                <w:rPr>
                  <w:rFonts w:ascii="Times New Roman" w:cs="Times New Roman" w:eastAsia="Times New Roman" w:hAnsi="Times New Roman"/>
                  <w:sz w:val="12"/>
                  <w:szCs w:val="12"/>
                  <w:color w:val="0000EE"/>
                </w:rPr>
                <w:t>Form of Warrant to Purchase Common Stock issued by Scilex Holding Company. (incorporated by reference to Exhibit 4.2 of our</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20" w:type="dxa"/>
            <w:vAlign w:val="bottom"/>
            <w:tcBorders>
              <w:top w:val="single" w:sz="8" w:color="0000EE"/>
            </w:tcBorders>
            <w:gridSpan w:val="21"/>
          </w:tcPr>
          <w:p>
            <w:pPr>
              <w:spacing w:after="0" w:line="124" w:lineRule="exact"/>
              <w:rPr>
                <w:rFonts w:ascii="Times New Roman" w:cs="Times New Roman" w:eastAsia="Times New Roman" w:hAnsi="Times New Roman"/>
                <w:sz w:val="12"/>
                <w:szCs w:val="12"/>
                <w:color w:val="0000EE"/>
              </w:rPr>
            </w:pPr>
            <w:hyperlink r:id="rId421">
              <w:r>
                <w:rPr>
                  <w:rFonts w:ascii="Times New Roman" w:cs="Times New Roman" w:eastAsia="Times New Roman" w:hAnsi="Times New Roman"/>
                  <w:sz w:val="12"/>
                  <w:szCs w:val="12"/>
                  <w:color w:val="0000EE"/>
                </w:rPr>
                <w:t>Current Report on Form 8-K (File No. 001-39852), filed with the SEC on October 8, 2024).</w:t>
              </w:r>
            </w:hyperlink>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000" w:type="dxa"/>
            <w:vAlign w:val="bottom"/>
            <w:gridSpan w:val="7"/>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80" w:type="dxa"/>
            <w:vAlign w:val="bottom"/>
            <w:gridSpan w:val="7"/>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4.12</w:t>
            </w:r>
          </w:p>
        </w:tc>
        <w:tc>
          <w:tcPr>
            <w:tcW w:w="6380" w:type="dxa"/>
            <w:vAlign w:val="bottom"/>
            <w:gridSpan w:val="28"/>
          </w:tcPr>
          <w:p>
            <w:pPr>
              <w:spacing w:after="0"/>
              <w:rPr>
                <w:rFonts w:ascii="Times New Roman" w:cs="Times New Roman" w:eastAsia="Times New Roman" w:hAnsi="Times New Roman"/>
                <w:sz w:val="12"/>
                <w:szCs w:val="12"/>
                <w:color w:val="0000EE"/>
              </w:rPr>
            </w:pPr>
            <w:hyperlink r:id="rId422">
              <w:r>
                <w:rPr>
                  <w:rFonts w:ascii="Times New Roman" w:cs="Times New Roman" w:eastAsia="Times New Roman" w:hAnsi="Times New Roman"/>
                  <w:sz w:val="12"/>
                  <w:szCs w:val="12"/>
                  <w:color w:val="0000EE"/>
                </w:rPr>
                <w:t>Form of Placement Agent Warrant issued by Scilex Holding Company (incorporated by reference to Exhibit 4.3 of our Current</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80" w:type="dxa"/>
            <w:vAlign w:val="bottom"/>
            <w:tcBorders>
              <w:top w:val="single" w:sz="8" w:color="0000EE"/>
            </w:tcBorders>
            <w:gridSpan w:val="17"/>
          </w:tcPr>
          <w:p>
            <w:pPr>
              <w:spacing w:after="0" w:line="124" w:lineRule="exact"/>
              <w:rPr>
                <w:rFonts w:ascii="Times New Roman" w:cs="Times New Roman" w:eastAsia="Times New Roman" w:hAnsi="Times New Roman"/>
                <w:sz w:val="12"/>
                <w:szCs w:val="12"/>
                <w:color w:val="0000EE"/>
              </w:rPr>
            </w:pPr>
            <w:hyperlink r:id="rId422">
              <w:r>
                <w:rPr>
                  <w:rFonts w:ascii="Times New Roman" w:cs="Times New Roman" w:eastAsia="Times New Roman" w:hAnsi="Times New Roman"/>
                  <w:sz w:val="12"/>
                  <w:szCs w:val="12"/>
                  <w:color w:val="0000EE"/>
                </w:rPr>
                <w:t>Report on Form 8-K (File No. 001-39852), filed with the SEC on October 8, 2024).</w:t>
              </w:r>
            </w:hyperlink>
          </w:p>
        </w:tc>
        <w:tc>
          <w:tcPr>
            <w:tcW w:w="30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II-5</w:t>
      </w:r>
    </w:p>
    <w:p>
      <w:pPr>
        <w:sectPr>
          <w:pgSz w:w="11900" w:h="16838" w:orient="portrait"/>
          <w:cols w:equalWidth="0" w:num="1">
            <w:col w:w="10159"/>
          </w:cols>
          <w:pgMar w:left="300" w:top="368" w:right="1440"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0" w:type="dxa"/>
            <w:vAlign w:val="bottom"/>
            <w:gridSpan w:val="20"/>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5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4.13</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24">
              <w:r>
                <w:rPr>
                  <w:rFonts w:ascii="Times New Roman" w:cs="Times New Roman" w:eastAsia="Times New Roman" w:hAnsi="Times New Roman"/>
                  <w:sz w:val="12"/>
                  <w:szCs w:val="12"/>
                  <w:color w:val="0000EE"/>
                </w:rPr>
                <w:t>Form of Pre-Funded Warrant issued by Scilex Holding Company (incorporated by reference to Exhibit 4.1 of our Current Report on</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424">
              <w:r>
                <w:rPr>
                  <w:rFonts w:ascii="Times New Roman" w:cs="Times New Roman" w:eastAsia="Times New Roman" w:hAnsi="Times New Roman"/>
                  <w:sz w:val="12"/>
                  <w:szCs w:val="12"/>
                  <w:color w:val="0000EE"/>
                </w:rPr>
                <w:t>Form 8-K (File No. 001-39852), filed with the SEC on December 13, 2024).</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4.14</w:t>
            </w:r>
          </w:p>
        </w:tc>
        <w:tc>
          <w:tcPr>
            <w:tcW w:w="622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425">
              <w:r>
                <w:rPr>
                  <w:rFonts w:ascii="Times New Roman" w:cs="Times New Roman" w:eastAsia="Times New Roman" w:hAnsi="Times New Roman"/>
                  <w:sz w:val="12"/>
                  <w:szCs w:val="12"/>
                  <w:color w:val="0000EE"/>
                  <w:w w:val="99"/>
                </w:rPr>
                <w:t>Form of Common Warrant issued by Scilex Holding Company (incorporated by reference to Exhibit 4.2 of our Current Report on</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25">
              <w:r>
                <w:rPr>
                  <w:rFonts w:ascii="Times New Roman" w:cs="Times New Roman" w:eastAsia="Times New Roman" w:hAnsi="Times New Roman"/>
                  <w:sz w:val="12"/>
                  <w:szCs w:val="12"/>
                  <w:color w:val="0000EE"/>
                </w:rPr>
                <w:t>Form 8-K (File No. 001-39852), filed with the SEC on December 13,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4.15</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26">
              <w:r>
                <w:rPr>
                  <w:rFonts w:ascii="Times New Roman" w:cs="Times New Roman" w:eastAsia="Times New Roman" w:hAnsi="Times New Roman"/>
                  <w:sz w:val="12"/>
                  <w:szCs w:val="12"/>
                  <w:color w:val="0000EE"/>
                </w:rPr>
                <w:t>Form of StockBlock Warrant issued by Scilex Holding Company (incorporated by reference to Exhibit 4.3 of our Current Report on</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2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426">
              <w:r>
                <w:rPr>
                  <w:rFonts w:ascii="Times New Roman" w:cs="Times New Roman" w:eastAsia="Times New Roman" w:hAnsi="Times New Roman"/>
                  <w:sz w:val="12"/>
                  <w:szCs w:val="12"/>
                  <w:color w:val="0000EE"/>
                </w:rPr>
                <w:t>Form 8-K (File No. 001-39852), filed with the SEC on December 13, 2024).</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5.1</w:t>
            </w:r>
            <w:r>
              <w:rPr>
                <w:rFonts w:ascii="Times New Roman" w:cs="Times New Roman" w:eastAsia="Times New Roman" w:hAnsi="Times New Roman"/>
                <w:sz w:val="7"/>
                <w:szCs w:val="7"/>
                <w:color w:val="auto"/>
              </w:rPr>
              <w:t>†</w:t>
            </w:r>
          </w:p>
        </w:tc>
        <w:tc>
          <w:tcPr>
            <w:tcW w:w="36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auto"/>
              </w:rPr>
              <w:t>Opinion of Paul Hastings LLP.</w:t>
            </w:r>
          </w:p>
        </w:tc>
        <w:tc>
          <w:tcPr>
            <w:tcW w:w="2720" w:type="dxa"/>
            <w:vAlign w:val="bottom"/>
            <w:gridSpan w:val="18"/>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27">
              <w:r>
                <w:rPr>
                  <w:rFonts w:ascii="Times New Roman" w:cs="Times New Roman" w:eastAsia="Times New Roman" w:hAnsi="Times New Roman"/>
                  <w:sz w:val="12"/>
                  <w:szCs w:val="12"/>
                  <w:color w:val="0000EE"/>
                </w:rPr>
                <w:t>Form of Indemnification Agreement of Scilex Holding Company (incorporated by reference to Exhibit 10.2 of our Current Report</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40" w:type="dxa"/>
            <w:vAlign w:val="bottom"/>
            <w:tcBorders>
              <w:top w:val="single" w:sz="8" w:color="0000EE"/>
            </w:tcBorders>
            <w:gridSpan w:val="19"/>
          </w:tcPr>
          <w:p>
            <w:pPr>
              <w:spacing w:after="0" w:line="124" w:lineRule="exact"/>
              <w:rPr>
                <w:rFonts w:ascii="Times New Roman" w:cs="Times New Roman" w:eastAsia="Times New Roman" w:hAnsi="Times New Roman"/>
                <w:sz w:val="12"/>
                <w:szCs w:val="12"/>
                <w:color w:val="0000EE"/>
              </w:rPr>
            </w:pPr>
            <w:hyperlink r:id="rId427">
              <w:r>
                <w:rPr>
                  <w:rFonts w:ascii="Times New Roman" w:cs="Times New Roman" w:eastAsia="Times New Roman" w:hAnsi="Times New Roman"/>
                  <w:sz w:val="12"/>
                  <w:szCs w:val="12"/>
                  <w:color w:val="0000EE"/>
                </w:rPr>
                <w:t>on Form 8-K (File No. 001-39852), filed with the SEC on November 17, 2022).</w:t>
              </w:r>
            </w:hyperlink>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w:t>
            </w:r>
          </w:p>
        </w:tc>
        <w:tc>
          <w:tcPr>
            <w:tcW w:w="604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r:id="rId428">
              <w:r>
                <w:rPr>
                  <w:rFonts w:ascii="Times New Roman" w:cs="Times New Roman" w:eastAsia="Times New Roman" w:hAnsi="Times New Roman"/>
                  <w:sz w:val="12"/>
                  <w:szCs w:val="12"/>
                  <w:color w:val="0000EE"/>
                  <w:w w:val="99"/>
                </w:rPr>
                <w:t>Scilex Pharmaceuticals, Inc. Amended and Restated 2017 Equity Incentive Plan (incorporated by reference to Exhibit 10.7 of</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96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428">
              <w:r>
                <w:rPr>
                  <w:rFonts w:ascii="Times New Roman" w:cs="Times New Roman" w:eastAsia="Times New Roman" w:hAnsi="Times New Roman"/>
                  <w:sz w:val="12"/>
                  <w:szCs w:val="12"/>
                  <w:color w:val="0000EE"/>
                  <w:w w:val="99"/>
                </w:rPr>
                <w:t>Amendment No. 1 of Vickers’s Form S-4 (File No. 333-264941), filed with the SEC on June 27, 2022).</w:t>
              </w:r>
            </w:hyperlink>
          </w:p>
        </w:tc>
        <w:tc>
          <w:tcPr>
            <w:tcW w:w="142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w:t>
            </w:r>
          </w:p>
        </w:tc>
        <w:tc>
          <w:tcPr>
            <w:tcW w:w="6020" w:type="dxa"/>
            <w:vAlign w:val="bottom"/>
            <w:tcBorders>
              <w:bottom w:val="single" w:sz="8" w:color="0000EE"/>
            </w:tcBorders>
            <w:gridSpan w:val="14"/>
          </w:tcPr>
          <w:p>
            <w:pPr>
              <w:spacing w:after="0"/>
              <w:rPr>
                <w:rFonts w:ascii="Times New Roman" w:cs="Times New Roman" w:eastAsia="Times New Roman" w:hAnsi="Times New Roman"/>
                <w:sz w:val="12"/>
                <w:szCs w:val="12"/>
                <w:color w:val="0000EE"/>
                <w:w w:val="99"/>
              </w:rPr>
            </w:pPr>
            <w:hyperlink r:id="rId429">
              <w:r>
                <w:rPr>
                  <w:rFonts w:ascii="Times New Roman" w:cs="Times New Roman" w:eastAsia="Times New Roman" w:hAnsi="Times New Roman"/>
                  <w:sz w:val="12"/>
                  <w:szCs w:val="12"/>
                  <w:color w:val="0000EE"/>
                  <w:w w:val="99"/>
                </w:rPr>
                <w:t>Form of Option Agreement and Stock Option Grant Notice under the Scilex Pharmaceuticals Inc. 2017 Equity Incentive Plan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tcBorders>
              <w:bottom w:val="single" w:sz="8" w:color="0000EE"/>
            </w:tcBorders>
            <w:gridSpan w:val="25"/>
          </w:tcPr>
          <w:p>
            <w:pPr>
              <w:spacing w:after="0" w:line="124" w:lineRule="exact"/>
              <w:rPr>
                <w:rFonts w:ascii="Times New Roman" w:cs="Times New Roman" w:eastAsia="Times New Roman" w:hAnsi="Times New Roman"/>
                <w:sz w:val="12"/>
                <w:szCs w:val="12"/>
                <w:color w:val="0000EE"/>
                <w:w w:val="99"/>
              </w:rPr>
            </w:pPr>
            <w:hyperlink r:id="rId429">
              <w:r>
                <w:rPr>
                  <w:rFonts w:ascii="Times New Roman" w:cs="Times New Roman" w:eastAsia="Times New Roman" w:hAnsi="Times New Roman"/>
                  <w:sz w:val="12"/>
                  <w:szCs w:val="12"/>
                  <w:color w:val="0000EE"/>
                  <w:w w:val="99"/>
                </w:rPr>
                <w:t>(incorporated by reference to Exhibit 10.8 of Amendment No. 1 of Vickers’s Form S-4 (File No. 333-264941), filed with the SEC on</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Borders>
              <w:bottom w:val="single" w:sz="8" w:color="0000EE"/>
            </w:tcBorders>
          </w:tcPr>
          <w:p>
            <w:pPr>
              <w:spacing w:after="0" w:line="124" w:lineRule="exact"/>
              <w:rPr>
                <w:rFonts w:ascii="Times New Roman" w:cs="Times New Roman" w:eastAsia="Times New Roman" w:hAnsi="Times New Roman"/>
                <w:sz w:val="12"/>
                <w:szCs w:val="12"/>
                <w:color w:val="0000EE"/>
                <w:w w:val="97"/>
              </w:rPr>
            </w:pPr>
            <w:hyperlink r:id="rId429">
              <w:r>
                <w:rPr>
                  <w:rFonts w:ascii="Times New Roman" w:cs="Times New Roman" w:eastAsia="Times New Roman" w:hAnsi="Times New Roman"/>
                  <w:sz w:val="12"/>
                  <w:szCs w:val="12"/>
                  <w:color w:val="0000EE"/>
                  <w:w w:val="97"/>
                </w:rPr>
                <w:t>June 27, 2022).</w:t>
              </w:r>
            </w:hyperlink>
          </w:p>
        </w:tc>
        <w:tc>
          <w:tcPr>
            <w:tcW w:w="5640" w:type="dxa"/>
            <w:vAlign w:val="bottom"/>
            <w:gridSpan w:val="24"/>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30">
              <w:r>
                <w:rPr>
                  <w:rFonts w:ascii="Times New Roman" w:cs="Times New Roman" w:eastAsia="Times New Roman" w:hAnsi="Times New Roman"/>
                  <w:sz w:val="12"/>
                  <w:szCs w:val="12"/>
                  <w:color w:val="0000EE"/>
                </w:rPr>
                <w:t>Scilex Holding Company 2019 Stock Option Plan, as amended (incorporated by reference to Exhibit 10.9 of Amendment No. 1 of</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40" w:type="dxa"/>
            <w:vAlign w:val="bottom"/>
            <w:tcBorders>
              <w:top w:val="single" w:sz="8" w:color="0000EE"/>
            </w:tcBorders>
            <w:gridSpan w:val="19"/>
          </w:tcPr>
          <w:p>
            <w:pPr>
              <w:spacing w:after="0" w:line="124" w:lineRule="exact"/>
              <w:rPr>
                <w:rFonts w:ascii="Times New Roman" w:cs="Times New Roman" w:eastAsia="Times New Roman" w:hAnsi="Times New Roman"/>
                <w:sz w:val="12"/>
                <w:szCs w:val="12"/>
                <w:color w:val="0000EE"/>
              </w:rPr>
            </w:pPr>
            <w:hyperlink r:id="rId430">
              <w:r>
                <w:rPr>
                  <w:rFonts w:ascii="Times New Roman" w:cs="Times New Roman" w:eastAsia="Times New Roman" w:hAnsi="Times New Roman"/>
                  <w:sz w:val="12"/>
                  <w:szCs w:val="12"/>
                  <w:color w:val="0000EE"/>
                </w:rPr>
                <w:t>Vickers’s Form S-4 (File No. 333-264941), filed with the SEC on June 27, 2022).</w:t>
              </w:r>
            </w:hyperlink>
          </w:p>
        </w:tc>
        <w:tc>
          <w:tcPr>
            <w:tcW w:w="14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w:t>
            </w:r>
          </w:p>
        </w:tc>
        <w:tc>
          <w:tcPr>
            <w:tcW w:w="6380" w:type="dxa"/>
            <w:vAlign w:val="bottom"/>
            <w:tcBorders>
              <w:bottom w:val="single" w:sz="8" w:color="0000EE"/>
            </w:tcBorders>
            <w:gridSpan w:val="25"/>
          </w:tcPr>
          <w:p>
            <w:pPr>
              <w:spacing w:after="0"/>
              <w:rPr>
                <w:rFonts w:ascii="Times New Roman" w:cs="Times New Roman" w:eastAsia="Times New Roman" w:hAnsi="Times New Roman"/>
                <w:sz w:val="12"/>
                <w:szCs w:val="12"/>
                <w:color w:val="0000EE"/>
                <w:w w:val="99"/>
              </w:rPr>
            </w:pPr>
            <w:hyperlink r:id="rId431">
              <w:r>
                <w:rPr>
                  <w:rFonts w:ascii="Times New Roman" w:cs="Times New Roman" w:eastAsia="Times New Roman" w:hAnsi="Times New Roman"/>
                  <w:sz w:val="12"/>
                  <w:szCs w:val="12"/>
                  <w:color w:val="0000EE"/>
                  <w:w w:val="99"/>
                </w:rPr>
                <w:t>Form of Option Agreement and Stock Option Grant Notice under the Scilex Holding Company 2019 Stock Option Plan, as amended</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8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431">
              <w:r>
                <w:rPr>
                  <w:rFonts w:ascii="Times New Roman" w:cs="Times New Roman" w:eastAsia="Times New Roman" w:hAnsi="Times New Roman"/>
                  <w:sz w:val="12"/>
                  <w:szCs w:val="12"/>
                  <w:color w:val="0000EE"/>
                  <w:w w:val="99"/>
                </w:rPr>
                <w:t>(incorporated by reference to Exhibit 10.10 of Amendment No. 1 of Vickers’s Form S-4 (File No. 333-264941), filed with the SEC</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31">
              <w:r>
                <w:rPr>
                  <w:rFonts w:ascii="Times New Roman" w:cs="Times New Roman" w:eastAsia="Times New Roman" w:hAnsi="Times New Roman"/>
                  <w:sz w:val="12"/>
                  <w:szCs w:val="12"/>
                  <w:color w:val="0000EE"/>
                </w:rPr>
                <w:t>on June 27,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w:t>
            </w:r>
          </w:p>
        </w:tc>
        <w:tc>
          <w:tcPr>
            <w:tcW w:w="630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432">
              <w:r>
                <w:rPr>
                  <w:rFonts w:ascii="Times New Roman" w:cs="Times New Roman" w:eastAsia="Times New Roman" w:hAnsi="Times New Roman"/>
                  <w:sz w:val="12"/>
                  <w:szCs w:val="12"/>
                  <w:color w:val="0000EE"/>
                  <w:w w:val="99"/>
                </w:rPr>
                <w:t>Scilex Holding Company 2022 Equity Incentive Plan, as amended (incorporated by reference to Exhibit 10.1 of our Current Report</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32">
              <w:r>
                <w:rPr>
                  <w:rFonts w:ascii="Times New Roman" w:cs="Times New Roman" w:eastAsia="Times New Roman" w:hAnsi="Times New Roman"/>
                  <w:sz w:val="12"/>
                  <w:szCs w:val="12"/>
                  <w:color w:val="0000EE"/>
                </w:rPr>
                <w:t>on Form 8-K (File No. 001-39852), filed with the SEC on May 5,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33">
              <w:r>
                <w:rPr>
                  <w:rFonts w:ascii="Times New Roman" w:cs="Times New Roman" w:eastAsia="Times New Roman" w:hAnsi="Times New Roman"/>
                  <w:sz w:val="12"/>
                  <w:szCs w:val="12"/>
                  <w:color w:val="0000EE"/>
                </w:rPr>
                <w:t>Form of Stock Option Grant Notice and Stock Option Agreement under the Scilex Holding Company 2022 Equity Incentive Plan</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90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33">
              <w:r>
                <w:rPr>
                  <w:rFonts w:ascii="Times New Roman" w:cs="Times New Roman" w:eastAsia="Times New Roman" w:hAnsi="Times New Roman"/>
                  <w:sz w:val="12"/>
                  <w:szCs w:val="12"/>
                  <w:color w:val="0000EE"/>
                  <w:w w:val="99"/>
                </w:rPr>
                <w:t>(incorporated by reference to Exhibit 10.6 of our Current Report on Form 8-K (File No. 001-39852), filed with the SEC on</w:t>
              </w:r>
            </w:hyperlink>
          </w:p>
        </w:tc>
        <w:tc>
          <w:tcPr>
            <w:tcW w:w="300" w:type="dxa"/>
            <w:vAlign w:val="bottom"/>
            <w:tcBorders>
              <w:top w:val="single" w:sz="8" w:color="0000EE"/>
            </w:tcBorders>
            <w:gridSpan w:val="5"/>
          </w:tcPr>
          <w:p>
            <w:pPr>
              <w:spacing w:after="0"/>
              <w:rPr>
                <w:sz w:val="10"/>
                <w:szCs w:val="10"/>
                <w:color w:val="auto"/>
              </w:rPr>
            </w:pPr>
          </w:p>
        </w:tc>
        <w:tc>
          <w:tcPr>
            <w:tcW w:w="18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33">
              <w:r>
                <w:rPr>
                  <w:rFonts w:ascii="Times New Roman" w:cs="Times New Roman" w:eastAsia="Times New Roman" w:hAnsi="Times New Roman"/>
                  <w:sz w:val="12"/>
                  <w:szCs w:val="12"/>
                  <w:color w:val="0000EE"/>
                </w:rPr>
                <w:t>November 17,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10.8*</w:t>
            </w:r>
          </w:p>
        </w:tc>
        <w:tc>
          <w:tcPr>
            <w:tcW w:w="6380" w:type="dxa"/>
            <w:vAlign w:val="bottom"/>
            <w:gridSpan w:val="25"/>
          </w:tcPr>
          <w:p>
            <w:pPr>
              <w:spacing w:after="0"/>
              <w:rPr>
                <w:rFonts w:ascii="Times New Roman" w:cs="Times New Roman" w:eastAsia="Times New Roman" w:hAnsi="Times New Roman"/>
                <w:sz w:val="12"/>
                <w:szCs w:val="12"/>
                <w:color w:val="0000EE"/>
                <w:w w:val="99"/>
              </w:rPr>
            </w:pPr>
            <w:hyperlink r:id="rId434">
              <w:r>
                <w:rPr>
                  <w:rFonts w:ascii="Times New Roman" w:cs="Times New Roman" w:eastAsia="Times New Roman" w:hAnsi="Times New Roman"/>
                  <w:sz w:val="12"/>
                  <w:szCs w:val="12"/>
                  <w:color w:val="0000EE"/>
                  <w:w w:val="99"/>
                </w:rPr>
                <w:t>Form of Restricted Stock Unit Award Grant Notice and Restricted Stock Unit Award Agreement under the Scilex Holding Company</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40" w:type="dxa"/>
            <w:vAlign w:val="bottom"/>
            <w:tcBorders>
              <w:top w:val="single" w:sz="8" w:color="0000EE"/>
            </w:tcBorders>
            <w:gridSpan w:val="23"/>
          </w:tcPr>
          <w:p>
            <w:pPr>
              <w:spacing w:after="0" w:line="124" w:lineRule="exact"/>
              <w:rPr>
                <w:rFonts w:ascii="Times New Roman" w:cs="Times New Roman" w:eastAsia="Times New Roman" w:hAnsi="Times New Roman"/>
                <w:sz w:val="12"/>
                <w:szCs w:val="12"/>
                <w:color w:val="0000EE"/>
              </w:rPr>
            </w:pPr>
            <w:hyperlink r:id="rId434">
              <w:r>
                <w:rPr>
                  <w:rFonts w:ascii="Times New Roman" w:cs="Times New Roman" w:eastAsia="Times New Roman" w:hAnsi="Times New Roman"/>
                  <w:sz w:val="12"/>
                  <w:szCs w:val="12"/>
                  <w:color w:val="0000EE"/>
                </w:rPr>
                <w:t>2022 Equity Incentive Plan (incorporated by reference to Exhibit 10.7 of our Current Report on Form 8-K (File No. 001-39852),</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0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434">
              <w:r>
                <w:rPr>
                  <w:rFonts w:ascii="Times New Roman" w:cs="Times New Roman" w:eastAsia="Times New Roman" w:hAnsi="Times New Roman"/>
                  <w:sz w:val="12"/>
                  <w:szCs w:val="12"/>
                  <w:color w:val="0000EE"/>
                  <w:w w:val="99"/>
                </w:rPr>
                <w:t>filed with the SEC on November 17, 2022).</w:t>
              </w:r>
            </w:hyperlink>
          </w:p>
        </w:tc>
        <w:tc>
          <w:tcPr>
            <w:tcW w:w="4060" w:type="dxa"/>
            <w:vAlign w:val="bottom"/>
            <w:tcBorders>
              <w:top w:val="single" w:sz="8" w:color="0000EE"/>
            </w:tcBorders>
            <w:gridSpan w:val="12"/>
          </w:tcPr>
          <w:p>
            <w:pPr>
              <w:spacing w:after="0"/>
              <w:rPr>
                <w:sz w:val="10"/>
                <w:szCs w:val="10"/>
                <w:color w:val="auto"/>
              </w:rPr>
            </w:pPr>
          </w:p>
        </w:tc>
        <w:tc>
          <w:tcPr>
            <w:tcW w:w="2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10.9*</w:t>
            </w:r>
          </w:p>
        </w:tc>
        <w:tc>
          <w:tcPr>
            <w:tcW w:w="6380" w:type="dxa"/>
            <w:vAlign w:val="bottom"/>
            <w:gridSpan w:val="25"/>
          </w:tcPr>
          <w:p>
            <w:pPr>
              <w:spacing w:after="0"/>
              <w:rPr>
                <w:rFonts w:ascii="Times New Roman" w:cs="Times New Roman" w:eastAsia="Times New Roman" w:hAnsi="Times New Roman"/>
                <w:sz w:val="12"/>
                <w:szCs w:val="12"/>
                <w:color w:val="0000EE"/>
              </w:rPr>
            </w:pPr>
            <w:hyperlink r:id="rId435">
              <w:r>
                <w:rPr>
                  <w:rFonts w:ascii="Times New Roman" w:cs="Times New Roman" w:eastAsia="Times New Roman" w:hAnsi="Times New Roman"/>
                  <w:sz w:val="12"/>
                  <w:szCs w:val="12"/>
                  <w:color w:val="0000EE"/>
                </w:rPr>
                <w:t>Scilex Holding Company 2022 Employee Stock Purchase Plan (incorporated by reference to Exhibit 10.8 of our Current Report on</w:t>
              </w:r>
            </w:hyperlink>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tcBorders>
              <w:top w:val="single" w:sz="8" w:color="0000EE"/>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435">
              <w:r>
                <w:rPr>
                  <w:rFonts w:ascii="Times New Roman" w:cs="Times New Roman" w:eastAsia="Times New Roman" w:hAnsi="Times New Roman"/>
                  <w:sz w:val="12"/>
                  <w:szCs w:val="12"/>
                  <w:color w:val="0000EE"/>
                  <w:w w:val="99"/>
                </w:rPr>
                <w:t>Form 8-K (File No. 001-39852), filed with the SEC on November 17, 2022).</w:t>
              </w:r>
            </w:hyperlink>
          </w:p>
        </w:tc>
        <w:tc>
          <w:tcPr>
            <w:tcW w:w="2600" w:type="dxa"/>
            <w:vAlign w:val="bottom"/>
            <w:tcBorders>
              <w:top w:val="single" w:sz="8" w:color="0000EE"/>
            </w:tcBorders>
            <w:gridSpan w:val="12"/>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10.10*</w:t>
            </w:r>
          </w:p>
        </w:tc>
        <w:tc>
          <w:tcPr>
            <w:tcW w:w="636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436">
              <w:r>
                <w:rPr>
                  <w:rFonts w:ascii="Times New Roman" w:cs="Times New Roman" w:eastAsia="Times New Roman" w:hAnsi="Times New Roman"/>
                  <w:sz w:val="12"/>
                  <w:szCs w:val="12"/>
                  <w:color w:val="0000EE"/>
                  <w:w w:val="99"/>
                </w:rPr>
                <w:t>Scilex Holding Company 2023 Inducement Plan (incorporated by reference to Exhibit 10.1 of our Current Report on Form 8-K (File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36">
              <w:r>
                <w:rPr>
                  <w:rFonts w:ascii="Times New Roman" w:cs="Times New Roman" w:eastAsia="Times New Roman" w:hAnsi="Times New Roman"/>
                  <w:sz w:val="12"/>
                  <w:szCs w:val="12"/>
                  <w:color w:val="0000EE"/>
                </w:rPr>
                <w:t>No. 001-39852), filed with the SEC on January 17,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10.11*</w:t>
            </w:r>
          </w:p>
        </w:tc>
        <w:tc>
          <w:tcPr>
            <w:tcW w:w="598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w w:val="99"/>
              </w:rPr>
            </w:pPr>
            <w:hyperlink r:id="rId437">
              <w:r>
                <w:rPr>
                  <w:rFonts w:ascii="Times New Roman" w:cs="Times New Roman" w:eastAsia="Times New Roman" w:hAnsi="Times New Roman"/>
                  <w:sz w:val="12"/>
                  <w:szCs w:val="12"/>
                  <w:color w:val="0000EE"/>
                  <w:w w:val="99"/>
                </w:rPr>
                <w:t>Form of Stock Option Grant Notice and Stock Option Agreement under the Scilex Holding Company 2023 Inducement Plan</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90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37">
              <w:r>
                <w:rPr>
                  <w:rFonts w:ascii="Times New Roman" w:cs="Times New Roman" w:eastAsia="Times New Roman" w:hAnsi="Times New Roman"/>
                  <w:sz w:val="12"/>
                  <w:szCs w:val="12"/>
                  <w:color w:val="0000EE"/>
                  <w:w w:val="99"/>
                </w:rPr>
                <w:t>(incorporated by reference to Exhibit 10.2 of our Current Report on Form 8-K (File No. 001-39852), filed with the SEC on</w:t>
              </w:r>
            </w:hyperlink>
          </w:p>
        </w:tc>
        <w:tc>
          <w:tcPr>
            <w:tcW w:w="48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380" w:type="dxa"/>
            <w:vAlign w:val="bottom"/>
            <w:gridSpan w:val="25"/>
          </w:tcPr>
          <w:p>
            <w:pPr>
              <w:spacing w:after="0" w:line="124" w:lineRule="exact"/>
              <w:rPr>
                <w:rFonts w:ascii="Times New Roman" w:cs="Times New Roman" w:eastAsia="Times New Roman" w:hAnsi="Times New Roman"/>
                <w:sz w:val="12"/>
                <w:szCs w:val="12"/>
                <w:color w:val="0000EE"/>
              </w:rPr>
            </w:pPr>
            <w:hyperlink r:id="rId437">
              <w:r>
                <w:rPr>
                  <w:rFonts w:ascii="Times New Roman" w:cs="Times New Roman" w:eastAsia="Times New Roman" w:hAnsi="Times New Roman"/>
                  <w:sz w:val="12"/>
                  <w:szCs w:val="12"/>
                  <w:color w:val="0000EE"/>
                </w:rPr>
                <w:t>January 17, 2023).</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II-6</w:t>
      </w:r>
    </w:p>
    <w:p>
      <w:pPr>
        <w:sectPr>
          <w:pgSz w:w="11900" w:h="16838" w:orient="portrait"/>
          <w:cols w:equalWidth="0" w:num="1">
            <w:col w:w="10159"/>
          </w:cols>
          <w:pgMar w:left="300" w:top="368"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460" w:type="dxa"/>
            <w:vAlign w:val="bottom"/>
            <w:gridSpan w:val="19"/>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10.12*</w:t>
            </w:r>
          </w:p>
        </w:tc>
        <w:tc>
          <w:tcPr>
            <w:tcW w:w="6180" w:type="dxa"/>
            <w:vAlign w:val="bottom"/>
            <w:tcBorders>
              <w:bottom w:val="single" w:sz="8" w:color="0000EE"/>
            </w:tcBorders>
            <w:gridSpan w:val="14"/>
          </w:tcPr>
          <w:p>
            <w:pPr>
              <w:spacing w:after="0"/>
              <w:rPr>
                <w:rFonts w:ascii="Times New Roman" w:cs="Times New Roman" w:eastAsia="Times New Roman" w:hAnsi="Times New Roman"/>
                <w:sz w:val="12"/>
                <w:szCs w:val="12"/>
                <w:color w:val="0000EE"/>
                <w:w w:val="99"/>
              </w:rPr>
            </w:pPr>
            <w:hyperlink r:id="rId439">
              <w:r>
                <w:rPr>
                  <w:rFonts w:ascii="Times New Roman" w:cs="Times New Roman" w:eastAsia="Times New Roman" w:hAnsi="Times New Roman"/>
                  <w:sz w:val="12"/>
                  <w:szCs w:val="12"/>
                  <w:color w:val="0000EE"/>
                  <w:w w:val="99"/>
                </w:rPr>
                <w:t>Form of Restricted Stock Unit Award Grant Notice and Award Agreement under the Scilex Holding Company 2023 Inducement</w:t>
              </w:r>
            </w:hyperlink>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6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439">
              <w:r>
                <w:rPr>
                  <w:rFonts w:ascii="Times New Roman" w:cs="Times New Roman" w:eastAsia="Times New Roman" w:hAnsi="Times New Roman"/>
                  <w:sz w:val="12"/>
                  <w:szCs w:val="12"/>
                  <w:color w:val="0000EE"/>
                  <w:w w:val="99"/>
                </w:rPr>
                <w:t>Plan (incorporated by reference to Exhibit 10.3 of our Current Report on Form 8-K (File No. 001-39852), filed with the SEC on</w:t>
              </w:r>
            </w:hyperlink>
          </w:p>
        </w:tc>
        <w:tc>
          <w:tcPr>
            <w:tcW w:w="2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39">
              <w:r>
                <w:rPr>
                  <w:rFonts w:ascii="Times New Roman" w:cs="Times New Roman" w:eastAsia="Times New Roman" w:hAnsi="Times New Roman"/>
                  <w:sz w:val="12"/>
                  <w:szCs w:val="12"/>
                  <w:color w:val="0000EE"/>
                </w:rPr>
                <w:t>January 17,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10.13*</w:t>
            </w:r>
          </w:p>
        </w:tc>
        <w:tc>
          <w:tcPr>
            <w:tcW w:w="632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440">
              <w:r>
                <w:rPr>
                  <w:rFonts w:ascii="Times New Roman" w:cs="Times New Roman" w:eastAsia="Times New Roman" w:hAnsi="Times New Roman"/>
                  <w:sz w:val="12"/>
                  <w:szCs w:val="12"/>
                  <w:color w:val="0000EE"/>
                  <w:w w:val="99"/>
                </w:rPr>
                <w:t>Offer Letter, dated as of April 19, 2019, between Scilex Pharmaceuticals Inc. and Jaisim Shah (incorporated by reference to Exhibit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0">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17</w:t>
              </w:r>
              <w:r>
                <w:rPr>
                  <w:rFonts w:ascii="Times New Roman" w:cs="Times New Roman" w:eastAsia="Times New Roman" w:hAnsi="Times New Roman"/>
                  <w:sz w:val="12"/>
                  <w:szCs w:val="12"/>
                  <w:color w:val="0000EE"/>
                </w:rPr>
                <w:t xml:space="preserve"> of Amendment No. 1 of Vickers’s Form S-4 (File No. 333-264941), filed with the SEC on June 27,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10.14^</w:t>
            </w:r>
          </w:p>
        </w:tc>
        <w:tc>
          <w:tcPr>
            <w:tcW w:w="626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441">
              <w:r>
                <w:rPr>
                  <w:rFonts w:ascii="Times New Roman" w:cs="Times New Roman" w:eastAsia="Times New Roman" w:hAnsi="Times New Roman"/>
                  <w:sz w:val="12"/>
                  <w:szCs w:val="12"/>
                  <w:color w:val="0000EE"/>
                  <w:w w:val="99"/>
                </w:rPr>
                <w:t>Office Lease, dated as of August 8, 2019, by and between Scilex Pharmaceuticals Inc. and 960 San Antonio LLC (incorporated by</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6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441">
              <w:r>
                <w:rPr>
                  <w:rFonts w:ascii="Times New Roman" w:cs="Times New Roman" w:eastAsia="Times New Roman" w:hAnsi="Times New Roman"/>
                  <w:sz w:val="12"/>
                  <w:szCs w:val="12"/>
                  <w:color w:val="0000EE"/>
                  <w:w w:val="99"/>
                </w:rPr>
                <w:t>reference to Exhibit 10.59 of Amendment No. 2 of Vickers’s Form S-4 (File No. 333-264941), filed with the SEC on July 21, 2022).</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10.15^</w:t>
            </w:r>
          </w:p>
        </w:tc>
        <w:tc>
          <w:tcPr>
            <w:tcW w:w="5980" w:type="dxa"/>
            <w:vAlign w:val="bottom"/>
            <w:tcBorders>
              <w:bottom w:val="single" w:sz="8" w:color="0000EE"/>
            </w:tcBorders>
            <w:gridSpan w:val="10"/>
          </w:tcPr>
          <w:p>
            <w:pPr>
              <w:spacing w:after="0"/>
              <w:rPr>
                <w:rFonts w:ascii="Times New Roman" w:cs="Times New Roman" w:eastAsia="Times New Roman" w:hAnsi="Times New Roman"/>
                <w:sz w:val="12"/>
                <w:szCs w:val="12"/>
                <w:color w:val="0000EE"/>
                <w:w w:val="99"/>
              </w:rPr>
            </w:pPr>
            <w:hyperlink r:id="rId442">
              <w:r>
                <w:rPr>
                  <w:rFonts w:ascii="Times New Roman" w:cs="Times New Roman" w:eastAsia="Times New Roman" w:hAnsi="Times New Roman"/>
                  <w:sz w:val="12"/>
                  <w:szCs w:val="12"/>
                  <w:color w:val="0000EE"/>
                  <w:w w:val="99"/>
                </w:rPr>
                <w:t>First Amendment to Office Lease, dated as of September 15, 2019, by and between Scilex Pharmaceuticals Inc. and 960 San</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0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442">
              <w:r>
                <w:rPr>
                  <w:rFonts w:ascii="Times New Roman" w:cs="Times New Roman" w:eastAsia="Times New Roman" w:hAnsi="Times New Roman"/>
                  <w:sz w:val="12"/>
                  <w:szCs w:val="12"/>
                  <w:color w:val="0000EE"/>
                  <w:w w:val="99"/>
                </w:rPr>
                <w:t>Antonio LLC (incorporated by reference to Exhibit 10.60 of Amendment No. 2 of Vickers’s Form S-4 (File No. 333-264941), filed</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442">
              <w:r>
                <w:rPr>
                  <w:rFonts w:ascii="Times New Roman" w:cs="Times New Roman" w:eastAsia="Times New Roman" w:hAnsi="Times New Roman"/>
                  <w:sz w:val="12"/>
                  <w:szCs w:val="12"/>
                  <w:color w:val="0000EE"/>
                  <w:w w:val="98"/>
                </w:rPr>
                <w:t>with the SEC on July 21, 2022).</w:t>
              </w:r>
            </w:hyperlink>
          </w:p>
        </w:tc>
        <w:tc>
          <w:tcPr>
            <w:tcW w:w="4840" w:type="dxa"/>
            <w:vAlign w:val="bottom"/>
            <w:gridSpan w:val="21"/>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10.16^</w:t>
            </w:r>
          </w:p>
        </w:tc>
        <w:tc>
          <w:tcPr>
            <w:tcW w:w="6380" w:type="dxa"/>
            <w:vAlign w:val="bottom"/>
            <w:gridSpan w:val="24"/>
          </w:tcPr>
          <w:p>
            <w:pPr>
              <w:spacing w:after="0"/>
              <w:rPr>
                <w:rFonts w:ascii="Times New Roman" w:cs="Times New Roman" w:eastAsia="Times New Roman" w:hAnsi="Times New Roman"/>
                <w:sz w:val="12"/>
                <w:szCs w:val="12"/>
                <w:color w:val="0000EE"/>
              </w:rPr>
            </w:pPr>
            <w:hyperlink r:id="rId443">
              <w:r>
                <w:rPr>
                  <w:rFonts w:ascii="Times New Roman" w:cs="Times New Roman" w:eastAsia="Times New Roman" w:hAnsi="Times New Roman"/>
                  <w:sz w:val="12"/>
                  <w:szCs w:val="12"/>
                  <w:color w:val="0000EE"/>
                </w:rPr>
                <w:t>Amended and Restated Industrial Lease, dated as of April 12, 2023, by and between Scilex Pharmaceuticals, Inc. and 960 San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3">
              <w:r>
                <w:rPr>
                  <w:rFonts w:ascii="Times New Roman" w:cs="Times New Roman" w:eastAsia="Times New Roman" w:hAnsi="Times New Roman"/>
                  <w:sz w:val="12"/>
                  <w:szCs w:val="12"/>
                  <w:color w:val="0000EE"/>
                </w:rPr>
                <w:t>Antonio LLC (incorporated by reference to Exhibit 10.39 of Amendment No. 4 of Scilex’s Form S-1 (File No. 333-271401), filed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8"/>
              </w:rPr>
            </w:pPr>
            <w:hyperlink r:id="rId443">
              <w:r>
                <w:rPr>
                  <w:rFonts w:ascii="Times New Roman" w:cs="Times New Roman" w:eastAsia="Times New Roman" w:hAnsi="Times New Roman"/>
                  <w:sz w:val="12"/>
                  <w:szCs w:val="12"/>
                  <w:color w:val="0000EE"/>
                  <w:w w:val="98"/>
                </w:rPr>
                <w:t>with the SEC on June 29, 2023).</w:t>
              </w:r>
            </w:hyperlink>
          </w:p>
        </w:tc>
        <w:tc>
          <w:tcPr>
            <w:tcW w:w="4660" w:type="dxa"/>
            <w:vAlign w:val="bottom"/>
            <w:tcBorders>
              <w:top w:val="single" w:sz="8" w:color="0000EE"/>
            </w:tcBorders>
            <w:gridSpan w:val="12"/>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10.17^</w:t>
            </w:r>
          </w:p>
        </w:tc>
        <w:tc>
          <w:tcPr>
            <w:tcW w:w="632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444">
              <w:r>
                <w:rPr>
                  <w:rFonts w:ascii="Times New Roman" w:cs="Times New Roman" w:eastAsia="Times New Roman" w:hAnsi="Times New Roman"/>
                  <w:sz w:val="12"/>
                  <w:szCs w:val="12"/>
                  <w:color w:val="0000EE"/>
                  <w:w w:val="99"/>
                </w:rPr>
                <w:t>Commercial Supply Agreement, dated as of February 16, 2017, by and among Scilex Pharmaceuticals Inc., Oishi Koseido Co., Ltd.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8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444">
              <w:r>
                <w:rPr>
                  <w:rFonts w:ascii="Times New Roman" w:cs="Times New Roman" w:eastAsia="Times New Roman" w:hAnsi="Times New Roman"/>
                  <w:sz w:val="12"/>
                  <w:szCs w:val="12"/>
                  <w:color w:val="0000EE"/>
                  <w:w w:val="99"/>
                </w:rPr>
                <w:t>and Itochu Chemical Frontier Corporation (incorporated by reference to Exhibit 10.22 of Amendment No. 2 of Vickers’s Form S-4</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4">
              <w:r>
                <w:rPr>
                  <w:rFonts w:ascii="Times New Roman" w:cs="Times New Roman" w:eastAsia="Times New Roman" w:hAnsi="Times New Roman"/>
                  <w:sz w:val="12"/>
                  <w:szCs w:val="12"/>
                  <w:color w:val="0000EE"/>
                </w:rPr>
                <w:t>(File No. 333-264941), filed with the SEC on July 21,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10.18^</w:t>
            </w:r>
          </w:p>
        </w:tc>
        <w:tc>
          <w:tcPr>
            <w:tcW w:w="6380" w:type="dxa"/>
            <w:vAlign w:val="bottom"/>
            <w:gridSpan w:val="24"/>
          </w:tcPr>
          <w:p>
            <w:pPr>
              <w:spacing w:after="0"/>
              <w:rPr>
                <w:rFonts w:ascii="Times New Roman" w:cs="Times New Roman" w:eastAsia="Times New Roman" w:hAnsi="Times New Roman"/>
                <w:sz w:val="12"/>
                <w:szCs w:val="12"/>
                <w:color w:val="0000EE"/>
              </w:rPr>
            </w:pPr>
            <w:hyperlink r:id="rId445">
              <w:r>
                <w:rPr>
                  <w:rFonts w:ascii="Times New Roman" w:cs="Times New Roman" w:eastAsia="Times New Roman" w:hAnsi="Times New Roman"/>
                  <w:sz w:val="12"/>
                  <w:szCs w:val="12"/>
                  <w:color w:val="0000EE"/>
                </w:rPr>
                <w:t>First Addendum to Commercial Supply Agreement, dated as of August 31, 2017, by and among Scilex Pharmaceuticals Inc., Oishi</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0" w:type="dxa"/>
            <w:vAlign w:val="bottom"/>
            <w:tcBorders>
              <w:top w:val="single" w:sz="8" w:color="0000EE"/>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445">
              <w:r>
                <w:rPr>
                  <w:rFonts w:ascii="Times New Roman" w:cs="Times New Roman" w:eastAsia="Times New Roman" w:hAnsi="Times New Roman"/>
                  <w:sz w:val="12"/>
                  <w:szCs w:val="12"/>
                  <w:color w:val="0000EE"/>
                  <w:w w:val="99"/>
                </w:rPr>
                <w:t>Koseido Co., Ltd. and Itochu Chemical Frontier Corporation (incorporated by reference to Exhibit 10.23 of Amendment No. 2 of</w:t>
              </w:r>
            </w:hyperlink>
          </w:p>
        </w:tc>
        <w:tc>
          <w:tcPr>
            <w:tcW w:w="80" w:type="dxa"/>
            <w:vAlign w:val="bottom"/>
            <w:tcBorders>
              <w:top w:val="single" w:sz="8" w:color="0000EE"/>
            </w:tcBorders>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5">
              <w:r>
                <w:rPr>
                  <w:rFonts w:ascii="Times New Roman" w:cs="Times New Roman" w:eastAsia="Times New Roman" w:hAnsi="Times New Roman"/>
                  <w:sz w:val="12"/>
                  <w:szCs w:val="12"/>
                  <w:color w:val="0000EE"/>
                </w:rPr>
                <w:t>Vickers’s Form S-4 (File No. 333-264941), filed with the SEC on July 21,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10.19^</w:t>
            </w:r>
          </w:p>
        </w:tc>
        <w:tc>
          <w:tcPr>
            <w:tcW w:w="6240" w:type="dxa"/>
            <w:vAlign w:val="bottom"/>
            <w:tcBorders>
              <w:bottom w:val="single" w:sz="8" w:color="0000EE"/>
            </w:tcBorders>
            <w:gridSpan w:val="17"/>
          </w:tcPr>
          <w:p>
            <w:pPr>
              <w:spacing w:after="0"/>
              <w:rPr>
                <w:rFonts w:ascii="Times New Roman" w:cs="Times New Roman" w:eastAsia="Times New Roman" w:hAnsi="Times New Roman"/>
                <w:sz w:val="12"/>
                <w:szCs w:val="12"/>
                <w:color w:val="0000EE"/>
                <w:w w:val="99"/>
              </w:rPr>
            </w:pPr>
            <w:hyperlink r:id="rId446">
              <w:r>
                <w:rPr>
                  <w:rFonts w:ascii="Times New Roman" w:cs="Times New Roman" w:eastAsia="Times New Roman" w:hAnsi="Times New Roman"/>
                  <w:sz w:val="12"/>
                  <w:szCs w:val="12"/>
                  <w:color w:val="0000EE"/>
                  <w:w w:val="99"/>
                </w:rPr>
                <w:t>Second Addendum to Commercial Supply Agreement, dated as of May 9, 2018, by and among Scilex Pharmaceuticals Inc., Oishi</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446">
              <w:r>
                <w:rPr>
                  <w:rFonts w:ascii="Times New Roman" w:cs="Times New Roman" w:eastAsia="Times New Roman" w:hAnsi="Times New Roman"/>
                  <w:sz w:val="12"/>
                  <w:szCs w:val="12"/>
                  <w:color w:val="0000EE"/>
                  <w:w w:val="99"/>
                </w:rPr>
                <w:t>Koseido Co., Ltd. and Itochu Chemical Frontier Corporation (incorporated by reference to Exhibit 10.24 of Amendment No. 2 of</w:t>
              </w:r>
            </w:hyperlink>
          </w:p>
        </w:tc>
        <w:tc>
          <w:tcPr>
            <w:tcW w:w="1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6">
              <w:r>
                <w:rPr>
                  <w:rFonts w:ascii="Times New Roman" w:cs="Times New Roman" w:eastAsia="Times New Roman" w:hAnsi="Times New Roman"/>
                  <w:sz w:val="12"/>
                  <w:szCs w:val="12"/>
                  <w:color w:val="0000EE"/>
                </w:rPr>
                <w:t>Vickers’s Form S-4 (File No. 333-264941), filed with the SEC on July 21,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10.20</w:t>
            </w:r>
          </w:p>
        </w:tc>
        <w:tc>
          <w:tcPr>
            <w:tcW w:w="6340" w:type="dxa"/>
            <w:vAlign w:val="bottom"/>
            <w:tcBorders>
              <w:bottom w:val="single" w:sz="8" w:color="0000EE"/>
            </w:tcBorders>
            <w:gridSpan w:val="22"/>
          </w:tcPr>
          <w:p>
            <w:pPr>
              <w:spacing w:after="0"/>
              <w:rPr>
                <w:rFonts w:ascii="Times New Roman" w:cs="Times New Roman" w:eastAsia="Times New Roman" w:hAnsi="Times New Roman"/>
                <w:sz w:val="12"/>
                <w:szCs w:val="12"/>
                <w:color w:val="0000EE"/>
                <w:w w:val="99"/>
              </w:rPr>
            </w:pPr>
            <w:hyperlink r:id="rId447">
              <w:r>
                <w:rPr>
                  <w:rFonts w:ascii="Times New Roman" w:cs="Times New Roman" w:eastAsia="Times New Roman" w:hAnsi="Times New Roman"/>
                  <w:sz w:val="12"/>
                  <w:szCs w:val="12"/>
                  <w:color w:val="0000EE"/>
                  <w:w w:val="99"/>
                </w:rPr>
                <w:t>Third Addendum to Commercial Supply Agreement, dated as of August 30, 2018, by and among Scilex Pharmaceuticals Inc., Oishi</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447">
              <w:r>
                <w:rPr>
                  <w:rFonts w:ascii="Times New Roman" w:cs="Times New Roman" w:eastAsia="Times New Roman" w:hAnsi="Times New Roman"/>
                  <w:sz w:val="12"/>
                  <w:szCs w:val="12"/>
                  <w:color w:val="0000EE"/>
                  <w:w w:val="99"/>
                </w:rPr>
                <w:t>Koseido Co., Ltd. and Itochu Chemical Frontier Corporation (incorporated by reference to Exhibit 10.25 of Amendment No. 2 of</w:t>
              </w:r>
            </w:hyperlink>
          </w:p>
        </w:tc>
        <w:tc>
          <w:tcPr>
            <w:tcW w:w="1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7">
              <w:r>
                <w:rPr>
                  <w:rFonts w:ascii="Times New Roman" w:cs="Times New Roman" w:eastAsia="Times New Roman" w:hAnsi="Times New Roman"/>
                  <w:sz w:val="12"/>
                  <w:szCs w:val="12"/>
                  <w:color w:val="0000EE"/>
                </w:rPr>
                <w:t>Vickers’s Form S-4 (File No. 333-264941), filed with the SEC on July 21,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10.21#</w:t>
            </w:r>
          </w:p>
        </w:tc>
        <w:tc>
          <w:tcPr>
            <w:tcW w:w="6380" w:type="dxa"/>
            <w:vAlign w:val="bottom"/>
            <w:gridSpan w:val="24"/>
          </w:tcPr>
          <w:p>
            <w:pPr>
              <w:spacing w:after="0"/>
              <w:rPr>
                <w:rFonts w:ascii="Times New Roman" w:cs="Times New Roman" w:eastAsia="Times New Roman" w:hAnsi="Times New Roman"/>
                <w:sz w:val="12"/>
                <w:szCs w:val="12"/>
                <w:color w:val="0000EE"/>
              </w:rPr>
            </w:pPr>
            <w:hyperlink r:id="rId448">
              <w:r>
                <w:rPr>
                  <w:rFonts w:ascii="Times New Roman" w:cs="Times New Roman" w:eastAsia="Times New Roman" w:hAnsi="Times New Roman"/>
                  <w:sz w:val="12"/>
                  <w:szCs w:val="12"/>
                  <w:color w:val="0000EE"/>
                </w:rPr>
                <w:t>Exclusive Distribution Agreement, dated as of August 6, 2015, by and among Scilex Pharmaceuticals Inc. and Cardinal Health 105,</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20" w:type="dxa"/>
            <w:vAlign w:val="bottom"/>
            <w:tcBorders>
              <w:top w:val="single" w:sz="8" w:color="0000EE"/>
            </w:tcBorders>
            <w:gridSpan w:val="21"/>
          </w:tcPr>
          <w:p>
            <w:pPr>
              <w:spacing w:after="0" w:line="124" w:lineRule="exact"/>
              <w:rPr>
                <w:rFonts w:ascii="Times New Roman" w:cs="Times New Roman" w:eastAsia="Times New Roman" w:hAnsi="Times New Roman"/>
                <w:sz w:val="12"/>
                <w:szCs w:val="12"/>
                <w:color w:val="0000EE"/>
              </w:rPr>
            </w:pPr>
            <w:hyperlink r:id="rId448">
              <w:r>
                <w:rPr>
                  <w:rFonts w:ascii="Times New Roman" w:cs="Times New Roman" w:eastAsia="Times New Roman" w:hAnsi="Times New Roman"/>
                  <w:sz w:val="12"/>
                  <w:szCs w:val="12"/>
                  <w:color w:val="0000EE"/>
                </w:rPr>
                <w:t>Inc. (incorporated by reference to Exhibit 10.26 of Amendment No. 4 of Vickers’s Form S-4 (File No. 333-264941), filed with the</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40" w:type="dxa"/>
            <w:vAlign w:val="bottom"/>
            <w:tcBorders>
              <w:top w:val="single" w:sz="8" w:color="0000EE"/>
            </w:tcBorders>
            <w:gridSpan w:val="17"/>
          </w:tcPr>
          <w:p>
            <w:pPr>
              <w:spacing w:after="0" w:line="124" w:lineRule="exact"/>
              <w:rPr>
                <w:rFonts w:ascii="Times New Roman" w:cs="Times New Roman" w:eastAsia="Times New Roman" w:hAnsi="Times New Roman"/>
                <w:sz w:val="12"/>
                <w:szCs w:val="12"/>
                <w:color w:val="0000EE"/>
              </w:rPr>
            </w:pPr>
            <w:hyperlink r:id="rId448">
              <w:r>
                <w:rPr>
                  <w:rFonts w:ascii="Times New Roman" w:cs="Times New Roman" w:eastAsia="Times New Roman" w:hAnsi="Times New Roman"/>
                  <w:sz w:val="12"/>
                  <w:szCs w:val="12"/>
                  <w:color w:val="0000EE"/>
                </w:rPr>
                <w:t>SEC on September 13, 2022).</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10.22</w:t>
            </w:r>
          </w:p>
        </w:tc>
        <w:tc>
          <w:tcPr>
            <w:tcW w:w="6380" w:type="dxa"/>
            <w:vAlign w:val="bottom"/>
            <w:gridSpan w:val="24"/>
          </w:tcPr>
          <w:p>
            <w:pPr>
              <w:spacing w:after="0"/>
              <w:rPr>
                <w:rFonts w:ascii="Times New Roman" w:cs="Times New Roman" w:eastAsia="Times New Roman" w:hAnsi="Times New Roman"/>
                <w:sz w:val="12"/>
                <w:szCs w:val="12"/>
                <w:color w:val="0000EE"/>
              </w:rPr>
            </w:pPr>
            <w:hyperlink r:id="rId449">
              <w:r>
                <w:rPr>
                  <w:rFonts w:ascii="Times New Roman" w:cs="Times New Roman" w:eastAsia="Times New Roman" w:hAnsi="Times New Roman"/>
                  <w:sz w:val="12"/>
                  <w:szCs w:val="12"/>
                  <w:color w:val="0000EE"/>
                </w:rPr>
                <w:t>Amendment to Exclusive Distribution Agreement, dated as of May 24, 2018, by and among Scilex Pharmaceuticals Inc. and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720" w:type="dxa"/>
            <w:vAlign w:val="bottom"/>
            <w:tcBorders>
              <w:top w:val="single" w:sz="8" w:color="0000EE"/>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449">
              <w:r>
                <w:rPr>
                  <w:rFonts w:ascii="Times New Roman" w:cs="Times New Roman" w:eastAsia="Times New Roman" w:hAnsi="Times New Roman"/>
                  <w:sz w:val="12"/>
                  <w:szCs w:val="12"/>
                  <w:color w:val="0000EE"/>
                  <w:w w:val="99"/>
                </w:rPr>
                <w:t>Cardinal Health 105, Inc. (incorporated by reference to Exhibit 10.27 of Amendment No. 4 of Vickers’s Form S-4 (File</w:t>
              </w:r>
            </w:hyperlink>
          </w:p>
        </w:tc>
        <w:tc>
          <w:tcPr>
            <w:tcW w:w="240" w:type="dxa"/>
            <w:vAlign w:val="bottom"/>
            <w:tcBorders>
              <w:top w:val="single" w:sz="8" w:color="0000EE"/>
            </w:tcBorders>
          </w:tcPr>
          <w:p>
            <w:pPr>
              <w:spacing w:after="0"/>
              <w:rPr>
                <w:sz w:val="10"/>
                <w:szCs w:val="10"/>
                <w:color w:val="auto"/>
              </w:rPr>
            </w:pPr>
          </w:p>
        </w:tc>
        <w:tc>
          <w:tcPr>
            <w:tcW w:w="42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49">
              <w:r>
                <w:rPr>
                  <w:rFonts w:ascii="Times New Roman" w:cs="Times New Roman" w:eastAsia="Times New Roman" w:hAnsi="Times New Roman"/>
                  <w:sz w:val="12"/>
                  <w:szCs w:val="12"/>
                  <w:color w:val="0000EE"/>
                </w:rPr>
                <w:t>No. 333-264941), filed with the SEC on September 13,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920" w:type="dxa"/>
            <w:vAlign w:val="bottom"/>
            <w:gridSpan w:val="5"/>
            <w:shd w:val="clear" w:color="auto" w:fill="0000EE"/>
          </w:tcPr>
          <w:p>
            <w:pPr>
              <w:spacing w:after="0" w:line="20" w:lineRule="exact"/>
              <w:rPr>
                <w:sz w:val="1"/>
                <w:szCs w:val="1"/>
                <w:color w:val="auto"/>
              </w:rPr>
            </w:pPr>
          </w:p>
        </w:tc>
        <w:tc>
          <w:tcPr>
            <w:tcW w:w="3220" w:type="dxa"/>
            <w:vAlign w:val="bottom"/>
            <w:tcBorders>
              <w:left w:val="single" w:sz="8" w:color="0000EE"/>
            </w:tcBorders>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10.23#</w:t>
            </w:r>
          </w:p>
        </w:tc>
        <w:tc>
          <w:tcPr>
            <w:tcW w:w="6380" w:type="dxa"/>
            <w:vAlign w:val="bottom"/>
            <w:gridSpan w:val="24"/>
          </w:tcPr>
          <w:p>
            <w:pPr>
              <w:spacing w:after="0"/>
              <w:rPr>
                <w:rFonts w:ascii="Times New Roman" w:cs="Times New Roman" w:eastAsia="Times New Roman" w:hAnsi="Times New Roman"/>
                <w:sz w:val="12"/>
                <w:szCs w:val="12"/>
                <w:color w:val="0000EE"/>
              </w:rPr>
            </w:pPr>
            <w:hyperlink r:id="rId450">
              <w:r>
                <w:rPr>
                  <w:rFonts w:ascii="Times New Roman" w:cs="Times New Roman" w:eastAsia="Times New Roman" w:hAnsi="Times New Roman"/>
                  <w:sz w:val="12"/>
                  <w:szCs w:val="12"/>
                  <w:color w:val="0000EE"/>
                </w:rPr>
                <w:t>Second Amendment to Exclusive Distribution Agreement, dated as of September 19, 2018, by and among Scilex Pharmaceuticals</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4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50">
              <w:r>
                <w:rPr>
                  <w:rFonts w:ascii="Times New Roman" w:cs="Times New Roman" w:eastAsia="Times New Roman" w:hAnsi="Times New Roman"/>
                  <w:sz w:val="12"/>
                  <w:szCs w:val="12"/>
                  <w:color w:val="0000EE"/>
                  <w:w w:val="99"/>
                </w:rPr>
                <w:t>Inc. and Cardinal Health 105, Inc. (incorporated by reference to Exhibit 10.28 of Amendment No. 4 of Vickers’s Form S-4 (File</w:t>
              </w:r>
            </w:hyperlink>
          </w:p>
        </w:tc>
        <w:tc>
          <w:tcPr>
            <w:tcW w:w="80" w:type="dxa"/>
            <w:vAlign w:val="bottom"/>
            <w:tcBorders>
              <w:top w:val="single" w:sz="8" w:color="0000EE"/>
            </w:tcBorders>
            <w:gridSpan w:val="4"/>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4"/>
          </w:tcPr>
          <w:p>
            <w:pPr>
              <w:spacing w:after="0" w:line="124" w:lineRule="exact"/>
              <w:rPr>
                <w:rFonts w:ascii="Times New Roman" w:cs="Times New Roman" w:eastAsia="Times New Roman" w:hAnsi="Times New Roman"/>
                <w:sz w:val="12"/>
                <w:szCs w:val="12"/>
                <w:color w:val="0000EE"/>
              </w:rPr>
            </w:pPr>
            <w:hyperlink r:id="rId450">
              <w:r>
                <w:rPr>
                  <w:rFonts w:ascii="Times New Roman" w:cs="Times New Roman" w:eastAsia="Times New Roman" w:hAnsi="Times New Roman"/>
                  <w:sz w:val="12"/>
                  <w:szCs w:val="12"/>
                  <w:color w:val="0000EE"/>
                </w:rPr>
                <w:t>No. 333-264941), filed with the SEC on September 13, 2022).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II-7</w:t>
      </w:r>
    </w:p>
    <w:p>
      <w:pPr>
        <w:sectPr>
          <w:pgSz w:w="11900" w:h="16838" w:orient="portrait"/>
          <w:cols w:equalWidth="0" w:num="1">
            <w:col w:w="10159"/>
          </w:cols>
          <w:pgMar w:left="300" w:top="368" w:right="1440"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80" w:type="dxa"/>
            <w:vAlign w:val="bottom"/>
            <w:gridSpan w:val="19"/>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60" w:type="dxa"/>
            <w:vAlign w:val="bottom"/>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gridSpan w:val="1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10.24</w:t>
            </w:r>
          </w:p>
        </w:tc>
        <w:tc>
          <w:tcPr>
            <w:tcW w:w="6380" w:type="dxa"/>
            <w:vAlign w:val="bottom"/>
            <w:tcBorders>
              <w:bottom w:val="single" w:sz="8" w:color="0000EE"/>
            </w:tcBorders>
            <w:gridSpan w:val="22"/>
          </w:tcPr>
          <w:p>
            <w:pPr>
              <w:spacing w:after="0"/>
              <w:rPr>
                <w:rFonts w:ascii="Times New Roman" w:cs="Times New Roman" w:eastAsia="Times New Roman" w:hAnsi="Times New Roman"/>
                <w:sz w:val="12"/>
                <w:szCs w:val="12"/>
                <w:color w:val="0000EE"/>
                <w:w w:val="99"/>
              </w:rPr>
            </w:pPr>
            <w:hyperlink r:id="rId452">
              <w:r>
                <w:rPr>
                  <w:rFonts w:ascii="Times New Roman" w:cs="Times New Roman" w:eastAsia="Times New Roman" w:hAnsi="Times New Roman"/>
                  <w:sz w:val="12"/>
                  <w:szCs w:val="12"/>
                  <w:color w:val="0000EE"/>
                  <w:w w:val="99"/>
                </w:rPr>
                <w:t>Third Amendment to Exclusive Distribution Agreement, dated as of October 1, 2021, by and among Scilex Pharmaceuticals Inc. and</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6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452">
              <w:r>
                <w:rPr>
                  <w:rFonts w:ascii="Times New Roman" w:cs="Times New Roman" w:eastAsia="Times New Roman" w:hAnsi="Times New Roman"/>
                  <w:sz w:val="12"/>
                  <w:szCs w:val="12"/>
                  <w:color w:val="0000EE"/>
                  <w:w w:val="99"/>
                </w:rPr>
                <w:t>Cardinal Health 105, LLC (f/k/a Cardinal Health 105, Inc.). (incorporated by reference to Exhibit 10.29 of Amendment No. 4 of</w:t>
              </w:r>
            </w:hyperlink>
          </w:p>
        </w:tc>
        <w:tc>
          <w:tcPr>
            <w:tcW w:w="2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52">
              <w:r>
                <w:rPr>
                  <w:rFonts w:ascii="Times New Roman" w:cs="Times New Roman" w:eastAsia="Times New Roman" w:hAnsi="Times New Roman"/>
                  <w:sz w:val="12"/>
                  <w:szCs w:val="12"/>
                  <w:color w:val="0000EE"/>
                </w:rPr>
                <w:t>Vickers’s Form S-4 (File No. 333-264941), filed with the SEC on September 13,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10.25^</w:t>
            </w:r>
          </w:p>
        </w:tc>
        <w:tc>
          <w:tcPr>
            <w:tcW w:w="622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453">
              <w:r>
                <w:rPr>
                  <w:rFonts w:ascii="Times New Roman" w:cs="Times New Roman" w:eastAsia="Times New Roman" w:hAnsi="Times New Roman"/>
                  <w:sz w:val="12"/>
                  <w:szCs w:val="12"/>
                  <w:color w:val="0000EE"/>
                  <w:w w:val="99"/>
                </w:rPr>
                <w:t>Product Development Agreement, dated as of May 11, 2011, by and between Scilex Pharmaceuticals, Inc. (as successor to Stason</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rPr>
            </w:pPr>
            <w:hyperlink r:id="rId453">
              <w:r>
                <w:rPr>
                  <w:rFonts w:ascii="Times New Roman" w:cs="Times New Roman" w:eastAsia="Times New Roman" w:hAnsi="Times New Roman"/>
                  <w:sz w:val="12"/>
                  <w:szCs w:val="12"/>
                  <w:color w:val="0000EE"/>
                </w:rPr>
                <w:t>Pharmaceuticals, Inc.), Oishi Koseido Co., Ltd. and Itochu Chemical Frontier Corporation. (incorporated by reference to Exhibit</w:t>
              </w:r>
            </w:hyperlink>
          </w:p>
        </w:tc>
        <w:tc>
          <w:tcPr>
            <w:tcW w:w="18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53">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34</w:t>
              </w:r>
              <w:r>
                <w:rPr>
                  <w:rFonts w:ascii="Times New Roman" w:cs="Times New Roman" w:eastAsia="Times New Roman" w:hAnsi="Times New Roman"/>
                  <w:sz w:val="12"/>
                  <w:szCs w:val="12"/>
                  <w:color w:val="0000EE"/>
                </w:rPr>
                <w:t xml:space="preserve"> of Amendment No. 2 of Vickers’s Form S-4 (File No. 333-264941), filed with the SEC on July 21,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10.26</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454">
              <w:r>
                <w:rPr>
                  <w:rFonts w:ascii="Times New Roman" w:cs="Times New Roman" w:eastAsia="Times New Roman" w:hAnsi="Times New Roman"/>
                  <w:sz w:val="12"/>
                  <w:szCs w:val="12"/>
                  <w:color w:val="0000EE"/>
                </w:rPr>
                <w:t>First Amendment to Product Development Agreement, dated as of April 2, 2013, by and between Scilex Pharmaceuticals Inc., Oishi</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20" w:type="dxa"/>
            <w:vAlign w:val="bottom"/>
            <w:tcBorders>
              <w:top w:val="single" w:sz="8" w:color="0000EE"/>
              <w:bottom w:val="single" w:sz="8" w:color="0000EE"/>
            </w:tcBorders>
            <w:gridSpan w:val="16"/>
          </w:tcPr>
          <w:p>
            <w:pPr>
              <w:spacing w:after="0" w:line="124" w:lineRule="exact"/>
              <w:rPr>
                <w:rFonts w:ascii="Times New Roman" w:cs="Times New Roman" w:eastAsia="Times New Roman" w:hAnsi="Times New Roman"/>
                <w:sz w:val="12"/>
                <w:szCs w:val="12"/>
                <w:color w:val="0000EE"/>
                <w:w w:val="99"/>
              </w:rPr>
            </w:pPr>
            <w:hyperlink r:id="rId454">
              <w:r>
                <w:rPr>
                  <w:rFonts w:ascii="Times New Roman" w:cs="Times New Roman" w:eastAsia="Times New Roman" w:hAnsi="Times New Roman"/>
                  <w:sz w:val="12"/>
                  <w:szCs w:val="12"/>
                  <w:color w:val="0000EE"/>
                  <w:w w:val="99"/>
                </w:rPr>
                <w:t>Koseido Co., Ltd. and Itochu Chemical Frontier Corporation (incorporated by reference to Exhibit 10.35 of Amendment No. 2 of</w:t>
              </w:r>
            </w:hyperlink>
          </w:p>
        </w:tc>
        <w:tc>
          <w:tcPr>
            <w:tcW w:w="120" w:type="dxa"/>
            <w:vAlign w:val="bottom"/>
            <w:tcBorders>
              <w:top w:val="single" w:sz="8" w:color="0000EE"/>
            </w:tcBorders>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54">
              <w:r>
                <w:rPr>
                  <w:rFonts w:ascii="Times New Roman" w:cs="Times New Roman" w:eastAsia="Times New Roman" w:hAnsi="Times New Roman"/>
                  <w:sz w:val="12"/>
                  <w:szCs w:val="12"/>
                  <w:color w:val="0000EE"/>
                </w:rPr>
                <w:t>Vickers’s Form S-4 (File No. 333-264941), filed with the SEC on July 21, 2022).</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10.27^</w:t>
            </w:r>
          </w:p>
        </w:tc>
        <w:tc>
          <w:tcPr>
            <w:tcW w:w="6200" w:type="dxa"/>
            <w:vAlign w:val="bottom"/>
            <w:tcBorders>
              <w:bottom w:val="single" w:sz="8" w:color="0000EE"/>
            </w:tcBorders>
            <w:gridSpan w:val="15"/>
          </w:tcPr>
          <w:p>
            <w:pPr>
              <w:spacing w:after="0"/>
              <w:rPr>
                <w:rFonts w:ascii="Times New Roman" w:cs="Times New Roman" w:eastAsia="Times New Roman" w:hAnsi="Times New Roman"/>
                <w:sz w:val="12"/>
                <w:szCs w:val="12"/>
                <w:color w:val="0000EE"/>
                <w:w w:val="99"/>
              </w:rPr>
            </w:pPr>
            <w:hyperlink r:id="rId455">
              <w:r>
                <w:rPr>
                  <w:rFonts w:ascii="Times New Roman" w:cs="Times New Roman" w:eastAsia="Times New Roman" w:hAnsi="Times New Roman"/>
                  <w:sz w:val="12"/>
                  <w:szCs w:val="12"/>
                  <w:color w:val="0000EE"/>
                  <w:w w:val="99"/>
                </w:rPr>
                <w:t>Second Amendment to Product Development Agreement, dated as of February 20, 2017, by and between Scilex Pharmaceuticals</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55">
              <w:r>
                <w:rPr>
                  <w:rFonts w:ascii="Times New Roman" w:cs="Times New Roman" w:eastAsia="Times New Roman" w:hAnsi="Times New Roman"/>
                  <w:sz w:val="12"/>
                  <w:szCs w:val="12"/>
                  <w:color w:val="0000EE"/>
                </w:rPr>
                <w:t>Inc., Oishi Koseido Co., Ltd. and Itochu Chemical Frontier Corporation (incorporated by reference to Exhibit 10.36 of Amendment</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40" w:type="dxa"/>
            <w:vAlign w:val="bottom"/>
            <w:tcBorders>
              <w:top w:val="single" w:sz="8" w:color="0000EE"/>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455">
              <w:r>
                <w:rPr>
                  <w:rFonts w:ascii="Times New Roman" w:cs="Times New Roman" w:eastAsia="Times New Roman" w:hAnsi="Times New Roman"/>
                  <w:sz w:val="12"/>
                  <w:szCs w:val="12"/>
                  <w:color w:val="0000EE"/>
                  <w:w w:val="99"/>
                </w:rPr>
                <w:t>No. 2 of Vickers’s Form S-4 (File No. 333-264941), filed with the SEC on July 21, 2022).</w:t>
              </w:r>
            </w:hyperlink>
          </w:p>
        </w:tc>
        <w:tc>
          <w:tcPr>
            <w:tcW w:w="1960" w:type="dxa"/>
            <w:vAlign w:val="bottom"/>
            <w:tcBorders>
              <w:top w:val="single" w:sz="8" w:color="0000EE"/>
            </w:tcBorders>
            <w:gridSpan w:val="10"/>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10.28^</w:t>
            </w:r>
          </w:p>
        </w:tc>
        <w:tc>
          <w:tcPr>
            <w:tcW w:w="626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456">
              <w:r>
                <w:rPr>
                  <w:rFonts w:ascii="Times New Roman" w:cs="Times New Roman" w:eastAsia="Times New Roman" w:hAnsi="Times New Roman"/>
                  <w:sz w:val="12"/>
                  <w:szCs w:val="12"/>
                  <w:color w:val="0000EE"/>
                  <w:w w:val="99"/>
                </w:rPr>
                <w:t>Third Amendment to Product Development Agreement, dated as of August 29, 2018, by and between Scilex Pharmaceuticals Inc.,</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60" w:type="dxa"/>
            <w:vAlign w:val="bottom"/>
            <w:tcBorders>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r:id="rId456">
              <w:r>
                <w:rPr>
                  <w:rFonts w:ascii="Times New Roman" w:cs="Times New Roman" w:eastAsia="Times New Roman" w:hAnsi="Times New Roman"/>
                  <w:sz w:val="12"/>
                  <w:szCs w:val="12"/>
                  <w:color w:val="0000EE"/>
                  <w:w w:val="99"/>
                </w:rPr>
                <w:t>Oishi Koseido Co., Ltd. and Itochu Chemical Frontier Corporation (incorporated by reference to Exhibit 10.37 of Amendment No. 2</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2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56">
              <w:r>
                <w:rPr>
                  <w:rFonts w:ascii="Times New Roman" w:cs="Times New Roman" w:eastAsia="Times New Roman" w:hAnsi="Times New Roman"/>
                  <w:sz w:val="12"/>
                  <w:szCs w:val="12"/>
                  <w:color w:val="0000EE"/>
                  <w:w w:val="99"/>
                </w:rPr>
                <w:t>of Vickers’s Form S-4 (File No. 333-264941), filed with the SEC on July 21, 2022).</w:t>
              </w:r>
            </w:hyperlink>
          </w:p>
        </w:tc>
        <w:tc>
          <w:tcPr>
            <w:tcW w:w="236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10.29</w:t>
            </w:r>
          </w:p>
        </w:tc>
        <w:tc>
          <w:tcPr>
            <w:tcW w:w="622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457">
              <w:r>
                <w:rPr>
                  <w:rFonts w:ascii="Times New Roman" w:cs="Times New Roman" w:eastAsia="Times New Roman" w:hAnsi="Times New Roman"/>
                  <w:sz w:val="12"/>
                  <w:szCs w:val="12"/>
                  <w:color w:val="0000EE"/>
                  <w:w w:val="99"/>
                </w:rPr>
                <w:t>Fourth Amendment to Product Development Agreement, dated as of December 13, 2019, by and between Scilex Pharmaceuticals</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57">
              <w:r>
                <w:rPr>
                  <w:rFonts w:ascii="Times New Roman" w:cs="Times New Roman" w:eastAsia="Times New Roman" w:hAnsi="Times New Roman"/>
                  <w:sz w:val="12"/>
                  <w:szCs w:val="12"/>
                  <w:color w:val="0000EE"/>
                </w:rPr>
                <w:t>Inc., Oishi Koseido Co., Ltd. and Itochu Chemical Frontier Corporation (incorporated by reference to Exhibit 10.38 of Amendment</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20" w:type="dxa"/>
            <w:vAlign w:val="bottom"/>
            <w:tcBorders>
              <w:top w:val="single" w:sz="8" w:color="0000EE"/>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457">
              <w:r>
                <w:rPr>
                  <w:rFonts w:ascii="Times New Roman" w:cs="Times New Roman" w:eastAsia="Times New Roman" w:hAnsi="Times New Roman"/>
                  <w:sz w:val="12"/>
                  <w:szCs w:val="12"/>
                  <w:color w:val="0000EE"/>
                  <w:w w:val="99"/>
                </w:rPr>
                <w:t>No. 2 of Vickers’s Form S-4 (File No. 333-264941), filed with the SEC on July 21, 2022).</w:t>
              </w:r>
            </w:hyperlink>
          </w:p>
        </w:tc>
        <w:tc>
          <w:tcPr>
            <w:tcW w:w="1980" w:type="dxa"/>
            <w:vAlign w:val="bottom"/>
            <w:tcBorders>
              <w:top w:val="single" w:sz="8" w:color="0000EE"/>
            </w:tcBorders>
            <w:gridSpan w:val="11"/>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10.30</w:t>
            </w:r>
          </w:p>
        </w:tc>
        <w:tc>
          <w:tcPr>
            <w:tcW w:w="608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8"/>
              </w:rPr>
            </w:pPr>
            <w:hyperlink r:id="rId458">
              <w:r>
                <w:rPr>
                  <w:rFonts w:ascii="Times New Roman" w:cs="Times New Roman" w:eastAsia="Times New Roman" w:hAnsi="Times New Roman"/>
                  <w:sz w:val="12"/>
                  <w:szCs w:val="12"/>
                  <w:color w:val="0000EE"/>
                  <w:w w:val="98"/>
                </w:rPr>
                <w:t>Fifth Amendment to Product Development Agreement, dated as of April 30, 2021, by and between Scilex Pharmaceuticals Inc.,</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60" w:type="dxa"/>
            <w:vAlign w:val="bottom"/>
            <w:tcBorders>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r:id="rId458">
              <w:r>
                <w:rPr>
                  <w:rFonts w:ascii="Times New Roman" w:cs="Times New Roman" w:eastAsia="Times New Roman" w:hAnsi="Times New Roman"/>
                  <w:sz w:val="12"/>
                  <w:szCs w:val="12"/>
                  <w:color w:val="0000EE"/>
                  <w:w w:val="99"/>
                </w:rPr>
                <w:t>Oishi Koseido Co., Ltd. and Itochu Chemical Frontier Corporation (incorporated by reference to Exhibit 10.39 of Amendment No. 2</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2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58">
              <w:r>
                <w:rPr>
                  <w:rFonts w:ascii="Times New Roman" w:cs="Times New Roman" w:eastAsia="Times New Roman" w:hAnsi="Times New Roman"/>
                  <w:sz w:val="12"/>
                  <w:szCs w:val="12"/>
                  <w:color w:val="0000EE"/>
                  <w:w w:val="99"/>
                </w:rPr>
                <w:t>of Vickers’s Form S-4 (File No. 333-264941), filed with the SEC on July 21, 2022).</w:t>
              </w:r>
            </w:hyperlink>
          </w:p>
        </w:tc>
        <w:tc>
          <w:tcPr>
            <w:tcW w:w="236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10.31#^</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459">
              <w:r>
                <w:rPr>
                  <w:rFonts w:ascii="Times New Roman" w:cs="Times New Roman" w:eastAsia="Times New Roman" w:hAnsi="Times New Roman"/>
                  <w:sz w:val="12"/>
                  <w:szCs w:val="12"/>
                  <w:color w:val="0000EE"/>
                </w:rPr>
                <w:t>Master Services Agreement—SP-102, dated as of January 27, 2017, by and between Semnur Pharmaceuticals, Inc. and Lifecore</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59">
              <w:r>
                <w:rPr>
                  <w:rFonts w:ascii="Times New Roman" w:cs="Times New Roman" w:eastAsia="Times New Roman" w:hAnsi="Times New Roman"/>
                  <w:sz w:val="12"/>
                  <w:szCs w:val="12"/>
                  <w:color w:val="0000EE"/>
                </w:rPr>
                <w:t>Biomedical, LLC (incorporated by reference to Exhibit 10.40 of Amendment No. 1 of Vickers’s Form S-4 (File No. 333-264941),</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20" w:type="dxa"/>
            <w:vAlign w:val="bottom"/>
            <w:tcBorders>
              <w:top w:val="single" w:sz="8" w:color="0000EE"/>
            </w:tcBorders>
            <w:gridSpan w:val="16"/>
          </w:tcPr>
          <w:p>
            <w:pPr>
              <w:spacing w:after="0" w:line="124" w:lineRule="exact"/>
              <w:rPr>
                <w:rFonts w:ascii="Times New Roman" w:cs="Times New Roman" w:eastAsia="Times New Roman" w:hAnsi="Times New Roman"/>
                <w:sz w:val="12"/>
                <w:szCs w:val="12"/>
                <w:color w:val="0000EE"/>
              </w:rPr>
            </w:pPr>
            <w:hyperlink r:id="rId459">
              <w:r>
                <w:rPr>
                  <w:rFonts w:ascii="Times New Roman" w:cs="Times New Roman" w:eastAsia="Times New Roman" w:hAnsi="Times New Roman"/>
                  <w:sz w:val="12"/>
                  <w:szCs w:val="12"/>
                  <w:color w:val="0000EE"/>
                </w:rPr>
                <w:t>filed with the SEC on June 27, 2022).</w:t>
              </w:r>
            </w:hyperlink>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10.32</w:t>
            </w:r>
          </w:p>
        </w:tc>
        <w:tc>
          <w:tcPr>
            <w:tcW w:w="6180" w:type="dxa"/>
            <w:vAlign w:val="bottom"/>
            <w:tcBorders>
              <w:bottom w:val="single" w:sz="8" w:color="0000EE"/>
            </w:tcBorders>
            <w:gridSpan w:val="14"/>
          </w:tcPr>
          <w:p>
            <w:pPr>
              <w:spacing w:after="0"/>
              <w:rPr>
                <w:rFonts w:ascii="Times New Roman" w:cs="Times New Roman" w:eastAsia="Times New Roman" w:hAnsi="Times New Roman"/>
                <w:sz w:val="12"/>
                <w:szCs w:val="12"/>
                <w:color w:val="0000EE"/>
                <w:w w:val="99"/>
              </w:rPr>
            </w:pPr>
            <w:hyperlink r:id="rId460">
              <w:r>
                <w:rPr>
                  <w:rFonts w:ascii="Times New Roman" w:cs="Times New Roman" w:eastAsia="Times New Roman" w:hAnsi="Times New Roman"/>
                  <w:sz w:val="12"/>
                  <w:szCs w:val="12"/>
                  <w:color w:val="0000EE"/>
                  <w:w w:val="99"/>
                </w:rPr>
                <w:t>Amendment No. 1 to Master Services Agreement, dated as of April 26, 2018, by and between Semnur Pharmaceuticals, Inc. and</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78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460">
              <w:r>
                <w:rPr>
                  <w:rFonts w:ascii="Times New Roman" w:cs="Times New Roman" w:eastAsia="Times New Roman" w:hAnsi="Times New Roman"/>
                  <w:sz w:val="12"/>
                  <w:szCs w:val="12"/>
                  <w:color w:val="0000EE"/>
                  <w:w w:val="99"/>
                </w:rPr>
                <w:t>Lifecore Biomedical, LLC (incorporated by reference to Exhibit 10.41 of Amendment No. 1 of Vickers’s Form S-4 (File</w:t>
              </w:r>
            </w:hyperlink>
          </w:p>
        </w:tc>
        <w:tc>
          <w:tcPr>
            <w:tcW w:w="60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70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460">
              <w:r>
                <w:rPr>
                  <w:rFonts w:ascii="Times New Roman" w:cs="Times New Roman" w:eastAsia="Times New Roman" w:hAnsi="Times New Roman"/>
                  <w:sz w:val="12"/>
                  <w:szCs w:val="12"/>
                  <w:color w:val="0000EE"/>
                  <w:w w:val="99"/>
                </w:rPr>
                <w:t>No. 333-264941), filed with the SEC on June 27, 2022).</w:t>
              </w:r>
            </w:hyperlink>
          </w:p>
        </w:tc>
        <w:tc>
          <w:tcPr>
            <w:tcW w:w="368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10.33^</w:t>
            </w:r>
          </w:p>
        </w:tc>
        <w:tc>
          <w:tcPr>
            <w:tcW w:w="616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w w:val="99"/>
              </w:rPr>
            </w:pPr>
            <w:hyperlink r:id="rId461">
              <w:r>
                <w:rPr>
                  <w:rFonts w:ascii="Times New Roman" w:cs="Times New Roman" w:eastAsia="Times New Roman" w:hAnsi="Times New Roman"/>
                  <w:sz w:val="12"/>
                  <w:szCs w:val="12"/>
                  <w:color w:val="0000EE"/>
                  <w:w w:val="99"/>
                </w:rPr>
                <w:t>Second Amendment to Master Services Agreement, dated as of June 6, 2023, by and between Semnur Pharmaceuticals, Inc. and</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4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461">
              <w:r>
                <w:rPr>
                  <w:rFonts w:ascii="Times New Roman" w:cs="Times New Roman" w:eastAsia="Times New Roman" w:hAnsi="Times New Roman"/>
                  <w:sz w:val="12"/>
                  <w:szCs w:val="12"/>
                  <w:color w:val="0000EE"/>
                  <w:w w:val="99"/>
                </w:rPr>
                <w:t>Lifecore Biomedical, LLC (incorporated by reference to Exhibit 10.33 of our Annual Report on Form 10-K (File No. 001-39852),</w:t>
              </w:r>
            </w:hyperlink>
          </w:p>
        </w:tc>
        <w:tc>
          <w:tcPr>
            <w:tcW w:w="1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00" w:type="dxa"/>
            <w:vAlign w:val="bottom"/>
            <w:tcBorders>
              <w:bottom w:val="single" w:sz="8" w:color="0000EE"/>
            </w:tcBorders>
            <w:gridSpan w:val="2"/>
          </w:tcPr>
          <w:p>
            <w:pPr>
              <w:spacing w:after="0" w:line="124" w:lineRule="exact"/>
              <w:rPr>
                <w:rFonts w:ascii="Times New Roman" w:cs="Times New Roman" w:eastAsia="Times New Roman" w:hAnsi="Times New Roman"/>
                <w:sz w:val="12"/>
                <w:szCs w:val="12"/>
                <w:color w:val="0000EE"/>
                <w:w w:val="98"/>
              </w:rPr>
            </w:pPr>
            <w:hyperlink r:id="rId461">
              <w:r>
                <w:rPr>
                  <w:rFonts w:ascii="Times New Roman" w:cs="Times New Roman" w:eastAsia="Times New Roman" w:hAnsi="Times New Roman"/>
                  <w:sz w:val="12"/>
                  <w:szCs w:val="12"/>
                  <w:color w:val="0000EE"/>
                  <w:w w:val="98"/>
                </w:rPr>
                <w:t>filed with the SEC on March 31, 2025).</w:t>
              </w:r>
            </w:hyperlink>
          </w:p>
        </w:tc>
        <w:tc>
          <w:tcPr>
            <w:tcW w:w="448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10.34</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462">
              <w:r>
                <w:rPr>
                  <w:rFonts w:ascii="Times New Roman" w:cs="Times New Roman" w:eastAsia="Times New Roman" w:hAnsi="Times New Roman"/>
                  <w:sz w:val="12"/>
                  <w:szCs w:val="12"/>
                  <w:color w:val="0000EE"/>
                </w:rPr>
                <w:t>Novation Agreement re Master Services Agreement, dated as of June 15, 2022, by and among Scilex Holding Company, Tulex</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2640" w:type="dxa"/>
            <w:vAlign w:val="bottom"/>
            <w:gridSpan w:val="8"/>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462">
              <w:r>
                <w:rPr>
                  <w:rFonts w:ascii="Times New Roman" w:cs="Times New Roman" w:eastAsia="Times New Roman" w:hAnsi="Times New Roman"/>
                  <w:sz w:val="12"/>
                  <w:szCs w:val="12"/>
                  <w:color w:val="0000EE"/>
                </w:rPr>
                <w:t>Pharmaceuticals Inc. and Aardvark Therapeutics Inc. (incorporated by reference to Exhibit 10.42 of Amendment No. 1 of Vickers’s</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4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462">
              <w:r>
                <w:rPr>
                  <w:rFonts w:ascii="Times New Roman" w:cs="Times New Roman" w:eastAsia="Times New Roman" w:hAnsi="Times New Roman"/>
                  <w:sz w:val="12"/>
                  <w:szCs w:val="12"/>
                  <w:color w:val="0000EE"/>
                  <w:w w:val="99"/>
                </w:rPr>
                <w:t>Form S-4 (File No. 333-264941), filed with the SEC on June 27, 2022).</w:t>
              </w:r>
            </w:hyperlink>
          </w:p>
        </w:tc>
        <w:tc>
          <w:tcPr>
            <w:tcW w:w="2860" w:type="dxa"/>
            <w:vAlign w:val="bottom"/>
            <w:tcBorders>
              <w:top w:val="single" w:sz="8" w:color="0000EE"/>
            </w:tcBorders>
            <w:gridSpan w:val="15"/>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II-8</w:t>
      </w:r>
    </w:p>
    <w:p>
      <w:pPr>
        <w:sectPr>
          <w:pgSz w:w="11900" w:h="16838" w:orient="portrait"/>
          <w:cols w:equalWidth="0" w:num="1">
            <w:col w:w="10159"/>
          </w:cols>
          <w:pgMar w:left="300" w:top="368" w:right="1440"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3">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60" w:type="dxa"/>
            <w:vAlign w:val="bottom"/>
            <w:gridSpan w:val="2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gridSpan w:val="2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10.35#</w:t>
            </w:r>
          </w:p>
        </w:tc>
        <w:tc>
          <w:tcPr>
            <w:tcW w:w="6380" w:type="dxa"/>
            <w:vAlign w:val="bottom"/>
            <w:tcBorders>
              <w:bottom w:val="single" w:sz="8" w:color="0000EE"/>
            </w:tcBorders>
            <w:gridSpan w:val="26"/>
          </w:tcPr>
          <w:p>
            <w:pPr>
              <w:spacing w:after="0"/>
              <w:rPr>
                <w:rFonts w:ascii="Times New Roman" w:cs="Times New Roman" w:eastAsia="Times New Roman" w:hAnsi="Times New Roman"/>
                <w:sz w:val="12"/>
                <w:szCs w:val="12"/>
                <w:color w:val="0000EE"/>
                <w:w w:val="99"/>
              </w:rPr>
            </w:pPr>
            <w:hyperlink r:id="rId464">
              <w:r>
                <w:rPr>
                  <w:rFonts w:ascii="Times New Roman" w:cs="Times New Roman" w:eastAsia="Times New Roman" w:hAnsi="Times New Roman"/>
                  <w:sz w:val="12"/>
                  <w:szCs w:val="12"/>
                  <w:color w:val="0000EE"/>
                  <w:w w:val="99"/>
                </w:rPr>
                <w:t>Master Services Agreement, dated as of November 23, 2020, by and between Aardvark Therapeutics Inc. and Tulex Pharmaceuticals</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64">
              <w:r>
                <w:rPr>
                  <w:rFonts w:ascii="Times New Roman" w:cs="Times New Roman" w:eastAsia="Times New Roman" w:hAnsi="Times New Roman"/>
                  <w:sz w:val="12"/>
                  <w:szCs w:val="12"/>
                  <w:color w:val="0000EE"/>
                </w:rPr>
                <w:t>Inc. as assumed by Scilex Holding Company on May 12, 2022, as novated to Scilex Holding Company, pursuant to the Novation</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80" w:type="dxa"/>
            <w:vAlign w:val="bottom"/>
            <w:tcBorders>
              <w:top w:val="single" w:sz="8" w:color="0000EE"/>
            </w:tcBorders>
            <w:gridSpan w:val="17"/>
          </w:tcPr>
          <w:p>
            <w:pPr>
              <w:spacing w:after="0" w:line="124" w:lineRule="exact"/>
              <w:rPr>
                <w:rFonts w:ascii="Times New Roman" w:cs="Times New Roman" w:eastAsia="Times New Roman" w:hAnsi="Times New Roman"/>
                <w:sz w:val="12"/>
                <w:szCs w:val="12"/>
                <w:color w:val="0000EE"/>
              </w:rPr>
            </w:pPr>
            <w:hyperlink r:id="rId464">
              <w:r>
                <w:rPr>
                  <w:rFonts w:ascii="Times New Roman" w:cs="Times New Roman" w:eastAsia="Times New Roman" w:hAnsi="Times New Roman"/>
                  <w:sz w:val="12"/>
                  <w:szCs w:val="12"/>
                  <w:color w:val="0000EE"/>
                </w:rPr>
                <w:t>Agreement re Master Services Agreement, dated as of June 15, 2022, by and among Scilex Holding Company, Tulex</w:t>
              </w:r>
            </w:hyperlink>
          </w:p>
        </w:tc>
        <w:tc>
          <w:tcPr>
            <w:tcW w:w="20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2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464">
              <w:r>
                <w:rPr>
                  <w:rFonts w:ascii="Times New Roman" w:cs="Times New Roman" w:eastAsia="Times New Roman" w:hAnsi="Times New Roman"/>
                  <w:sz w:val="12"/>
                  <w:szCs w:val="12"/>
                  <w:color w:val="0000EE"/>
                  <w:w w:val="99"/>
                </w:rPr>
                <w:t>Pharmaceuticals Inc. and Aardvark Therapeutics Inc. (incorporated by reference to Exhibit 10.43 of Amendment No. 1 of Vickers’s</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4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64">
              <w:r>
                <w:rPr>
                  <w:rFonts w:ascii="Times New Roman" w:cs="Times New Roman" w:eastAsia="Times New Roman" w:hAnsi="Times New Roman"/>
                  <w:sz w:val="12"/>
                  <w:szCs w:val="12"/>
                  <w:color w:val="0000EE"/>
                  <w:w w:val="99"/>
                </w:rPr>
                <w:t>Form S-4 (File No. 333-264941), filed with the SEC on June 27, 2022).</w:t>
              </w:r>
            </w:hyperlink>
          </w:p>
        </w:tc>
        <w:tc>
          <w:tcPr>
            <w:tcW w:w="294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10.36#^</w:t>
            </w:r>
          </w:p>
        </w:tc>
        <w:tc>
          <w:tcPr>
            <w:tcW w:w="6100" w:type="dxa"/>
            <w:vAlign w:val="bottom"/>
            <w:tcBorders>
              <w:bottom w:val="single" w:sz="8" w:color="0000EE"/>
            </w:tcBorders>
            <w:gridSpan w:val="14"/>
          </w:tcPr>
          <w:p>
            <w:pPr>
              <w:spacing w:after="0"/>
              <w:rPr>
                <w:rFonts w:ascii="Times New Roman" w:cs="Times New Roman" w:eastAsia="Times New Roman" w:hAnsi="Times New Roman"/>
                <w:sz w:val="12"/>
                <w:szCs w:val="12"/>
                <w:color w:val="0000EE"/>
                <w:w w:val="99"/>
              </w:rPr>
            </w:pPr>
            <w:hyperlink r:id="rId465">
              <w:r>
                <w:rPr>
                  <w:rFonts w:ascii="Times New Roman" w:cs="Times New Roman" w:eastAsia="Times New Roman" w:hAnsi="Times New Roman"/>
                  <w:sz w:val="12"/>
                  <w:szCs w:val="12"/>
                  <w:color w:val="0000EE"/>
                  <w:w w:val="99"/>
                </w:rPr>
                <w:t>License and Commercialization Agreement, dated as of June 14, 2022, by and between Scilex Holding Company and RxOmeg</w:t>
              </w:r>
            </w:hyperlink>
          </w:p>
        </w:tc>
        <w:tc>
          <w:tcPr>
            <w:tcW w:w="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4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465">
              <w:r>
                <w:rPr>
                  <w:rFonts w:ascii="Times New Roman" w:cs="Times New Roman" w:eastAsia="Times New Roman" w:hAnsi="Times New Roman"/>
                  <w:sz w:val="12"/>
                  <w:szCs w:val="12"/>
                  <w:color w:val="0000EE"/>
                  <w:w w:val="99"/>
                </w:rPr>
                <w:t>Therapeutics LLC, a/k/a Romeg Therapeutics, LLC (incorporated by reference to Exhibit 10.44 of Amendment No. 1 of Vickers’s</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40" w:type="dxa"/>
            <w:vAlign w:val="bottom"/>
            <w:tcBorders>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65">
              <w:r>
                <w:rPr>
                  <w:rFonts w:ascii="Times New Roman" w:cs="Times New Roman" w:eastAsia="Times New Roman" w:hAnsi="Times New Roman"/>
                  <w:sz w:val="12"/>
                  <w:szCs w:val="12"/>
                  <w:color w:val="0000EE"/>
                  <w:w w:val="99"/>
                </w:rPr>
                <w:t>Form S-4 (File No. 333-264941), filed with the SEC on June 27, 2022).</w:t>
              </w:r>
            </w:hyperlink>
          </w:p>
        </w:tc>
        <w:tc>
          <w:tcPr>
            <w:tcW w:w="294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10.37#^</w:t>
            </w:r>
          </w:p>
        </w:tc>
        <w:tc>
          <w:tcPr>
            <w:tcW w:w="608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w w:val="99"/>
              </w:rPr>
            </w:pPr>
            <w:hyperlink r:id="rId466">
              <w:r>
                <w:rPr>
                  <w:rFonts w:ascii="Times New Roman" w:cs="Times New Roman" w:eastAsia="Times New Roman" w:hAnsi="Times New Roman"/>
                  <w:sz w:val="12"/>
                  <w:szCs w:val="12"/>
                  <w:color w:val="0000EE"/>
                  <w:w w:val="99"/>
                </w:rPr>
                <w:t>First Amendment to License and Commercialization Agreement, dated as of January 16, 2025, by and between Scilex Holding</w:t>
              </w:r>
            </w:hyperlink>
          </w:p>
        </w:tc>
        <w:tc>
          <w:tcPr>
            <w:tcW w:w="3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66">
              <w:r>
                <w:rPr>
                  <w:rFonts w:ascii="Times New Roman" w:cs="Times New Roman" w:eastAsia="Times New Roman" w:hAnsi="Times New Roman"/>
                  <w:sz w:val="12"/>
                  <w:szCs w:val="12"/>
                  <w:color w:val="0000EE"/>
                </w:rPr>
                <w:t>Company and RxOmeg Therapeutics LLC, a/k/a Romeg Therapeutics, LLC (incorporated by reference to Exhibit 10.37 of our</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0" w:type="dxa"/>
            <w:vAlign w:val="bottom"/>
            <w:tcBorders>
              <w:top w:val="single" w:sz="8" w:color="0000EE"/>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466">
              <w:r>
                <w:rPr>
                  <w:rFonts w:ascii="Times New Roman" w:cs="Times New Roman" w:eastAsia="Times New Roman" w:hAnsi="Times New Roman"/>
                  <w:sz w:val="12"/>
                  <w:szCs w:val="12"/>
                  <w:color w:val="0000EE"/>
                  <w:w w:val="99"/>
                </w:rPr>
                <w:t>Annual Report on Form 10-K (File No. 001-39852), filed with the SEC on March 31, 2025.</w:t>
              </w:r>
            </w:hyperlink>
          </w:p>
        </w:tc>
        <w:tc>
          <w:tcPr>
            <w:tcW w:w="1660" w:type="dxa"/>
            <w:vAlign w:val="bottom"/>
            <w:tcBorders>
              <w:top w:val="single" w:sz="8" w:color="0000EE"/>
            </w:tcBorders>
            <w:gridSpan w:val="5"/>
          </w:tcPr>
          <w:p>
            <w:pPr>
              <w:spacing w:after="0"/>
              <w:rPr>
                <w:sz w:val="10"/>
                <w:szCs w:val="10"/>
                <w:color w:val="auto"/>
              </w:rPr>
            </w:pPr>
          </w:p>
        </w:tc>
        <w:tc>
          <w:tcPr>
            <w:tcW w:w="32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10.38</w:t>
            </w:r>
          </w:p>
        </w:tc>
        <w:tc>
          <w:tcPr>
            <w:tcW w:w="6380" w:type="dxa"/>
            <w:vAlign w:val="bottom"/>
            <w:gridSpan w:val="26"/>
          </w:tcPr>
          <w:p>
            <w:pPr>
              <w:spacing w:after="0"/>
              <w:rPr>
                <w:rFonts w:ascii="Times New Roman" w:cs="Times New Roman" w:eastAsia="Times New Roman" w:hAnsi="Times New Roman"/>
                <w:sz w:val="12"/>
                <w:szCs w:val="12"/>
                <w:color w:val="0000EE"/>
              </w:rPr>
            </w:pPr>
            <w:hyperlink r:id="rId467">
              <w:r>
                <w:rPr>
                  <w:rFonts w:ascii="Times New Roman" w:cs="Times New Roman" w:eastAsia="Times New Roman" w:hAnsi="Times New Roman"/>
                  <w:sz w:val="12"/>
                  <w:szCs w:val="12"/>
                  <w:color w:val="0000EE"/>
                </w:rPr>
                <w:t>Amended and Restated Registration Rights Agreement, dated as of November 10, 2022, by and among Scilex Holding Company,</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6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8"/>
              </w:rPr>
            </w:pPr>
            <w:hyperlink r:id="rId467">
              <w:r>
                <w:rPr>
                  <w:rFonts w:ascii="Times New Roman" w:cs="Times New Roman" w:eastAsia="Times New Roman" w:hAnsi="Times New Roman"/>
                  <w:sz w:val="12"/>
                  <w:szCs w:val="12"/>
                  <w:color w:val="0000EE"/>
                  <w:w w:val="98"/>
                </w:rPr>
                <w:t>Vickers Venture Fund VI Pte Ltd, Vickers Venture Fund VI (Plan) Pte Ltd, Sorrento Therapeutics, Inc. and certain security holders</w:t>
              </w:r>
            </w:hyperlink>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4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467">
              <w:r>
                <w:rPr>
                  <w:rFonts w:ascii="Times New Roman" w:cs="Times New Roman" w:eastAsia="Times New Roman" w:hAnsi="Times New Roman"/>
                  <w:sz w:val="12"/>
                  <w:szCs w:val="12"/>
                  <w:color w:val="0000EE"/>
                  <w:w w:val="99"/>
                </w:rPr>
                <w:t>set forth on the signature pages thereto (incorporated by reference to Exhibit 10.1 of our Current Report on Form 8-K</w:t>
              </w:r>
            </w:hyperlink>
          </w:p>
        </w:tc>
        <w:tc>
          <w:tcPr>
            <w:tcW w:w="74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8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467">
              <w:r>
                <w:rPr>
                  <w:rFonts w:ascii="Times New Roman" w:cs="Times New Roman" w:eastAsia="Times New Roman" w:hAnsi="Times New Roman"/>
                  <w:sz w:val="12"/>
                  <w:szCs w:val="12"/>
                  <w:color w:val="0000EE"/>
                  <w:w w:val="99"/>
                </w:rPr>
                <w:t>(File No. 001-39852), filed with the SEC on November 17, 2022).</w:t>
              </w:r>
            </w:hyperlink>
          </w:p>
        </w:tc>
        <w:tc>
          <w:tcPr>
            <w:tcW w:w="3200" w:type="dxa"/>
            <w:vAlign w:val="bottom"/>
            <w:gridSpan w:val="21"/>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10.39</w:t>
            </w:r>
          </w:p>
        </w:tc>
        <w:tc>
          <w:tcPr>
            <w:tcW w:w="6300" w:type="dxa"/>
            <w:vAlign w:val="bottom"/>
            <w:tcBorders>
              <w:bottom w:val="single" w:sz="8" w:color="0000EE"/>
            </w:tcBorders>
            <w:gridSpan w:val="22"/>
          </w:tcPr>
          <w:p>
            <w:pPr>
              <w:spacing w:after="0"/>
              <w:rPr>
                <w:rFonts w:ascii="Times New Roman" w:cs="Times New Roman" w:eastAsia="Times New Roman" w:hAnsi="Times New Roman"/>
                <w:sz w:val="12"/>
                <w:szCs w:val="12"/>
                <w:color w:val="0000EE"/>
                <w:w w:val="99"/>
              </w:rPr>
            </w:pPr>
            <w:hyperlink r:id="rId468">
              <w:r>
                <w:rPr>
                  <w:rFonts w:ascii="Times New Roman" w:cs="Times New Roman" w:eastAsia="Times New Roman" w:hAnsi="Times New Roman"/>
                  <w:sz w:val="12"/>
                  <w:szCs w:val="12"/>
                  <w:color w:val="0000EE"/>
                  <w:w w:val="99"/>
                </w:rPr>
                <w:t>Registration Rights Agreement, dated September 21, 2023, by and between Scilex Holding Company and Oramed Pharmaceuticals</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68">
              <w:r>
                <w:rPr>
                  <w:rFonts w:ascii="Times New Roman" w:cs="Times New Roman" w:eastAsia="Times New Roman" w:hAnsi="Times New Roman"/>
                  <w:sz w:val="12"/>
                  <w:szCs w:val="12"/>
                  <w:color w:val="0000EE"/>
                </w:rPr>
                <w:t>Inc. (incorporated by reference to Exhibit 10.2 of our Current Report on Form 8-K (File No. 001-39852), filed with the SEC on</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00" w:type="dxa"/>
            <w:vAlign w:val="bottom"/>
            <w:tcBorders>
              <w:top w:val="single" w:sz="8" w:color="0000EE"/>
            </w:tcBorders>
            <w:gridSpan w:val="14"/>
          </w:tcPr>
          <w:p>
            <w:pPr>
              <w:spacing w:after="0" w:line="124" w:lineRule="exact"/>
              <w:rPr>
                <w:rFonts w:ascii="Times New Roman" w:cs="Times New Roman" w:eastAsia="Times New Roman" w:hAnsi="Times New Roman"/>
                <w:sz w:val="12"/>
                <w:szCs w:val="12"/>
                <w:color w:val="0000EE"/>
              </w:rPr>
            </w:pPr>
            <w:hyperlink r:id="rId468">
              <w:r>
                <w:rPr>
                  <w:rFonts w:ascii="Times New Roman" w:cs="Times New Roman" w:eastAsia="Times New Roman" w:hAnsi="Times New Roman"/>
                  <w:sz w:val="12"/>
                  <w:szCs w:val="12"/>
                  <w:color w:val="0000EE"/>
                </w:rPr>
                <w:t>September 26, 2023).</w:t>
              </w:r>
            </w:hyperlink>
          </w:p>
        </w:tc>
        <w:tc>
          <w:tcPr>
            <w:tcW w:w="28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10.40#</w:t>
            </w:r>
          </w:p>
        </w:tc>
        <w:tc>
          <w:tcPr>
            <w:tcW w:w="634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469">
              <w:r>
                <w:rPr>
                  <w:rFonts w:ascii="Times New Roman" w:cs="Times New Roman" w:eastAsia="Times New Roman" w:hAnsi="Times New Roman"/>
                  <w:sz w:val="12"/>
                  <w:szCs w:val="12"/>
                  <w:color w:val="0000EE"/>
                  <w:w w:val="99"/>
                </w:rPr>
                <w:t>Securities Purchase Agreement, dated September 21, 2023, by and between Scilex Holding Company, Oramed Pharmaceuticals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78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469">
              <w:r>
                <w:rPr>
                  <w:rFonts w:ascii="Times New Roman" w:cs="Times New Roman" w:eastAsia="Times New Roman" w:hAnsi="Times New Roman"/>
                  <w:sz w:val="12"/>
                  <w:szCs w:val="12"/>
                  <w:color w:val="0000EE"/>
                  <w:w w:val="99"/>
                </w:rPr>
                <w:t>and Acquiom Agency Services LLC (incorporated by reference to Exhibit 10.1 of our Current Report on Form 8-K (File</w:t>
              </w:r>
            </w:hyperlink>
          </w:p>
        </w:tc>
        <w:tc>
          <w:tcPr>
            <w:tcW w:w="60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69">
              <w:r>
                <w:rPr>
                  <w:rFonts w:ascii="Times New Roman" w:cs="Times New Roman" w:eastAsia="Times New Roman" w:hAnsi="Times New Roman"/>
                  <w:sz w:val="12"/>
                  <w:szCs w:val="12"/>
                  <w:color w:val="0000EE"/>
                </w:rPr>
                <w:t>No. 001-39852), filed with the SEC on September 26,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10.41#</w:t>
            </w:r>
          </w:p>
        </w:tc>
        <w:tc>
          <w:tcPr>
            <w:tcW w:w="6360" w:type="dxa"/>
            <w:vAlign w:val="bottom"/>
            <w:tcBorders>
              <w:bottom w:val="single" w:sz="8" w:color="0000EE"/>
            </w:tcBorders>
            <w:gridSpan w:val="25"/>
          </w:tcPr>
          <w:p>
            <w:pPr>
              <w:spacing w:after="0"/>
              <w:rPr>
                <w:rFonts w:ascii="Times New Roman" w:cs="Times New Roman" w:eastAsia="Times New Roman" w:hAnsi="Times New Roman"/>
                <w:sz w:val="12"/>
                <w:szCs w:val="12"/>
                <w:color w:val="0000EE"/>
                <w:w w:val="99"/>
              </w:rPr>
            </w:pPr>
            <w:hyperlink r:id="rId470">
              <w:r>
                <w:rPr>
                  <w:rFonts w:ascii="Times New Roman" w:cs="Times New Roman" w:eastAsia="Times New Roman" w:hAnsi="Times New Roman"/>
                  <w:sz w:val="12"/>
                  <w:szCs w:val="12"/>
                  <w:color w:val="0000EE"/>
                  <w:w w:val="99"/>
                </w:rPr>
                <w:t>Amendment No. 1 to Securities Purchase Agreement, dated October 8, 2024, by and between Scilex Holding Company and Oramed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4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470">
              <w:r>
                <w:rPr>
                  <w:rFonts w:ascii="Times New Roman" w:cs="Times New Roman" w:eastAsia="Times New Roman" w:hAnsi="Times New Roman"/>
                  <w:sz w:val="12"/>
                  <w:szCs w:val="12"/>
                  <w:color w:val="0000EE"/>
                  <w:w w:val="99"/>
                </w:rPr>
                <w:t>Pharmaceuticals, Inc. (incorporated by reference to Exhibit 10.2 of our Current Report on Form 8-K (File No. 001-39852), filed</w:t>
              </w:r>
            </w:hyperlink>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70">
              <w:r>
                <w:rPr>
                  <w:rFonts w:ascii="Times New Roman" w:cs="Times New Roman" w:eastAsia="Times New Roman" w:hAnsi="Times New Roman"/>
                  <w:sz w:val="12"/>
                  <w:szCs w:val="12"/>
                  <w:color w:val="0000EE"/>
                </w:rPr>
                <w:t>with the SEC on October 8,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10.42#</w:t>
            </w:r>
          </w:p>
        </w:tc>
        <w:tc>
          <w:tcPr>
            <w:tcW w:w="6380" w:type="dxa"/>
            <w:vAlign w:val="bottom"/>
            <w:gridSpan w:val="26"/>
          </w:tcPr>
          <w:p>
            <w:pPr>
              <w:spacing w:after="0"/>
              <w:rPr>
                <w:rFonts w:ascii="Times New Roman" w:cs="Times New Roman" w:eastAsia="Times New Roman" w:hAnsi="Times New Roman"/>
                <w:sz w:val="12"/>
                <w:szCs w:val="12"/>
                <w:color w:val="0000EE"/>
              </w:rPr>
            </w:pPr>
            <w:hyperlink r:id="rId471">
              <w:r>
                <w:rPr>
                  <w:rFonts w:ascii="Times New Roman" w:cs="Times New Roman" w:eastAsia="Times New Roman" w:hAnsi="Times New Roman"/>
                  <w:sz w:val="12"/>
                  <w:szCs w:val="12"/>
                  <w:color w:val="0000EE"/>
                </w:rPr>
                <w:t>Subsidiary Guarantee, dated September 21, 2023, made by certain of the Company’s subsidiaries in favor of the holders of that</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71">
              <w:r>
                <w:rPr>
                  <w:rFonts w:ascii="Times New Roman" w:cs="Times New Roman" w:eastAsia="Times New Roman" w:hAnsi="Times New Roman"/>
                  <w:sz w:val="12"/>
                  <w:szCs w:val="12"/>
                  <w:color w:val="0000EE"/>
                </w:rPr>
                <w:t>certain Senior Secured Promissory Note dated as of the date thereof due March 21, 2025 in the original aggregate principal amount</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540" w:type="dxa"/>
            <w:vAlign w:val="bottom"/>
            <w:gridSpan w:val="6"/>
            <w:shd w:val="clear" w:color="auto" w:fill="0000EE"/>
          </w:tcPr>
          <w:p>
            <w:pPr>
              <w:spacing w:after="0" w:line="20" w:lineRule="exact"/>
              <w:rPr>
                <w:sz w:val="1"/>
                <w:szCs w:val="1"/>
                <w:color w:val="auto"/>
              </w:rPr>
            </w:pPr>
          </w:p>
        </w:tc>
        <w:tc>
          <w:tcPr>
            <w:tcW w:w="1200" w:type="dxa"/>
            <w:vAlign w:val="bottom"/>
            <w:gridSpan w:val="8"/>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2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471">
              <w:r>
                <w:rPr>
                  <w:rFonts w:ascii="Times New Roman" w:cs="Times New Roman" w:eastAsia="Times New Roman" w:hAnsi="Times New Roman"/>
                  <w:sz w:val="12"/>
                  <w:szCs w:val="12"/>
                  <w:color w:val="0000EE"/>
                  <w:w w:val="99"/>
                </w:rPr>
                <w:t xml:space="preserve">of </w:t>
              </w:r>
              <w:r>
                <w:rPr>
                  <w:rFonts w:ascii="Times New Roman" w:cs="Times New Roman" w:eastAsia="Times New Roman" w:hAnsi="Times New Roman"/>
                  <w:sz w:val="12"/>
                  <w:szCs w:val="12"/>
                  <w:u w:val="single" w:color="auto"/>
                  <w:color w:val="0000EE"/>
                  <w:w w:val="99"/>
                </w:rPr>
                <w:t>$</w:t>
              </w:r>
              <w:r>
                <w:rPr>
                  <w:rFonts w:ascii="Times New Roman" w:cs="Times New Roman" w:eastAsia="Times New Roman" w:hAnsi="Times New Roman"/>
                  <w:sz w:val="12"/>
                  <w:szCs w:val="12"/>
                  <w:color w:val="0000EE"/>
                  <w:w w:val="99"/>
                </w:rPr>
                <w:t>101,875,000 (incorporated by reference to Exhibit 10.3 of our Current Report on Form 8-K (File No. 001-39852), filed with the</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71">
              <w:r>
                <w:rPr>
                  <w:rFonts w:ascii="Times New Roman" w:cs="Times New Roman" w:eastAsia="Times New Roman" w:hAnsi="Times New Roman"/>
                  <w:sz w:val="12"/>
                  <w:szCs w:val="12"/>
                  <w:color w:val="0000EE"/>
                </w:rPr>
                <w:t>SEC on September 26,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10.43</w:t>
            </w:r>
          </w:p>
        </w:tc>
        <w:tc>
          <w:tcPr>
            <w:tcW w:w="6320" w:type="dxa"/>
            <w:vAlign w:val="bottom"/>
            <w:tcBorders>
              <w:bottom w:val="single" w:sz="8" w:color="0000EE"/>
            </w:tcBorders>
            <w:gridSpan w:val="23"/>
          </w:tcPr>
          <w:p>
            <w:pPr>
              <w:spacing w:after="0"/>
              <w:rPr>
                <w:rFonts w:ascii="Times New Roman" w:cs="Times New Roman" w:eastAsia="Times New Roman" w:hAnsi="Times New Roman"/>
                <w:sz w:val="12"/>
                <w:szCs w:val="12"/>
                <w:color w:val="0000EE"/>
                <w:w w:val="99"/>
              </w:rPr>
            </w:pPr>
            <w:hyperlink r:id="rId472">
              <w:r>
                <w:rPr>
                  <w:rFonts w:ascii="Times New Roman" w:cs="Times New Roman" w:eastAsia="Times New Roman" w:hAnsi="Times New Roman"/>
                  <w:sz w:val="12"/>
                  <w:szCs w:val="12"/>
                  <w:color w:val="0000EE"/>
                  <w:w w:val="99"/>
                </w:rPr>
                <w:t>Subsidiary Guarantee Amendment, dated October 8, 2024, made by certain of the Company’s subsidiaries in favor of the holders of</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72">
              <w:r>
                <w:rPr>
                  <w:rFonts w:ascii="Times New Roman" w:cs="Times New Roman" w:eastAsia="Times New Roman" w:hAnsi="Times New Roman"/>
                  <w:sz w:val="12"/>
                  <w:szCs w:val="12"/>
                  <w:color w:val="0000EE"/>
                </w:rPr>
                <w:t>that certain Oramed Note (incorporated by reference to Exhibit 10.7 of our Current Report on Form 8-K (File No. 001-39852), filed</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20" w:type="dxa"/>
            <w:vAlign w:val="bottom"/>
            <w:tcBorders>
              <w:top w:val="single" w:sz="8" w:color="0000EE"/>
            </w:tcBorders>
            <w:gridSpan w:val="23"/>
          </w:tcPr>
          <w:p>
            <w:pPr>
              <w:spacing w:after="0" w:line="124" w:lineRule="exact"/>
              <w:rPr>
                <w:rFonts w:ascii="Times New Roman" w:cs="Times New Roman" w:eastAsia="Times New Roman" w:hAnsi="Times New Roman"/>
                <w:sz w:val="12"/>
                <w:szCs w:val="12"/>
                <w:color w:val="0000EE"/>
              </w:rPr>
            </w:pPr>
            <w:hyperlink r:id="rId472">
              <w:r>
                <w:rPr>
                  <w:rFonts w:ascii="Times New Roman" w:cs="Times New Roman" w:eastAsia="Times New Roman" w:hAnsi="Times New Roman"/>
                  <w:sz w:val="12"/>
                  <w:szCs w:val="12"/>
                  <w:color w:val="0000EE"/>
                </w:rPr>
                <w:t>with the SEC on October 8, 2024).</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10.44</w:t>
            </w:r>
          </w:p>
        </w:tc>
        <w:tc>
          <w:tcPr>
            <w:tcW w:w="634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w w:val="99"/>
              </w:rPr>
            </w:pPr>
            <w:hyperlink r:id="rId473">
              <w:r>
                <w:rPr>
                  <w:rFonts w:ascii="Times New Roman" w:cs="Times New Roman" w:eastAsia="Times New Roman" w:hAnsi="Times New Roman"/>
                  <w:sz w:val="12"/>
                  <w:szCs w:val="12"/>
                  <w:color w:val="0000EE"/>
                  <w:w w:val="99"/>
                </w:rPr>
                <w:t>Amended and Restated Security Agreement, dated October 8, 2024, by and among Scilex Holding Company, the Subsidiaries of the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6"/>
          </w:tcPr>
          <w:p>
            <w:pPr>
              <w:spacing w:after="0" w:line="124" w:lineRule="exact"/>
              <w:rPr>
                <w:rFonts w:ascii="Times New Roman" w:cs="Times New Roman" w:eastAsia="Times New Roman" w:hAnsi="Times New Roman"/>
                <w:sz w:val="12"/>
                <w:szCs w:val="12"/>
                <w:color w:val="0000EE"/>
              </w:rPr>
            </w:pPr>
            <w:hyperlink r:id="rId473">
              <w:r>
                <w:rPr>
                  <w:rFonts w:ascii="Times New Roman" w:cs="Times New Roman" w:eastAsia="Times New Roman" w:hAnsi="Times New Roman"/>
                  <w:sz w:val="12"/>
                  <w:szCs w:val="12"/>
                  <w:color w:val="0000EE"/>
                </w:rPr>
                <w:t>Company party thereto, Oramed Pharmaceuticals Inc. and Acquiom Agency Services LLC (incorporated by reference to Exhibit</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60" w:type="dxa"/>
            <w:vAlign w:val="bottom"/>
            <w:tcBorders>
              <w:top w:val="single" w:sz="8" w:color="0000EE"/>
            </w:tcBorders>
            <w:gridSpan w:val="16"/>
          </w:tcPr>
          <w:p>
            <w:pPr>
              <w:spacing w:after="0" w:line="124" w:lineRule="exact"/>
              <w:rPr>
                <w:rFonts w:ascii="Times New Roman" w:cs="Times New Roman" w:eastAsia="Times New Roman" w:hAnsi="Times New Roman"/>
                <w:sz w:val="12"/>
                <w:szCs w:val="12"/>
                <w:color w:val="0000EE"/>
              </w:rPr>
            </w:pPr>
            <w:hyperlink r:id="rId473">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8</w:t>
              </w:r>
              <w:r>
                <w:rPr>
                  <w:rFonts w:ascii="Times New Roman" w:cs="Times New Roman" w:eastAsia="Times New Roman" w:hAnsi="Times New Roman"/>
                  <w:sz w:val="12"/>
                  <w:szCs w:val="12"/>
                  <w:color w:val="0000EE"/>
                </w:rPr>
                <w:t xml:space="preserve"> of our Current Report on Form 8-K (File No. 001-39852), filed with the SEC on October 8, 2024).</w:t>
              </w:r>
            </w:hyperlink>
          </w:p>
        </w:tc>
        <w:tc>
          <w:tcPr>
            <w:tcW w:w="2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II-9</w:t>
      </w:r>
    </w:p>
    <w:p>
      <w:pPr>
        <w:sectPr>
          <w:pgSz w:w="11900" w:h="16838" w:orient="portrait"/>
          <w:cols w:equalWidth="0" w:num="1">
            <w:col w:w="10159"/>
          </w:cols>
          <w:pgMar w:left="300" w:top="368" w:right="1440"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4">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20" w:type="dxa"/>
            <w:vAlign w:val="bottom"/>
            <w:gridSpan w:val="20"/>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10.45#</w:t>
            </w:r>
          </w:p>
        </w:tc>
        <w:tc>
          <w:tcPr>
            <w:tcW w:w="6220" w:type="dxa"/>
            <w:vAlign w:val="bottom"/>
            <w:tcBorders>
              <w:bottom w:val="single" w:sz="8" w:color="0000EE"/>
            </w:tcBorders>
            <w:gridSpan w:val="23"/>
          </w:tcPr>
          <w:p>
            <w:pPr>
              <w:spacing w:after="0"/>
              <w:rPr>
                <w:rFonts w:ascii="Times New Roman" w:cs="Times New Roman" w:eastAsia="Times New Roman" w:hAnsi="Times New Roman"/>
                <w:sz w:val="12"/>
                <w:szCs w:val="12"/>
                <w:color w:val="0000EE"/>
                <w:w w:val="99"/>
              </w:rPr>
            </w:pPr>
            <w:hyperlink r:id="rId475">
              <w:r>
                <w:rPr>
                  <w:rFonts w:ascii="Times New Roman" w:cs="Times New Roman" w:eastAsia="Times New Roman" w:hAnsi="Times New Roman"/>
                  <w:sz w:val="12"/>
                  <w:szCs w:val="12"/>
                  <w:color w:val="0000EE"/>
                  <w:w w:val="99"/>
                </w:rPr>
                <w:t>Stock Purchase Agreement, dated September 21, 2023, by and between Scilex Holding Company and Sorrento Therapeutics, Inc.</w:t>
              </w:r>
            </w:hyperlink>
          </w:p>
        </w:tc>
        <w:tc>
          <w:tcPr>
            <w:tcW w:w="1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2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475">
              <w:r>
                <w:rPr>
                  <w:rFonts w:ascii="Times New Roman" w:cs="Times New Roman" w:eastAsia="Times New Roman" w:hAnsi="Times New Roman"/>
                  <w:sz w:val="12"/>
                  <w:szCs w:val="12"/>
                  <w:color w:val="0000EE"/>
                  <w:w w:val="99"/>
                </w:rPr>
                <w:t>(incorporated by reference to Exhibit 10.6 of our Current Report on Form 8-K (File No. 001-39852), filed with the SEC on</w:t>
              </w:r>
            </w:hyperlink>
          </w:p>
        </w:tc>
        <w:tc>
          <w:tcPr>
            <w:tcW w:w="4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75">
              <w:r>
                <w:rPr>
                  <w:rFonts w:ascii="Times New Roman" w:cs="Times New Roman" w:eastAsia="Times New Roman" w:hAnsi="Times New Roman"/>
                  <w:sz w:val="12"/>
                  <w:szCs w:val="12"/>
                  <w:color w:val="0000EE"/>
                </w:rPr>
                <w:t>September 26,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10.46</w:t>
            </w:r>
          </w:p>
        </w:tc>
        <w:tc>
          <w:tcPr>
            <w:tcW w:w="612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476">
              <w:r>
                <w:rPr>
                  <w:rFonts w:ascii="Times New Roman" w:cs="Times New Roman" w:eastAsia="Times New Roman" w:hAnsi="Times New Roman"/>
                  <w:sz w:val="12"/>
                  <w:szCs w:val="12"/>
                  <w:color w:val="0000EE"/>
                  <w:w w:val="99"/>
                </w:rPr>
                <w:t>Assignment, Assumption and Release Agreement, dated September 21, 2023, by and among Scilex Holding Company, Oramed</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40" w:type="dxa"/>
            <w:vAlign w:val="bottom"/>
            <w:tcBorders>
              <w:bottom w:val="single" w:sz="8" w:color="0000EE"/>
            </w:tcBorders>
            <w:gridSpan w:val="24"/>
          </w:tcPr>
          <w:p>
            <w:pPr>
              <w:spacing w:after="0" w:line="124" w:lineRule="exact"/>
              <w:rPr>
                <w:rFonts w:ascii="Times New Roman" w:cs="Times New Roman" w:eastAsia="Times New Roman" w:hAnsi="Times New Roman"/>
                <w:sz w:val="12"/>
                <w:szCs w:val="12"/>
                <w:color w:val="0000EE"/>
                <w:w w:val="99"/>
              </w:rPr>
            </w:pPr>
            <w:hyperlink r:id="rId476">
              <w:r>
                <w:rPr>
                  <w:rFonts w:ascii="Times New Roman" w:cs="Times New Roman" w:eastAsia="Times New Roman" w:hAnsi="Times New Roman"/>
                  <w:sz w:val="12"/>
                  <w:szCs w:val="12"/>
                  <w:color w:val="0000EE"/>
                  <w:w w:val="99"/>
                </w:rPr>
                <w:t>Pharmaceuticals Inc., Sorrento Therapeutics, Inc. and Scintilla Pharmaceuticals, Inc. (incorporated by reference to Exhibit 10.7 of</w:t>
              </w:r>
            </w:hyperlink>
          </w:p>
        </w:tc>
        <w:tc>
          <w:tcPr>
            <w:tcW w:w="1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780" w:type="dxa"/>
            <w:vAlign w:val="bottom"/>
            <w:tcBorders>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476">
              <w:r>
                <w:rPr>
                  <w:rFonts w:ascii="Times New Roman" w:cs="Times New Roman" w:eastAsia="Times New Roman" w:hAnsi="Times New Roman"/>
                  <w:sz w:val="12"/>
                  <w:szCs w:val="12"/>
                  <w:color w:val="0000EE"/>
                  <w:w w:val="99"/>
                </w:rPr>
                <w:t>our Current Report on Form 8-K (File No. 001-39852), filed with the SEC on September 26, 2023).</w:t>
              </w:r>
            </w:hyperlink>
          </w:p>
        </w:tc>
        <w:tc>
          <w:tcPr>
            <w:tcW w:w="1600" w:type="dxa"/>
            <w:vAlign w:val="bottom"/>
            <w:gridSpan w:val="19"/>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10.47#</w:t>
            </w:r>
          </w:p>
        </w:tc>
        <w:tc>
          <w:tcPr>
            <w:tcW w:w="6160" w:type="dxa"/>
            <w:vAlign w:val="bottom"/>
            <w:tcBorders>
              <w:bottom w:val="single" w:sz="8" w:color="0000EE"/>
            </w:tcBorders>
            <w:gridSpan w:val="20"/>
          </w:tcPr>
          <w:p>
            <w:pPr>
              <w:spacing w:after="0"/>
              <w:rPr>
                <w:rFonts w:ascii="Times New Roman" w:cs="Times New Roman" w:eastAsia="Times New Roman" w:hAnsi="Times New Roman"/>
                <w:sz w:val="12"/>
                <w:szCs w:val="12"/>
                <w:color w:val="0000EE"/>
                <w:w w:val="99"/>
              </w:rPr>
            </w:pPr>
            <w:hyperlink r:id="rId477">
              <w:r>
                <w:rPr>
                  <w:rFonts w:ascii="Times New Roman" w:cs="Times New Roman" w:eastAsia="Times New Roman" w:hAnsi="Times New Roman"/>
                  <w:sz w:val="12"/>
                  <w:szCs w:val="12"/>
                  <w:color w:val="0000EE"/>
                  <w:w w:val="99"/>
                </w:rPr>
                <w:t>Letter Agreement, dated September 21, 2023, by and among Scilex Holding Company, Sorrento Therapeutics, Inc. and Scintilla</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4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477">
              <w:r>
                <w:rPr>
                  <w:rFonts w:ascii="Times New Roman" w:cs="Times New Roman" w:eastAsia="Times New Roman" w:hAnsi="Times New Roman"/>
                  <w:sz w:val="12"/>
                  <w:szCs w:val="12"/>
                  <w:color w:val="0000EE"/>
                  <w:w w:val="99"/>
                </w:rPr>
                <w:t>Pharmaceuticals, Inc. (incorporated by reference to Exhibit 10.8 of our Current Report on Form 8-K (File No. 001-39852), filed</w:t>
              </w:r>
            </w:hyperlink>
          </w:p>
        </w:tc>
        <w:tc>
          <w:tcPr>
            <w:tcW w:w="24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77">
              <w:r>
                <w:rPr>
                  <w:rFonts w:ascii="Times New Roman" w:cs="Times New Roman" w:eastAsia="Times New Roman" w:hAnsi="Times New Roman"/>
                  <w:sz w:val="12"/>
                  <w:szCs w:val="12"/>
                  <w:color w:val="0000EE"/>
                </w:rPr>
                <w:t>with the SEC on September 26,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10.48#</w:t>
            </w:r>
          </w:p>
        </w:tc>
        <w:tc>
          <w:tcPr>
            <w:tcW w:w="5760" w:type="dxa"/>
            <w:vAlign w:val="bottom"/>
            <w:tcBorders>
              <w:bottom w:val="single" w:sz="8" w:color="0000EE"/>
            </w:tcBorders>
            <w:gridSpan w:val="10"/>
          </w:tcPr>
          <w:p>
            <w:pPr>
              <w:spacing w:after="0"/>
              <w:rPr>
                <w:rFonts w:ascii="Times New Roman" w:cs="Times New Roman" w:eastAsia="Times New Roman" w:hAnsi="Times New Roman"/>
                <w:sz w:val="12"/>
                <w:szCs w:val="12"/>
                <w:color w:val="0000EE"/>
                <w:w w:val="99"/>
              </w:rPr>
            </w:pPr>
            <w:hyperlink r:id="rId478">
              <w:r>
                <w:rPr>
                  <w:rFonts w:ascii="Times New Roman" w:cs="Times New Roman" w:eastAsia="Times New Roman" w:hAnsi="Times New Roman"/>
                  <w:sz w:val="12"/>
                  <w:szCs w:val="12"/>
                  <w:color w:val="0000EE"/>
                  <w:w w:val="99"/>
                </w:rPr>
                <w:t>Letter Agreement, dated September 21, 2023, by and between Scilex Holding Company and Sorrento Therapeutics, Inc.</w:t>
              </w:r>
            </w:hyperlink>
          </w:p>
        </w:tc>
        <w:tc>
          <w:tcPr>
            <w:tcW w:w="6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2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478">
              <w:r>
                <w:rPr>
                  <w:rFonts w:ascii="Times New Roman" w:cs="Times New Roman" w:eastAsia="Times New Roman" w:hAnsi="Times New Roman"/>
                  <w:sz w:val="12"/>
                  <w:szCs w:val="12"/>
                  <w:color w:val="0000EE"/>
                  <w:w w:val="99"/>
                </w:rPr>
                <w:t>(incorporated by reference to Exhibit 10.9 of our Current Report on Form 8-K (File No. 001-39852), filed with the SEC on</w:t>
              </w:r>
            </w:hyperlink>
          </w:p>
        </w:tc>
        <w:tc>
          <w:tcPr>
            <w:tcW w:w="4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78">
              <w:r>
                <w:rPr>
                  <w:rFonts w:ascii="Times New Roman" w:cs="Times New Roman" w:eastAsia="Times New Roman" w:hAnsi="Times New Roman"/>
                  <w:sz w:val="12"/>
                  <w:szCs w:val="12"/>
                  <w:color w:val="0000EE"/>
                </w:rPr>
                <w:t>September 26, 2023).</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10.49#</w:t>
            </w:r>
          </w:p>
        </w:tc>
        <w:tc>
          <w:tcPr>
            <w:tcW w:w="6180" w:type="dxa"/>
            <w:vAlign w:val="bottom"/>
            <w:tcBorders>
              <w:bottom w:val="single" w:sz="8" w:color="0000EE"/>
            </w:tcBorders>
            <w:gridSpan w:val="21"/>
          </w:tcPr>
          <w:p>
            <w:pPr>
              <w:spacing w:after="0"/>
              <w:rPr>
                <w:rFonts w:ascii="Times New Roman" w:cs="Times New Roman" w:eastAsia="Times New Roman" w:hAnsi="Times New Roman"/>
                <w:sz w:val="12"/>
                <w:szCs w:val="12"/>
                <w:color w:val="0000EE"/>
                <w:w w:val="99"/>
              </w:rPr>
            </w:pPr>
            <w:hyperlink r:id="rId479">
              <w:r>
                <w:rPr>
                  <w:rFonts w:ascii="Times New Roman" w:cs="Times New Roman" w:eastAsia="Times New Roman" w:hAnsi="Times New Roman"/>
                  <w:sz w:val="12"/>
                  <w:szCs w:val="12"/>
                  <w:color w:val="0000EE"/>
                  <w:w w:val="99"/>
                </w:rPr>
                <w:t>Underwriting Agreement, dated February 29, 2024, among Scilex Holding Company, Rodman &amp; Renshaw LLC and StockBlock</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79">
              <w:r>
                <w:rPr>
                  <w:rFonts w:ascii="Times New Roman" w:cs="Times New Roman" w:eastAsia="Times New Roman" w:hAnsi="Times New Roman"/>
                  <w:sz w:val="12"/>
                  <w:szCs w:val="12"/>
                  <w:color w:val="0000EE"/>
                </w:rPr>
                <w:t>Securities LLC. (incorporated by reference to Exhibit 1.1 of our Current Report on Form 8-K (File No. 001-39852), filed with the</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20" w:type="dxa"/>
            <w:vAlign w:val="bottom"/>
            <w:tcBorders>
              <w:top w:val="single" w:sz="8" w:color="0000EE"/>
            </w:tcBorders>
            <w:gridSpan w:val="23"/>
          </w:tcPr>
          <w:p>
            <w:pPr>
              <w:spacing w:after="0" w:line="124" w:lineRule="exact"/>
              <w:rPr>
                <w:rFonts w:ascii="Times New Roman" w:cs="Times New Roman" w:eastAsia="Times New Roman" w:hAnsi="Times New Roman"/>
                <w:sz w:val="12"/>
                <w:szCs w:val="12"/>
                <w:color w:val="0000EE"/>
              </w:rPr>
            </w:pPr>
            <w:hyperlink r:id="rId479">
              <w:r>
                <w:rPr>
                  <w:rFonts w:ascii="Times New Roman" w:cs="Times New Roman" w:eastAsia="Times New Roman" w:hAnsi="Times New Roman"/>
                  <w:sz w:val="12"/>
                  <w:szCs w:val="12"/>
                  <w:color w:val="0000EE"/>
                </w:rPr>
                <w:t>SEC on March 5, 2024).</w:t>
              </w:r>
            </w:hyperlink>
          </w:p>
        </w:tc>
        <w:tc>
          <w:tcPr>
            <w:tcW w:w="1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10.50*</w:t>
            </w:r>
          </w:p>
        </w:tc>
        <w:tc>
          <w:tcPr>
            <w:tcW w:w="6080" w:type="dxa"/>
            <w:vAlign w:val="bottom"/>
            <w:tcBorders>
              <w:bottom w:val="single" w:sz="8" w:color="0000EE"/>
            </w:tcBorders>
            <w:gridSpan w:val="17"/>
          </w:tcPr>
          <w:p>
            <w:pPr>
              <w:spacing w:after="0"/>
              <w:rPr>
                <w:rFonts w:ascii="Times New Roman" w:cs="Times New Roman" w:eastAsia="Times New Roman" w:hAnsi="Times New Roman"/>
                <w:sz w:val="12"/>
                <w:szCs w:val="12"/>
                <w:color w:val="0000EE"/>
                <w:w w:val="99"/>
              </w:rPr>
            </w:pPr>
            <w:hyperlink r:id="rId480">
              <w:r>
                <w:rPr>
                  <w:rFonts w:ascii="Times New Roman" w:cs="Times New Roman" w:eastAsia="Times New Roman" w:hAnsi="Times New Roman"/>
                  <w:sz w:val="12"/>
                  <w:szCs w:val="12"/>
                  <w:color w:val="0000EE"/>
                  <w:w w:val="99"/>
                </w:rPr>
                <w:t>Severance and Change of Control Agreement, dated as of November 8, 2023, by and between Jaisim Shah and Scilex Holding</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80">
              <w:r>
                <w:rPr>
                  <w:rFonts w:ascii="Times New Roman" w:cs="Times New Roman" w:eastAsia="Times New Roman" w:hAnsi="Times New Roman"/>
                  <w:sz w:val="12"/>
                  <w:szCs w:val="12"/>
                  <w:color w:val="0000EE"/>
                </w:rPr>
                <w:t>Company (incorporated by reference to Exhibit 10.12 of our Quarterly Report on Form 10-Q (File No. 001-39852), filed with the</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480">
              <w:r>
                <w:rPr>
                  <w:rFonts w:ascii="Times New Roman" w:cs="Times New Roman" w:eastAsia="Times New Roman" w:hAnsi="Times New Roman"/>
                  <w:sz w:val="12"/>
                  <w:szCs w:val="12"/>
                  <w:color w:val="0000EE"/>
                </w:rPr>
                <w:t>SEC on November 14, 2023).</w:t>
              </w:r>
            </w:hyperlink>
          </w:p>
        </w:tc>
        <w:tc>
          <w:tcPr>
            <w:tcW w:w="1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10.51*</w:t>
            </w:r>
          </w:p>
        </w:tc>
        <w:tc>
          <w:tcPr>
            <w:tcW w:w="590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r:id="rId481">
              <w:r>
                <w:rPr>
                  <w:rFonts w:ascii="Times New Roman" w:cs="Times New Roman" w:eastAsia="Times New Roman" w:hAnsi="Times New Roman"/>
                  <w:sz w:val="12"/>
                  <w:szCs w:val="12"/>
                  <w:color w:val="0000EE"/>
                  <w:w w:val="99"/>
                </w:rPr>
                <w:t>Severance and Change of Control Agreement, dated as of November 9, 2023, by and between Henry Ji and Scilex Holding</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81">
              <w:r>
                <w:rPr>
                  <w:rFonts w:ascii="Times New Roman" w:cs="Times New Roman" w:eastAsia="Times New Roman" w:hAnsi="Times New Roman"/>
                  <w:sz w:val="12"/>
                  <w:szCs w:val="12"/>
                  <w:color w:val="0000EE"/>
                </w:rPr>
                <w:t>Company (incorporated by reference to Exhibit 10.13 of our Quarterly Report on Form 10-Q (File No. 001-39852), filed with the</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481">
              <w:r>
                <w:rPr>
                  <w:rFonts w:ascii="Times New Roman" w:cs="Times New Roman" w:eastAsia="Times New Roman" w:hAnsi="Times New Roman"/>
                  <w:sz w:val="12"/>
                  <w:szCs w:val="12"/>
                  <w:color w:val="0000EE"/>
                </w:rPr>
                <w:t>SEC on November 14, 2023).</w:t>
              </w:r>
            </w:hyperlink>
          </w:p>
        </w:tc>
        <w:tc>
          <w:tcPr>
            <w:tcW w:w="1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10.52*</w:t>
            </w:r>
          </w:p>
        </w:tc>
        <w:tc>
          <w:tcPr>
            <w:tcW w:w="606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482">
              <w:r>
                <w:rPr>
                  <w:rFonts w:ascii="Times New Roman" w:cs="Times New Roman" w:eastAsia="Times New Roman" w:hAnsi="Times New Roman"/>
                  <w:sz w:val="12"/>
                  <w:szCs w:val="12"/>
                  <w:color w:val="0000EE"/>
                  <w:w w:val="99"/>
                </w:rPr>
                <w:t>Severance and Change of Control Agreement, dated as of November 8, 2023, by and between Stephen Ma and Scilex Holding</w:t>
              </w:r>
            </w:hyperlink>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82">
              <w:r>
                <w:rPr>
                  <w:rFonts w:ascii="Times New Roman" w:cs="Times New Roman" w:eastAsia="Times New Roman" w:hAnsi="Times New Roman"/>
                  <w:sz w:val="12"/>
                  <w:szCs w:val="12"/>
                  <w:color w:val="0000EE"/>
                </w:rPr>
                <w:t>Company (incorporated by reference to Exhibit 10.14 of our Quarterly Report on Form 10-Q (File No. 001-39852), filed with the</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482">
              <w:r>
                <w:rPr>
                  <w:rFonts w:ascii="Times New Roman" w:cs="Times New Roman" w:eastAsia="Times New Roman" w:hAnsi="Times New Roman"/>
                  <w:sz w:val="12"/>
                  <w:szCs w:val="12"/>
                  <w:color w:val="0000EE"/>
                </w:rPr>
                <w:t>SEC on November 14, 2023).</w:t>
              </w:r>
            </w:hyperlink>
          </w:p>
        </w:tc>
        <w:tc>
          <w:tcPr>
            <w:tcW w:w="1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10.53</w:t>
            </w:r>
          </w:p>
        </w:tc>
        <w:tc>
          <w:tcPr>
            <w:tcW w:w="6380" w:type="dxa"/>
            <w:vAlign w:val="bottom"/>
            <w:gridSpan w:val="27"/>
          </w:tcPr>
          <w:p>
            <w:pPr>
              <w:spacing w:after="0"/>
              <w:rPr>
                <w:rFonts w:ascii="Times New Roman" w:cs="Times New Roman" w:eastAsia="Times New Roman" w:hAnsi="Times New Roman"/>
                <w:sz w:val="12"/>
                <w:szCs w:val="12"/>
                <w:color w:val="0000EE"/>
              </w:rPr>
            </w:pPr>
            <w:hyperlink r:id="rId483">
              <w:r>
                <w:rPr>
                  <w:rFonts w:ascii="Times New Roman" w:cs="Times New Roman" w:eastAsia="Times New Roman" w:hAnsi="Times New Roman"/>
                  <w:sz w:val="12"/>
                  <w:szCs w:val="12"/>
                  <w:color w:val="0000EE"/>
                </w:rPr>
                <w:t>Settlement Agreement, dated February 29, 2024, by and between Scilex Pharmaceuticals Inc., Sorrento Therapeutics, Inc. and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40" w:type="dxa"/>
            <w:vAlign w:val="bottom"/>
            <w:tcBorders>
              <w:top w:val="single" w:sz="8" w:color="0000EE"/>
            </w:tcBorders>
            <w:gridSpan w:val="15"/>
          </w:tcPr>
          <w:p>
            <w:pPr>
              <w:spacing w:after="0" w:line="124" w:lineRule="exact"/>
              <w:rPr>
                <w:rFonts w:ascii="Times New Roman" w:cs="Times New Roman" w:eastAsia="Times New Roman" w:hAnsi="Times New Roman"/>
                <w:sz w:val="12"/>
                <w:szCs w:val="12"/>
                <w:color w:val="0000EE"/>
              </w:rPr>
            </w:pPr>
            <w:hyperlink r:id="rId483">
              <w:r>
                <w:rPr>
                  <w:rFonts w:ascii="Times New Roman" w:cs="Times New Roman" w:eastAsia="Times New Roman" w:hAnsi="Times New Roman"/>
                  <w:sz w:val="12"/>
                  <w:szCs w:val="12"/>
                  <w:color w:val="0000EE"/>
                </w:rPr>
                <w:t>Virpax Pharmaceuticals, Inc. (incorporated by reference to Exhibit 10.2 of our Quarterly Report on Form 10-Q (File</w:t>
              </w:r>
            </w:hyperlink>
          </w:p>
        </w:tc>
        <w:tc>
          <w:tcPr>
            <w:tcW w:w="34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40" w:type="dxa"/>
            <w:vAlign w:val="bottom"/>
            <w:tcBorders>
              <w:top w:val="single" w:sz="8" w:color="0000EE"/>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83">
              <w:r>
                <w:rPr>
                  <w:rFonts w:ascii="Times New Roman" w:cs="Times New Roman" w:eastAsia="Times New Roman" w:hAnsi="Times New Roman"/>
                  <w:sz w:val="12"/>
                  <w:szCs w:val="12"/>
                  <w:color w:val="0000EE"/>
                  <w:w w:val="99"/>
                </w:rPr>
                <w:t>No. 001-39852), filed with the SEC on May 13, 2024).</w:t>
              </w:r>
            </w:hyperlink>
          </w:p>
        </w:tc>
        <w:tc>
          <w:tcPr>
            <w:tcW w:w="2920" w:type="dxa"/>
            <w:vAlign w:val="bottom"/>
            <w:tcBorders>
              <w:top w:val="single" w:sz="8" w:color="0000EE"/>
            </w:tcBorders>
            <w:gridSpan w:val="3"/>
          </w:tcPr>
          <w:p>
            <w:pPr>
              <w:spacing w:after="0"/>
              <w:rPr>
                <w:sz w:val="10"/>
                <w:szCs w:val="10"/>
                <w:color w:val="auto"/>
              </w:rPr>
            </w:pPr>
          </w:p>
        </w:tc>
        <w:tc>
          <w:tcPr>
            <w:tcW w:w="820" w:type="dxa"/>
            <w:vAlign w:val="bottom"/>
            <w:gridSpan w:val="18"/>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10.54</w:t>
            </w:r>
          </w:p>
        </w:tc>
        <w:tc>
          <w:tcPr>
            <w:tcW w:w="6380" w:type="dxa"/>
            <w:vAlign w:val="bottom"/>
            <w:gridSpan w:val="27"/>
          </w:tcPr>
          <w:p>
            <w:pPr>
              <w:spacing w:after="0"/>
              <w:rPr>
                <w:rFonts w:ascii="Times New Roman" w:cs="Times New Roman" w:eastAsia="Times New Roman" w:hAnsi="Times New Roman"/>
                <w:sz w:val="12"/>
                <w:szCs w:val="12"/>
                <w:color w:val="0000EE"/>
              </w:rPr>
            </w:pPr>
            <w:hyperlink r:id="rId484">
              <w:r>
                <w:rPr>
                  <w:rFonts w:ascii="Times New Roman" w:cs="Times New Roman" w:eastAsia="Times New Roman" w:hAnsi="Times New Roman"/>
                  <w:sz w:val="12"/>
                  <w:szCs w:val="12"/>
                  <w:color w:val="0000EE"/>
                </w:rPr>
                <w:t>Form of Securities Purchase Agreement, dated April 23, 2024, by and between Scilex Holding Company and the purchaser party</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00" w:type="dxa"/>
            <w:vAlign w:val="bottom"/>
            <w:gridSpan w:val="6"/>
            <w:shd w:val="clear" w:color="auto" w:fill="0000EE"/>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0" w:type="dxa"/>
            <w:vAlign w:val="bottom"/>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0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w w:val="99"/>
              </w:rPr>
            </w:pPr>
            <w:hyperlink r:id="rId484">
              <w:r>
                <w:rPr>
                  <w:rFonts w:ascii="Times New Roman" w:cs="Times New Roman" w:eastAsia="Times New Roman" w:hAnsi="Times New Roman"/>
                  <w:sz w:val="12"/>
                  <w:szCs w:val="12"/>
                  <w:color w:val="0000EE"/>
                  <w:w w:val="99"/>
                </w:rPr>
                <w:t>thereto. (incorporated by reference to Exhibit 10.1 of our Current Report on Form 8-K (File No. 001-39852), filed with the SEC on</w:t>
              </w:r>
            </w:hyperlink>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84">
              <w:r>
                <w:rPr>
                  <w:rFonts w:ascii="Times New Roman" w:cs="Times New Roman" w:eastAsia="Times New Roman" w:hAnsi="Times New Roman"/>
                  <w:sz w:val="12"/>
                  <w:szCs w:val="12"/>
                  <w:color w:val="0000EE"/>
                </w:rPr>
                <w:t>April 25,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10.55</w:t>
            </w:r>
          </w:p>
        </w:tc>
        <w:tc>
          <w:tcPr>
            <w:tcW w:w="6140" w:type="dxa"/>
            <w:vAlign w:val="bottom"/>
            <w:tcBorders>
              <w:bottom w:val="single" w:sz="8" w:color="0000EE"/>
            </w:tcBorders>
            <w:gridSpan w:val="19"/>
          </w:tcPr>
          <w:p>
            <w:pPr>
              <w:spacing w:after="0"/>
              <w:rPr>
                <w:rFonts w:ascii="Times New Roman" w:cs="Times New Roman" w:eastAsia="Times New Roman" w:hAnsi="Times New Roman"/>
                <w:sz w:val="12"/>
                <w:szCs w:val="12"/>
                <w:color w:val="0000EE"/>
                <w:w w:val="99"/>
              </w:rPr>
            </w:pPr>
            <w:hyperlink r:id="rId485">
              <w:r>
                <w:rPr>
                  <w:rFonts w:ascii="Times New Roman" w:cs="Times New Roman" w:eastAsia="Times New Roman" w:hAnsi="Times New Roman"/>
                  <w:sz w:val="12"/>
                  <w:szCs w:val="12"/>
                  <w:color w:val="0000EE"/>
                  <w:w w:val="99"/>
                </w:rPr>
                <w:t>Commitment Side Letter, dated June 11, 2024, by and between Scilex Holding Company and FSF 33433 LLC. (incorporated by</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4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485">
              <w:r>
                <w:rPr>
                  <w:rFonts w:ascii="Times New Roman" w:cs="Times New Roman" w:eastAsia="Times New Roman" w:hAnsi="Times New Roman"/>
                  <w:sz w:val="12"/>
                  <w:szCs w:val="12"/>
                  <w:color w:val="0000EE"/>
                  <w:w w:val="99"/>
                </w:rPr>
                <w:t>reference to Exhibit 10.1 of our Current Report on Form 8-K (File No. 001-39852), filed with the SEC on June 12, 2024).</w:t>
              </w:r>
            </w:hyperlink>
          </w:p>
        </w:tc>
        <w:tc>
          <w:tcPr>
            <w:tcW w:w="54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10.56^</w:t>
            </w:r>
          </w:p>
        </w:tc>
        <w:tc>
          <w:tcPr>
            <w:tcW w:w="6380" w:type="dxa"/>
            <w:vAlign w:val="bottom"/>
            <w:gridSpan w:val="27"/>
          </w:tcPr>
          <w:p>
            <w:pPr>
              <w:spacing w:after="0"/>
              <w:rPr>
                <w:rFonts w:ascii="Times New Roman" w:cs="Times New Roman" w:eastAsia="Times New Roman" w:hAnsi="Times New Roman"/>
                <w:sz w:val="12"/>
                <w:szCs w:val="12"/>
                <w:color w:val="0000EE"/>
              </w:rPr>
            </w:pPr>
            <w:hyperlink r:id="rId486">
              <w:r>
                <w:rPr>
                  <w:rFonts w:ascii="Times New Roman" w:cs="Times New Roman" w:eastAsia="Times New Roman" w:hAnsi="Times New Roman"/>
                  <w:sz w:val="12"/>
                  <w:szCs w:val="12"/>
                  <w:color w:val="0000EE"/>
                </w:rPr>
                <w:t>Sponsor Support Agreement, dated as of August 30, 2024, by and among Denali Capital Acquisition Corp. and each of the Persons</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4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486">
              <w:r>
                <w:rPr>
                  <w:rFonts w:ascii="Times New Roman" w:cs="Times New Roman" w:eastAsia="Times New Roman" w:hAnsi="Times New Roman"/>
                  <w:sz w:val="12"/>
                  <w:szCs w:val="12"/>
                  <w:color w:val="0000EE"/>
                  <w:w w:val="99"/>
                </w:rPr>
                <w:t>set forth on Schedule I attached thereto. (incorporated by reference to Exhibit 10.1 of our Current Report on Form 8-K (File</w:t>
              </w:r>
            </w:hyperlink>
          </w:p>
        </w:tc>
        <w:tc>
          <w:tcPr>
            <w:tcW w:w="340" w:type="dxa"/>
            <w:vAlign w:val="bottom"/>
            <w:tcBorders>
              <w:top w:val="single" w:sz="8" w:color="0000EE"/>
            </w:tcBorders>
            <w:gridSpan w:val="11"/>
          </w:tcPr>
          <w:p>
            <w:pPr>
              <w:spacing w:after="0"/>
              <w:rPr>
                <w:sz w:val="10"/>
                <w:szCs w:val="10"/>
                <w:color w:val="auto"/>
              </w:rPr>
            </w:pP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7"/>
          </w:tcPr>
          <w:p>
            <w:pPr>
              <w:spacing w:after="0" w:line="124" w:lineRule="exact"/>
              <w:rPr>
                <w:rFonts w:ascii="Times New Roman" w:cs="Times New Roman" w:eastAsia="Times New Roman" w:hAnsi="Times New Roman"/>
                <w:sz w:val="12"/>
                <w:szCs w:val="12"/>
                <w:color w:val="0000EE"/>
              </w:rPr>
            </w:pPr>
            <w:hyperlink r:id="rId486">
              <w:r>
                <w:rPr>
                  <w:rFonts w:ascii="Times New Roman" w:cs="Times New Roman" w:eastAsia="Times New Roman" w:hAnsi="Times New Roman"/>
                  <w:sz w:val="12"/>
                  <w:szCs w:val="12"/>
                  <w:color w:val="0000EE"/>
                </w:rPr>
                <w:t>No. 001-39852), filed with the SEC on September 3, 2024).</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1020" w:type="dxa"/>
            <w:vAlign w:val="bottom"/>
            <w:tcBorders>
              <w:top w:val="single" w:sz="8" w:color="0000EE"/>
            </w:tcBorders>
            <w:gridSpan w:val="2"/>
          </w:tcPr>
          <w:p>
            <w:pPr>
              <w:ind w:left="740"/>
              <w:spacing w:after="0"/>
              <w:rPr>
                <w:sz w:val="20"/>
                <w:szCs w:val="20"/>
                <w:color w:val="auto"/>
              </w:rPr>
            </w:pPr>
            <w:r>
              <w:rPr>
                <w:rFonts w:ascii="Times New Roman" w:cs="Times New Roman" w:eastAsia="Times New Roman" w:hAnsi="Times New Roman"/>
                <w:sz w:val="12"/>
                <w:szCs w:val="12"/>
                <w:color w:val="auto"/>
              </w:rPr>
              <w:t>II-10</w:t>
            </w:r>
          </w:p>
        </w:tc>
        <w:tc>
          <w:tcPr>
            <w:tcW w:w="352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520" w:type="dxa"/>
            <w:vAlign w:val="bottom"/>
            <w:gridSpan w:val="16"/>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44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gridSpan w:val="1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10.57#</w:t>
            </w:r>
          </w:p>
        </w:tc>
        <w:tc>
          <w:tcPr>
            <w:tcW w:w="6380" w:type="dxa"/>
            <w:vAlign w:val="bottom"/>
            <w:gridSpan w:val="23"/>
          </w:tcPr>
          <w:p>
            <w:pPr>
              <w:spacing w:after="0"/>
              <w:rPr>
                <w:rFonts w:ascii="Times New Roman" w:cs="Times New Roman" w:eastAsia="Times New Roman" w:hAnsi="Times New Roman"/>
                <w:sz w:val="12"/>
                <w:szCs w:val="12"/>
                <w:color w:val="0000EE"/>
              </w:rPr>
            </w:pPr>
            <w:hyperlink r:id="rId488">
              <w:r>
                <w:rPr>
                  <w:rFonts w:ascii="Times New Roman" w:cs="Times New Roman" w:eastAsia="Times New Roman" w:hAnsi="Times New Roman"/>
                  <w:sz w:val="12"/>
                  <w:szCs w:val="12"/>
                  <w:color w:val="0000EE"/>
                </w:rPr>
                <w:t>Company Stockholder Support Agreement, dated as of August 30, 2024, by and among Scilex Holding Company, Semnur</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120" w:type="dxa"/>
            <w:vAlign w:val="bottom"/>
            <w:tcBorders>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488">
              <w:r>
                <w:rPr>
                  <w:rFonts w:ascii="Times New Roman" w:cs="Times New Roman" w:eastAsia="Times New Roman" w:hAnsi="Times New Roman"/>
                  <w:sz w:val="12"/>
                  <w:szCs w:val="12"/>
                  <w:color w:val="0000EE"/>
                  <w:w w:val="99"/>
                </w:rPr>
                <w:t>Pharmaceuticals, Inc. and Denali Capital Acquisition Corp. (incorporated by reference to Exhibit 10.2 of our Current Report on</w:t>
              </w:r>
            </w:hyperlink>
          </w:p>
        </w:tc>
        <w:tc>
          <w:tcPr>
            <w:tcW w:w="26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88">
              <w:r>
                <w:rPr>
                  <w:rFonts w:ascii="Times New Roman" w:cs="Times New Roman" w:eastAsia="Times New Roman" w:hAnsi="Times New Roman"/>
                  <w:sz w:val="12"/>
                  <w:szCs w:val="12"/>
                  <w:color w:val="0000EE"/>
                </w:rPr>
                <w:t>Form 8-K (File No. 001-39852), filed with the SEC on September 3,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10.58#</w:t>
            </w:r>
          </w:p>
        </w:tc>
        <w:tc>
          <w:tcPr>
            <w:tcW w:w="6200" w:type="dxa"/>
            <w:vAlign w:val="bottom"/>
            <w:tcBorders>
              <w:bottom w:val="single" w:sz="8" w:color="0000EE"/>
            </w:tcBorders>
            <w:gridSpan w:val="17"/>
          </w:tcPr>
          <w:p>
            <w:pPr>
              <w:spacing w:after="0"/>
              <w:rPr>
                <w:rFonts w:ascii="Times New Roman" w:cs="Times New Roman" w:eastAsia="Times New Roman" w:hAnsi="Times New Roman"/>
                <w:sz w:val="12"/>
                <w:szCs w:val="12"/>
                <w:color w:val="0000EE"/>
                <w:w w:val="99"/>
              </w:rPr>
            </w:pPr>
            <w:hyperlink r:id="rId489">
              <w:r>
                <w:rPr>
                  <w:rFonts w:ascii="Times New Roman" w:cs="Times New Roman" w:eastAsia="Times New Roman" w:hAnsi="Times New Roman"/>
                  <w:sz w:val="12"/>
                  <w:szCs w:val="12"/>
                  <w:color w:val="0000EE"/>
                  <w:w w:val="99"/>
                </w:rPr>
                <w:t>Sponsor Interest Purchase Agreement, dated as of August 30, 2024, by and between Denali Capital Global Investments LLC and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w w:val="99"/>
              </w:rPr>
            </w:pPr>
            <w:hyperlink r:id="rId489">
              <w:r>
                <w:rPr>
                  <w:rFonts w:ascii="Times New Roman" w:cs="Times New Roman" w:eastAsia="Times New Roman" w:hAnsi="Times New Roman"/>
                  <w:sz w:val="12"/>
                  <w:szCs w:val="12"/>
                  <w:color w:val="0000EE"/>
                  <w:w w:val="99"/>
                </w:rPr>
                <w:t>Scilex Holding Company. (incorporated by reference to Exhibit 10.3 of our Current Report on Form 8-K (File No. 001-39852), filed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40" w:type="dxa"/>
            <w:vAlign w:val="bottom"/>
            <w:tcBorders>
              <w:top w:val="single" w:sz="8" w:color="0000EE"/>
            </w:tcBorders>
            <w:gridSpan w:val="21"/>
          </w:tcPr>
          <w:p>
            <w:pPr>
              <w:spacing w:after="0" w:line="124" w:lineRule="exact"/>
              <w:rPr>
                <w:rFonts w:ascii="Times New Roman" w:cs="Times New Roman" w:eastAsia="Times New Roman" w:hAnsi="Times New Roman"/>
                <w:sz w:val="12"/>
                <w:szCs w:val="12"/>
                <w:color w:val="0000EE"/>
              </w:rPr>
            </w:pPr>
            <w:hyperlink r:id="rId489">
              <w:r>
                <w:rPr>
                  <w:rFonts w:ascii="Times New Roman" w:cs="Times New Roman" w:eastAsia="Times New Roman" w:hAnsi="Times New Roman"/>
                  <w:sz w:val="12"/>
                  <w:szCs w:val="12"/>
                  <w:color w:val="0000EE"/>
                </w:rPr>
                <w:t>with the SEC on September 3, 2024).</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10.59#</w:t>
            </w:r>
          </w:p>
        </w:tc>
        <w:tc>
          <w:tcPr>
            <w:tcW w:w="6200" w:type="dxa"/>
            <w:vAlign w:val="bottom"/>
            <w:tcBorders>
              <w:bottom w:val="single" w:sz="8" w:color="0000EE"/>
            </w:tcBorders>
            <w:gridSpan w:val="17"/>
          </w:tcPr>
          <w:p>
            <w:pPr>
              <w:spacing w:after="0"/>
              <w:rPr>
                <w:rFonts w:ascii="Times New Roman" w:cs="Times New Roman" w:eastAsia="Times New Roman" w:hAnsi="Times New Roman"/>
                <w:sz w:val="12"/>
                <w:szCs w:val="12"/>
                <w:color w:val="0000EE"/>
                <w:w w:val="99"/>
              </w:rPr>
            </w:pPr>
            <w:hyperlink r:id="rId490">
              <w:r>
                <w:rPr>
                  <w:rFonts w:ascii="Times New Roman" w:cs="Times New Roman" w:eastAsia="Times New Roman" w:hAnsi="Times New Roman"/>
                  <w:sz w:val="12"/>
                  <w:szCs w:val="12"/>
                  <w:color w:val="0000EE"/>
                  <w:w w:val="99"/>
                </w:rPr>
                <w:t>Contribution and Satisfaction of Indebtedness Agreement, dated as of August 30, 2024 by and between Scilex Holding Company</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0">
              <w:r>
                <w:rPr>
                  <w:rFonts w:ascii="Times New Roman" w:cs="Times New Roman" w:eastAsia="Times New Roman" w:hAnsi="Times New Roman"/>
                  <w:sz w:val="12"/>
                  <w:szCs w:val="12"/>
                  <w:color w:val="0000EE"/>
                </w:rPr>
                <w:t>and Semnur Pharmaceuticals, Inc. (incorporated by reference to Exhibit 10.4 of our Current Report on Form 8-K (File</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60" w:type="dxa"/>
            <w:vAlign w:val="bottom"/>
            <w:tcBorders>
              <w:top w:val="single" w:sz="8" w:color="0000EE"/>
            </w:tcBorders>
            <w:gridSpan w:val="10"/>
          </w:tcPr>
          <w:p>
            <w:pPr>
              <w:spacing w:after="0" w:line="124" w:lineRule="exact"/>
              <w:rPr>
                <w:rFonts w:ascii="Times New Roman" w:cs="Times New Roman" w:eastAsia="Times New Roman" w:hAnsi="Times New Roman"/>
                <w:sz w:val="12"/>
                <w:szCs w:val="12"/>
                <w:color w:val="0000EE"/>
              </w:rPr>
            </w:pPr>
            <w:hyperlink r:id="rId490">
              <w:r>
                <w:rPr>
                  <w:rFonts w:ascii="Times New Roman" w:cs="Times New Roman" w:eastAsia="Times New Roman" w:hAnsi="Times New Roman"/>
                  <w:sz w:val="12"/>
                  <w:szCs w:val="12"/>
                  <w:color w:val="0000EE"/>
                </w:rPr>
                <w:t>No. 001-39852), filed with the SEC on September 3, 2024).</w:t>
              </w:r>
            </w:hyperlink>
          </w:p>
        </w:tc>
        <w:tc>
          <w:tcPr>
            <w:tcW w:w="72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10.60</w:t>
            </w:r>
          </w:p>
        </w:tc>
        <w:tc>
          <w:tcPr>
            <w:tcW w:w="6380" w:type="dxa"/>
            <w:vAlign w:val="bottom"/>
            <w:gridSpan w:val="23"/>
          </w:tcPr>
          <w:p>
            <w:pPr>
              <w:spacing w:after="0"/>
              <w:rPr>
                <w:rFonts w:ascii="Times New Roman" w:cs="Times New Roman" w:eastAsia="Times New Roman" w:hAnsi="Times New Roman"/>
                <w:sz w:val="12"/>
                <w:szCs w:val="12"/>
                <w:color w:val="0000EE"/>
              </w:rPr>
            </w:pPr>
            <w:hyperlink r:id="rId491">
              <w:r>
                <w:rPr>
                  <w:rFonts w:ascii="Times New Roman" w:cs="Times New Roman" w:eastAsia="Times New Roman" w:hAnsi="Times New Roman"/>
                  <w:sz w:val="12"/>
                  <w:szCs w:val="12"/>
                  <w:color w:val="0000EE"/>
                </w:rPr>
                <w:t>Stockholder Agreement, dated as of August 30, 2024, by and between Denali Capital Acquisition Corp. and Scilex Holding</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w w:val="99"/>
              </w:rPr>
            </w:pPr>
            <w:hyperlink r:id="rId491">
              <w:r>
                <w:rPr>
                  <w:rFonts w:ascii="Times New Roman" w:cs="Times New Roman" w:eastAsia="Times New Roman" w:hAnsi="Times New Roman"/>
                  <w:sz w:val="12"/>
                  <w:szCs w:val="12"/>
                  <w:color w:val="0000EE"/>
                  <w:w w:val="99"/>
                </w:rPr>
                <w:t>Company (incorporated by reference to Exhibit 10.5 of our Current Report on Form 8-K (File No.001-39852), filed with the SEC on</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60" w:type="dxa"/>
            <w:vAlign w:val="bottom"/>
            <w:tcBorders>
              <w:top w:val="single" w:sz="8" w:color="0000EE"/>
            </w:tcBorders>
            <w:gridSpan w:val="22"/>
          </w:tcPr>
          <w:p>
            <w:pPr>
              <w:spacing w:after="0" w:line="124" w:lineRule="exact"/>
              <w:rPr>
                <w:rFonts w:ascii="Times New Roman" w:cs="Times New Roman" w:eastAsia="Times New Roman" w:hAnsi="Times New Roman"/>
                <w:sz w:val="12"/>
                <w:szCs w:val="12"/>
                <w:color w:val="0000EE"/>
              </w:rPr>
            </w:pPr>
            <w:hyperlink r:id="rId491">
              <w:r>
                <w:rPr>
                  <w:rFonts w:ascii="Times New Roman" w:cs="Times New Roman" w:eastAsia="Times New Roman" w:hAnsi="Times New Roman"/>
                  <w:sz w:val="12"/>
                  <w:szCs w:val="12"/>
                  <w:color w:val="0000EE"/>
                </w:rPr>
                <w:t>September 3, 2024).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10.61</w:t>
            </w:r>
          </w:p>
        </w:tc>
        <w:tc>
          <w:tcPr>
            <w:tcW w:w="618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492">
              <w:r>
                <w:rPr>
                  <w:rFonts w:ascii="Times New Roman" w:cs="Times New Roman" w:eastAsia="Times New Roman" w:hAnsi="Times New Roman"/>
                  <w:sz w:val="12"/>
                  <w:szCs w:val="12"/>
                  <w:color w:val="0000EE"/>
                  <w:w w:val="99"/>
                </w:rPr>
                <w:t>Satisfaction Agreement, dated as of September 17, 2024, by and among Endeavor Distribution LLC, FSF 33433 LLC and Scilex</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6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492">
              <w:r>
                <w:rPr>
                  <w:rFonts w:ascii="Times New Roman" w:cs="Times New Roman" w:eastAsia="Times New Roman" w:hAnsi="Times New Roman"/>
                  <w:sz w:val="12"/>
                  <w:szCs w:val="12"/>
                  <w:color w:val="0000EE"/>
                  <w:w w:val="99"/>
                </w:rPr>
                <w:t>Holding Company. (incorporated by reference to Exhibit 10.1 of our Current Report on Form 8-K (File No. 001-39852), filed with</w:t>
              </w:r>
            </w:hyperlink>
          </w:p>
        </w:tc>
        <w:tc>
          <w:tcPr>
            <w:tcW w:w="12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2">
              <w:r>
                <w:rPr>
                  <w:rFonts w:ascii="Times New Roman" w:cs="Times New Roman" w:eastAsia="Times New Roman" w:hAnsi="Times New Roman"/>
                  <w:sz w:val="12"/>
                  <w:szCs w:val="12"/>
                  <w:color w:val="0000EE"/>
                </w:rPr>
                <w:t>the SEC on September 18,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10.62</w:t>
            </w:r>
          </w:p>
        </w:tc>
        <w:tc>
          <w:tcPr>
            <w:tcW w:w="6380" w:type="dxa"/>
            <w:vAlign w:val="bottom"/>
            <w:gridSpan w:val="23"/>
          </w:tcPr>
          <w:p>
            <w:pPr>
              <w:spacing w:after="0"/>
              <w:rPr>
                <w:rFonts w:ascii="Times New Roman" w:cs="Times New Roman" w:eastAsia="Times New Roman" w:hAnsi="Times New Roman"/>
                <w:sz w:val="12"/>
                <w:szCs w:val="12"/>
                <w:color w:val="0000EE"/>
              </w:rPr>
            </w:pPr>
            <w:hyperlink r:id="rId493">
              <w:r>
                <w:rPr>
                  <w:rFonts w:ascii="Times New Roman" w:cs="Times New Roman" w:eastAsia="Times New Roman" w:hAnsi="Times New Roman"/>
                  <w:sz w:val="12"/>
                  <w:szCs w:val="12"/>
                  <w:color w:val="0000EE"/>
                </w:rPr>
                <w:t>Letter Agreement, dated as of September 20, 2024, by and between Oramed Pharmaceuticals Inc. and Scilex Holding Company.</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2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93">
              <w:r>
                <w:rPr>
                  <w:rFonts w:ascii="Times New Roman" w:cs="Times New Roman" w:eastAsia="Times New Roman" w:hAnsi="Times New Roman"/>
                  <w:sz w:val="12"/>
                  <w:szCs w:val="12"/>
                  <w:color w:val="0000EE"/>
                  <w:w w:val="99"/>
                </w:rPr>
                <w:t>(incorporated by reference to Exhibit 10.1 of our Current Report on Form 8-K (File No. 001-39852), filed with the SEC on</w:t>
              </w:r>
            </w:hyperlink>
          </w:p>
        </w:tc>
        <w:tc>
          <w:tcPr>
            <w:tcW w:w="220" w:type="dxa"/>
            <w:vAlign w:val="bottom"/>
            <w:tcBorders>
              <w:top w:val="single" w:sz="8" w:color="0000EE"/>
            </w:tcBorders>
            <w:gridSpan w:val="3"/>
          </w:tcPr>
          <w:p>
            <w:pPr>
              <w:spacing w:after="0"/>
              <w:rPr>
                <w:sz w:val="10"/>
                <w:szCs w:val="10"/>
                <w:color w:val="auto"/>
              </w:rPr>
            </w:pPr>
          </w:p>
        </w:tc>
        <w:tc>
          <w:tcPr>
            <w:tcW w:w="24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3">
              <w:r>
                <w:rPr>
                  <w:rFonts w:ascii="Times New Roman" w:cs="Times New Roman" w:eastAsia="Times New Roman" w:hAnsi="Times New Roman"/>
                  <w:sz w:val="12"/>
                  <w:szCs w:val="12"/>
                  <w:color w:val="0000EE"/>
                </w:rPr>
                <w:t>September 23,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10.63#</w:t>
            </w:r>
          </w:p>
        </w:tc>
        <w:tc>
          <w:tcPr>
            <w:tcW w:w="6380" w:type="dxa"/>
            <w:vAlign w:val="bottom"/>
            <w:gridSpan w:val="23"/>
          </w:tcPr>
          <w:p>
            <w:pPr>
              <w:spacing w:after="0"/>
              <w:rPr>
                <w:rFonts w:ascii="Times New Roman" w:cs="Times New Roman" w:eastAsia="Times New Roman" w:hAnsi="Times New Roman"/>
                <w:sz w:val="12"/>
                <w:szCs w:val="12"/>
                <w:color w:val="0000EE"/>
                <w:w w:val="99"/>
              </w:rPr>
            </w:pPr>
            <w:hyperlink r:id="rId494">
              <w:r>
                <w:rPr>
                  <w:rFonts w:ascii="Times New Roman" w:cs="Times New Roman" w:eastAsia="Times New Roman" w:hAnsi="Times New Roman"/>
                  <w:sz w:val="12"/>
                  <w:szCs w:val="12"/>
                  <w:color w:val="0000EE"/>
                  <w:w w:val="99"/>
                </w:rPr>
                <w:t>Securities Purchase Agreement, dated October 7, 2024, by and between Scilex Holding Company and the investors signatory thereto</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2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94">
              <w:r>
                <w:rPr>
                  <w:rFonts w:ascii="Times New Roman" w:cs="Times New Roman" w:eastAsia="Times New Roman" w:hAnsi="Times New Roman"/>
                  <w:sz w:val="12"/>
                  <w:szCs w:val="12"/>
                  <w:color w:val="0000EE"/>
                  <w:w w:val="99"/>
                </w:rPr>
                <w:t>(incorporated by reference to Exhibit 10.1 of our Current Report on Form 8-K (File No. 001-39852), filed with the SEC on</w:t>
              </w:r>
            </w:hyperlink>
          </w:p>
        </w:tc>
        <w:tc>
          <w:tcPr>
            <w:tcW w:w="440" w:type="dxa"/>
            <w:vAlign w:val="bottom"/>
            <w:tcBorders>
              <w:top w:val="single" w:sz="8" w:color="0000EE"/>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4">
              <w:r>
                <w:rPr>
                  <w:rFonts w:ascii="Times New Roman" w:cs="Times New Roman" w:eastAsia="Times New Roman" w:hAnsi="Times New Roman"/>
                  <w:sz w:val="12"/>
                  <w:szCs w:val="12"/>
                  <w:color w:val="0000EE"/>
                </w:rPr>
                <w:t>October 8,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10.64#</w:t>
            </w:r>
          </w:p>
        </w:tc>
        <w:tc>
          <w:tcPr>
            <w:tcW w:w="6260" w:type="dxa"/>
            <w:vAlign w:val="bottom"/>
            <w:tcBorders>
              <w:bottom w:val="single" w:sz="8" w:color="0000EE"/>
            </w:tcBorders>
            <w:gridSpan w:val="19"/>
          </w:tcPr>
          <w:p>
            <w:pPr>
              <w:spacing w:after="0"/>
              <w:rPr>
                <w:rFonts w:ascii="Times New Roman" w:cs="Times New Roman" w:eastAsia="Times New Roman" w:hAnsi="Times New Roman"/>
                <w:sz w:val="12"/>
                <w:szCs w:val="12"/>
                <w:color w:val="0000EE"/>
                <w:w w:val="99"/>
              </w:rPr>
            </w:pPr>
            <w:hyperlink r:id="rId495">
              <w:r>
                <w:rPr>
                  <w:rFonts w:ascii="Times New Roman" w:cs="Times New Roman" w:eastAsia="Times New Roman" w:hAnsi="Times New Roman"/>
                  <w:sz w:val="12"/>
                  <w:szCs w:val="12"/>
                  <w:color w:val="0000EE"/>
                  <w:w w:val="99"/>
                </w:rPr>
                <w:t>Purchase and Sale Agreement, dated October 8, 2024, by and among Scilex Holding Company, Silex Pharmaceuticals Inc. and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5">
              <w:r>
                <w:rPr>
                  <w:rFonts w:ascii="Times New Roman" w:cs="Times New Roman" w:eastAsia="Times New Roman" w:hAnsi="Times New Roman"/>
                  <w:sz w:val="12"/>
                  <w:szCs w:val="12"/>
                  <w:color w:val="0000EE"/>
                </w:rPr>
                <w:t>purchasers signatory thereto (incorporated by reference to Exhibit 10.3 of our Current Report on Form 8-K (File No. 001-39852),</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20" w:type="dxa"/>
            <w:vAlign w:val="bottom"/>
            <w:tcBorders>
              <w:top w:val="single" w:sz="8" w:color="0000EE"/>
              <w:bottom w:val="single" w:sz="8" w:color="0000EE"/>
            </w:tcBorders>
            <w:gridSpan w:val="6"/>
          </w:tcPr>
          <w:p>
            <w:pPr>
              <w:spacing w:after="0" w:line="124" w:lineRule="exact"/>
              <w:rPr>
                <w:rFonts w:ascii="Times New Roman" w:cs="Times New Roman" w:eastAsia="Times New Roman" w:hAnsi="Times New Roman"/>
                <w:sz w:val="12"/>
                <w:szCs w:val="12"/>
                <w:color w:val="0000EE"/>
                <w:w w:val="99"/>
              </w:rPr>
            </w:pPr>
            <w:hyperlink r:id="rId495">
              <w:r>
                <w:rPr>
                  <w:rFonts w:ascii="Times New Roman" w:cs="Times New Roman" w:eastAsia="Times New Roman" w:hAnsi="Times New Roman"/>
                  <w:sz w:val="12"/>
                  <w:szCs w:val="12"/>
                  <w:color w:val="0000EE"/>
                  <w:w w:val="99"/>
                </w:rPr>
                <w:t>filed with the SEC on October 8, 2024).</w:t>
              </w:r>
            </w:hyperlink>
          </w:p>
        </w:tc>
        <w:tc>
          <w:tcPr>
            <w:tcW w:w="4280" w:type="dxa"/>
            <w:vAlign w:val="bottom"/>
            <w:tcBorders>
              <w:top w:val="single" w:sz="8" w:color="0000EE"/>
            </w:tcBorders>
            <w:gridSpan w:val="11"/>
          </w:tcPr>
          <w:p>
            <w:pPr>
              <w:spacing w:after="0"/>
              <w:rPr>
                <w:sz w:val="10"/>
                <w:szCs w:val="10"/>
                <w:color w:val="auto"/>
              </w:rPr>
            </w:pP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10.65</w:t>
            </w:r>
          </w:p>
        </w:tc>
        <w:tc>
          <w:tcPr>
            <w:tcW w:w="6380" w:type="dxa"/>
            <w:vAlign w:val="bottom"/>
            <w:gridSpan w:val="23"/>
          </w:tcPr>
          <w:p>
            <w:pPr>
              <w:spacing w:after="0"/>
              <w:rPr>
                <w:rFonts w:ascii="Times New Roman" w:cs="Times New Roman" w:eastAsia="Times New Roman" w:hAnsi="Times New Roman"/>
                <w:sz w:val="12"/>
                <w:szCs w:val="12"/>
                <w:color w:val="0000EE"/>
              </w:rPr>
            </w:pPr>
            <w:hyperlink r:id="rId496">
              <w:r>
                <w:rPr>
                  <w:rFonts w:ascii="Times New Roman" w:cs="Times New Roman" w:eastAsia="Times New Roman" w:hAnsi="Times New Roman"/>
                  <w:sz w:val="12"/>
                  <w:szCs w:val="12"/>
                  <w:color w:val="0000EE"/>
                </w:rPr>
                <w:t>Amendment No. 1 to Purchase and Sale Agreement, dated February 28, 2025, by and among Scilex Holding Company, Scilex</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3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2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r:id="rId496">
              <w:r>
                <w:rPr>
                  <w:rFonts w:ascii="Times New Roman" w:cs="Times New Roman" w:eastAsia="Times New Roman" w:hAnsi="Times New Roman"/>
                  <w:sz w:val="12"/>
                  <w:szCs w:val="12"/>
                  <w:color w:val="0000EE"/>
                  <w:w w:val="99"/>
                </w:rPr>
                <w:t>Pharmaceuticals Inc., Oramed Pharmaceuticals Inc. and the other signatories thereto (incorporated by reference to Exhibit 10.4 of</w:t>
              </w:r>
            </w:hyperlink>
          </w:p>
        </w:tc>
        <w:tc>
          <w:tcPr>
            <w:tcW w:w="1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520" w:type="dxa"/>
            <w:vAlign w:val="bottom"/>
            <w:tcBorders>
              <w:bottom w:val="single" w:sz="8" w:color="0000EE"/>
            </w:tcBorders>
            <w:gridSpan w:val="9"/>
          </w:tcPr>
          <w:p>
            <w:pPr>
              <w:spacing w:after="0" w:line="124" w:lineRule="exact"/>
              <w:rPr>
                <w:rFonts w:ascii="Times New Roman" w:cs="Times New Roman" w:eastAsia="Times New Roman" w:hAnsi="Times New Roman"/>
                <w:sz w:val="12"/>
                <w:szCs w:val="12"/>
                <w:color w:val="0000EE"/>
                <w:w w:val="99"/>
              </w:rPr>
            </w:pPr>
            <w:hyperlink r:id="rId496">
              <w:r>
                <w:rPr>
                  <w:rFonts w:ascii="Times New Roman" w:cs="Times New Roman" w:eastAsia="Times New Roman" w:hAnsi="Times New Roman"/>
                  <w:sz w:val="12"/>
                  <w:szCs w:val="12"/>
                  <w:color w:val="0000EE"/>
                  <w:w w:val="99"/>
                </w:rPr>
                <w:t>our Current Report on Form 8-K (File No. 001-39852), filed with the SEC on March 3, 2025).</w:t>
              </w:r>
            </w:hyperlink>
          </w:p>
        </w:tc>
        <w:tc>
          <w:tcPr>
            <w:tcW w:w="18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10.66#</w:t>
            </w:r>
          </w:p>
        </w:tc>
        <w:tc>
          <w:tcPr>
            <w:tcW w:w="604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rPr>
            </w:pPr>
            <w:hyperlink r:id="rId497">
              <w:r>
                <w:rPr>
                  <w:rFonts w:ascii="Times New Roman" w:cs="Times New Roman" w:eastAsia="Times New Roman" w:hAnsi="Times New Roman"/>
                  <w:sz w:val="12"/>
                  <w:szCs w:val="12"/>
                  <w:color w:val="0000EE"/>
                </w:rPr>
                <w:t>Security Agreement, dated October 8, 2024, by and among Scilex Pharmaceuticals Inc., and the purchasers signatory thereto</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2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97">
              <w:r>
                <w:rPr>
                  <w:rFonts w:ascii="Times New Roman" w:cs="Times New Roman" w:eastAsia="Times New Roman" w:hAnsi="Times New Roman"/>
                  <w:sz w:val="12"/>
                  <w:szCs w:val="12"/>
                  <w:color w:val="0000EE"/>
                  <w:w w:val="99"/>
                </w:rPr>
                <w:t>(incorporated by reference to Exhibit 10.4 of our Current Report on Form 8-K (File No. 001-39852), filed with the SEC on</w:t>
              </w:r>
            </w:hyperlink>
          </w:p>
        </w:tc>
        <w:tc>
          <w:tcPr>
            <w:tcW w:w="46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7">
              <w:r>
                <w:rPr>
                  <w:rFonts w:ascii="Times New Roman" w:cs="Times New Roman" w:eastAsia="Times New Roman" w:hAnsi="Times New Roman"/>
                  <w:sz w:val="12"/>
                  <w:szCs w:val="12"/>
                  <w:color w:val="0000EE"/>
                </w:rPr>
                <w:t>October 8,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10.67</w:t>
            </w:r>
          </w:p>
        </w:tc>
        <w:tc>
          <w:tcPr>
            <w:tcW w:w="6280" w:type="dxa"/>
            <w:vAlign w:val="bottom"/>
            <w:tcBorders>
              <w:bottom w:val="single" w:sz="8" w:color="0000EE"/>
            </w:tcBorders>
            <w:gridSpan w:val="20"/>
          </w:tcPr>
          <w:p>
            <w:pPr>
              <w:spacing w:after="0"/>
              <w:rPr>
                <w:rFonts w:ascii="Times New Roman" w:cs="Times New Roman" w:eastAsia="Times New Roman" w:hAnsi="Times New Roman"/>
                <w:sz w:val="12"/>
                <w:szCs w:val="12"/>
                <w:color w:val="0000EE"/>
                <w:w w:val="99"/>
              </w:rPr>
            </w:pPr>
            <w:hyperlink r:id="rId498">
              <w:r>
                <w:rPr>
                  <w:rFonts w:ascii="Times New Roman" w:cs="Times New Roman" w:eastAsia="Times New Roman" w:hAnsi="Times New Roman"/>
                  <w:sz w:val="12"/>
                  <w:szCs w:val="12"/>
                  <w:color w:val="0000EE"/>
                  <w:w w:val="99"/>
                </w:rPr>
                <w:t>Subordination Agreement, dated October 8, 2024, by and among Scilex Pharmaceuticals Inc., Acquiom Agency Services LLC and</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8">
              <w:r>
                <w:rPr>
                  <w:rFonts w:ascii="Times New Roman" w:cs="Times New Roman" w:eastAsia="Times New Roman" w:hAnsi="Times New Roman"/>
                  <w:sz w:val="12"/>
                  <w:szCs w:val="12"/>
                  <w:color w:val="0000EE"/>
                </w:rPr>
                <w:t>other signatories thereto (incorporated by reference to Exhibit 10.5 of our Current Report on Form 8-K (File No. 001-39852), filed</w:t>
              </w:r>
            </w:hyperlink>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60" w:type="dxa"/>
            <w:vAlign w:val="bottom"/>
            <w:tcBorders>
              <w:top w:val="single" w:sz="8" w:color="0000EE"/>
            </w:tcBorders>
            <w:gridSpan w:val="19"/>
          </w:tcPr>
          <w:p>
            <w:pPr>
              <w:spacing w:after="0" w:line="124" w:lineRule="exact"/>
              <w:rPr>
                <w:rFonts w:ascii="Times New Roman" w:cs="Times New Roman" w:eastAsia="Times New Roman" w:hAnsi="Times New Roman"/>
                <w:sz w:val="12"/>
                <w:szCs w:val="12"/>
                <w:color w:val="0000EE"/>
              </w:rPr>
            </w:pPr>
            <w:hyperlink r:id="rId498">
              <w:r>
                <w:rPr>
                  <w:rFonts w:ascii="Times New Roman" w:cs="Times New Roman" w:eastAsia="Times New Roman" w:hAnsi="Times New Roman"/>
                  <w:sz w:val="12"/>
                  <w:szCs w:val="12"/>
                  <w:color w:val="0000EE"/>
                </w:rPr>
                <w:t>with the SEC on October 8, 2024).</w:t>
              </w:r>
            </w:hyperlink>
          </w:p>
        </w:tc>
        <w:tc>
          <w:tcPr>
            <w:tcW w:w="12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10.68</w:t>
            </w:r>
          </w:p>
        </w:tc>
        <w:tc>
          <w:tcPr>
            <w:tcW w:w="5860" w:type="dxa"/>
            <w:vAlign w:val="bottom"/>
            <w:tcBorders>
              <w:bottom w:val="single" w:sz="8" w:color="0000EE"/>
            </w:tcBorders>
            <w:gridSpan w:val="11"/>
          </w:tcPr>
          <w:p>
            <w:pPr>
              <w:spacing w:after="0"/>
              <w:rPr>
                <w:rFonts w:ascii="Times New Roman" w:cs="Times New Roman" w:eastAsia="Times New Roman" w:hAnsi="Times New Roman"/>
                <w:sz w:val="12"/>
                <w:szCs w:val="12"/>
                <w:color w:val="0000EE"/>
              </w:rPr>
            </w:pPr>
            <w:hyperlink r:id="rId499">
              <w:r>
                <w:rPr>
                  <w:rFonts w:ascii="Times New Roman" w:cs="Times New Roman" w:eastAsia="Times New Roman" w:hAnsi="Times New Roman"/>
                  <w:sz w:val="12"/>
                  <w:szCs w:val="12"/>
                  <w:color w:val="0000EE"/>
                </w:rPr>
                <w:t>License Agreement (ZTlido), dated February 22, 2025, by and between Scilex Pharmaceuticals Inc. and Royaltyvest Ltd.</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92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499">
              <w:r>
                <w:rPr>
                  <w:rFonts w:ascii="Times New Roman" w:cs="Times New Roman" w:eastAsia="Times New Roman" w:hAnsi="Times New Roman"/>
                  <w:sz w:val="12"/>
                  <w:szCs w:val="12"/>
                  <w:color w:val="0000EE"/>
                  <w:w w:val="99"/>
                </w:rPr>
                <w:t>(incorporated by reference to Exhibit 10.1 of our Current Report on Form 8-K (File No. 001-39852), filed with the SEC on</w:t>
              </w:r>
            </w:hyperlink>
          </w:p>
        </w:tc>
        <w:tc>
          <w:tcPr>
            <w:tcW w:w="46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380" w:type="dxa"/>
            <w:vAlign w:val="bottom"/>
            <w:gridSpan w:val="23"/>
          </w:tcPr>
          <w:p>
            <w:pPr>
              <w:spacing w:after="0" w:line="124" w:lineRule="exact"/>
              <w:rPr>
                <w:rFonts w:ascii="Times New Roman" w:cs="Times New Roman" w:eastAsia="Times New Roman" w:hAnsi="Times New Roman"/>
                <w:sz w:val="12"/>
                <w:szCs w:val="12"/>
                <w:color w:val="0000EE"/>
              </w:rPr>
            </w:pPr>
            <w:hyperlink r:id="rId499">
              <w:r>
                <w:rPr>
                  <w:rFonts w:ascii="Times New Roman" w:cs="Times New Roman" w:eastAsia="Times New Roman" w:hAnsi="Times New Roman"/>
                  <w:sz w:val="12"/>
                  <w:szCs w:val="12"/>
                  <w:color w:val="0000EE"/>
                </w:rPr>
                <w:t>February 27, 2025).</w:t>
              </w:r>
            </w:hyperlink>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60" w:type="dxa"/>
            <w:vAlign w:val="bottom"/>
            <w:gridSpan w:val="17"/>
          </w:tcPr>
          <w:p>
            <w:pPr>
              <w:ind w:left="660"/>
              <w:spacing w:after="0"/>
              <w:rPr>
                <w:sz w:val="20"/>
                <w:szCs w:val="20"/>
                <w:color w:val="auto"/>
              </w:rPr>
            </w:pPr>
            <w:r>
              <w:rPr>
                <w:rFonts w:ascii="Times New Roman" w:cs="Times New Roman" w:eastAsia="Times New Roman" w:hAnsi="Times New Roman"/>
                <w:sz w:val="12"/>
                <w:szCs w:val="12"/>
                <w:color w:val="auto"/>
              </w:rPr>
              <w:t>II-11</w:t>
            </w: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560" w:type="dxa"/>
            <w:vAlign w:val="bottom"/>
            <w:gridSpan w:val="18"/>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6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560" w:type="dxa"/>
            <w:vAlign w:val="bottom"/>
            <w:tcBorders>
              <w:bottom w:val="single" w:sz="8" w:color="auto"/>
            </w:tcBorders>
            <w:gridSpan w:val="1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10.69</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501">
              <w:r>
                <w:rPr>
                  <w:rFonts w:ascii="Times New Roman" w:cs="Times New Roman" w:eastAsia="Times New Roman" w:hAnsi="Times New Roman"/>
                  <w:sz w:val="12"/>
                  <w:szCs w:val="12"/>
                  <w:color w:val="0000EE"/>
                </w:rPr>
                <w:t>Parent Guarantee for Lidocaine License Agreement, dated February 22, 2025, by and between Scilex Holding Company and</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501">
              <w:r>
                <w:rPr>
                  <w:rFonts w:ascii="Times New Roman" w:cs="Times New Roman" w:eastAsia="Times New Roman" w:hAnsi="Times New Roman"/>
                  <w:sz w:val="12"/>
                  <w:szCs w:val="12"/>
                  <w:color w:val="0000EE"/>
                </w:rPr>
                <w:t>Royaltyvest Ltd. (incorporated by reference to Exhibit 10.2 of our Current Report on Form 8-K (File No. 001-39852), filed with the</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20" w:type="dxa"/>
            <w:vAlign w:val="bottom"/>
            <w:tcBorders>
              <w:top w:val="single" w:sz="8" w:color="0000EE"/>
            </w:tcBorders>
            <w:gridSpan w:val="20"/>
          </w:tcPr>
          <w:p>
            <w:pPr>
              <w:spacing w:after="0" w:line="124" w:lineRule="exact"/>
              <w:rPr>
                <w:rFonts w:ascii="Times New Roman" w:cs="Times New Roman" w:eastAsia="Times New Roman" w:hAnsi="Times New Roman"/>
                <w:sz w:val="12"/>
                <w:szCs w:val="12"/>
                <w:color w:val="0000EE"/>
              </w:rPr>
            </w:pPr>
            <w:hyperlink r:id="rId501">
              <w:r>
                <w:rPr>
                  <w:rFonts w:ascii="Times New Roman" w:cs="Times New Roman" w:eastAsia="Times New Roman" w:hAnsi="Times New Roman"/>
                  <w:sz w:val="12"/>
                  <w:szCs w:val="12"/>
                  <w:color w:val="0000EE"/>
                </w:rPr>
                <w:t>SEC on February 27, 2025).</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10.70</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502">
              <w:r>
                <w:rPr>
                  <w:rFonts w:ascii="Times New Roman" w:cs="Times New Roman" w:eastAsia="Times New Roman" w:hAnsi="Times New Roman"/>
                  <w:sz w:val="12"/>
                  <w:szCs w:val="12"/>
                  <w:color w:val="0000EE"/>
                </w:rPr>
                <w:t>Consent under Securities Purchase Agreement and Senior Secured Promissory Note, dated December 9, 2024, by and among Scilex</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20" w:type="dxa"/>
            <w:vAlign w:val="bottom"/>
            <w:tcBorders>
              <w:top w:val="single" w:sz="8" w:color="0000EE"/>
            </w:tcBorders>
            <w:gridSpan w:val="20"/>
          </w:tcPr>
          <w:p>
            <w:pPr>
              <w:spacing w:after="0" w:line="124" w:lineRule="exact"/>
              <w:rPr>
                <w:rFonts w:ascii="Times New Roman" w:cs="Times New Roman" w:eastAsia="Times New Roman" w:hAnsi="Times New Roman"/>
                <w:sz w:val="12"/>
                <w:szCs w:val="12"/>
                <w:color w:val="0000EE"/>
              </w:rPr>
            </w:pPr>
            <w:hyperlink r:id="rId502">
              <w:r>
                <w:rPr>
                  <w:rFonts w:ascii="Times New Roman" w:cs="Times New Roman" w:eastAsia="Times New Roman" w:hAnsi="Times New Roman"/>
                  <w:sz w:val="12"/>
                  <w:szCs w:val="12"/>
                  <w:color w:val="0000EE"/>
                </w:rPr>
                <w:t>Holding Company, Oramed Pharmaceuticals Inc., SCLX Stock Acquisition JV LLC and Acquiom Agency Services LLC</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96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rPr>
            </w:pPr>
            <w:hyperlink r:id="rId502">
              <w:r>
                <w:rPr>
                  <w:rFonts w:ascii="Times New Roman" w:cs="Times New Roman" w:eastAsia="Times New Roman" w:hAnsi="Times New Roman"/>
                  <w:sz w:val="12"/>
                  <w:szCs w:val="12"/>
                  <w:color w:val="0000EE"/>
                </w:rPr>
                <w:t>(incorporated by reference to Exhibit 10.1 of our Current Report on Form 8-K (File No. 001-39852), filed with the SEC on</w:t>
              </w:r>
            </w:hyperlink>
          </w:p>
        </w:tc>
        <w:tc>
          <w:tcPr>
            <w:tcW w:w="4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502">
              <w:r>
                <w:rPr>
                  <w:rFonts w:ascii="Times New Roman" w:cs="Times New Roman" w:eastAsia="Times New Roman" w:hAnsi="Times New Roman"/>
                  <w:sz w:val="12"/>
                  <w:szCs w:val="12"/>
                  <w:color w:val="0000EE"/>
                </w:rPr>
                <w:t>December 10.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10.71</w:t>
            </w:r>
          </w:p>
        </w:tc>
        <w:tc>
          <w:tcPr>
            <w:tcW w:w="620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503">
              <w:r>
                <w:rPr>
                  <w:rFonts w:ascii="Times New Roman" w:cs="Times New Roman" w:eastAsia="Times New Roman" w:hAnsi="Times New Roman"/>
                  <w:sz w:val="12"/>
                  <w:szCs w:val="12"/>
                  <w:color w:val="0000EE"/>
                  <w:w w:val="99"/>
                </w:rPr>
                <w:t>Consent under Securities Purchase Agreement and Tranche B Senior Secured Convertible Note, dated December 9, 2024, by and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8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503">
              <w:r>
                <w:rPr>
                  <w:rFonts w:ascii="Times New Roman" w:cs="Times New Roman" w:eastAsia="Times New Roman" w:hAnsi="Times New Roman"/>
                  <w:sz w:val="12"/>
                  <w:szCs w:val="12"/>
                  <w:color w:val="0000EE"/>
                  <w:w w:val="99"/>
                </w:rPr>
                <w:t>among Scilex Holding Company, Nomis Bay Ltd, BPY Limited, SCLX Stock Acquisition JV LLC and Acquiom Agency Services</w:t>
              </w:r>
            </w:hyperlink>
          </w:p>
        </w:tc>
        <w:tc>
          <w:tcPr>
            <w:tcW w:w="10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8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rPr>
            </w:pPr>
            <w:hyperlink r:id="rId503">
              <w:r>
                <w:rPr>
                  <w:rFonts w:ascii="Times New Roman" w:cs="Times New Roman" w:eastAsia="Times New Roman" w:hAnsi="Times New Roman"/>
                  <w:sz w:val="12"/>
                  <w:szCs w:val="12"/>
                  <w:color w:val="0000EE"/>
                </w:rPr>
                <w:t>LLC (incorporated by reference to Exhibit 10.2 of our Current Report on Form 8-K (File No. 001-39852), filed with the SEC on</w:t>
              </w:r>
            </w:hyperlink>
          </w:p>
        </w:tc>
        <w:tc>
          <w:tcPr>
            <w:tcW w:w="2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503">
              <w:r>
                <w:rPr>
                  <w:rFonts w:ascii="Times New Roman" w:cs="Times New Roman" w:eastAsia="Times New Roman" w:hAnsi="Times New Roman"/>
                  <w:sz w:val="12"/>
                  <w:szCs w:val="12"/>
                  <w:color w:val="0000EE"/>
                </w:rPr>
                <w:t>December 10,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10.72</w:t>
            </w:r>
          </w:p>
        </w:tc>
        <w:tc>
          <w:tcPr>
            <w:tcW w:w="620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504">
              <w:r>
                <w:rPr>
                  <w:rFonts w:ascii="Times New Roman" w:cs="Times New Roman" w:eastAsia="Times New Roman" w:hAnsi="Times New Roman"/>
                  <w:sz w:val="12"/>
                  <w:szCs w:val="12"/>
                  <w:color w:val="0000EE"/>
                  <w:w w:val="99"/>
                </w:rPr>
                <w:t>Consent under Securities Purchase Agreement and Tranche B Senior Secured Convertible Note, dated December 9, 2024, by and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4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504">
              <w:r>
                <w:rPr>
                  <w:rFonts w:ascii="Times New Roman" w:cs="Times New Roman" w:eastAsia="Times New Roman" w:hAnsi="Times New Roman"/>
                  <w:sz w:val="12"/>
                  <w:szCs w:val="12"/>
                  <w:color w:val="0000EE"/>
                  <w:w w:val="99"/>
                </w:rPr>
                <w:t>among Scilex Holding Company, Oramed Pharmaceuticals Inc., SCLX Stock Acquisition JV LLC and Acquiom Agency Services</w:t>
              </w:r>
            </w:hyperlink>
          </w:p>
        </w:tc>
        <w:tc>
          <w:tcPr>
            <w:tcW w:w="1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8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rPr>
            </w:pPr>
            <w:hyperlink r:id="rId504">
              <w:r>
                <w:rPr>
                  <w:rFonts w:ascii="Times New Roman" w:cs="Times New Roman" w:eastAsia="Times New Roman" w:hAnsi="Times New Roman"/>
                  <w:sz w:val="12"/>
                  <w:szCs w:val="12"/>
                  <w:color w:val="0000EE"/>
                </w:rPr>
                <w:t>LLC (incorporated by reference to Exhibit 10.3 of our Current Report on Form 8-K (File No. 001-39852), filed with the SEC on</w:t>
              </w:r>
            </w:hyperlink>
          </w:p>
        </w:tc>
        <w:tc>
          <w:tcPr>
            <w:tcW w:w="2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504">
              <w:r>
                <w:rPr>
                  <w:rFonts w:ascii="Times New Roman" w:cs="Times New Roman" w:eastAsia="Times New Roman" w:hAnsi="Times New Roman"/>
                  <w:sz w:val="12"/>
                  <w:szCs w:val="12"/>
                  <w:color w:val="0000EE"/>
                </w:rPr>
                <w:t>December 10,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10.73</w:t>
            </w:r>
          </w:p>
        </w:tc>
        <w:tc>
          <w:tcPr>
            <w:tcW w:w="6200" w:type="dxa"/>
            <w:vAlign w:val="bottom"/>
            <w:tcBorders>
              <w:bottom w:val="single" w:sz="8" w:color="0000EE"/>
            </w:tcBorders>
            <w:gridSpan w:val="16"/>
          </w:tcPr>
          <w:p>
            <w:pPr>
              <w:spacing w:after="0"/>
              <w:rPr>
                <w:rFonts w:ascii="Times New Roman" w:cs="Times New Roman" w:eastAsia="Times New Roman" w:hAnsi="Times New Roman"/>
                <w:sz w:val="12"/>
                <w:szCs w:val="12"/>
                <w:color w:val="0000EE"/>
                <w:w w:val="99"/>
              </w:rPr>
            </w:pPr>
            <w:hyperlink r:id="rId505">
              <w:r>
                <w:rPr>
                  <w:rFonts w:ascii="Times New Roman" w:cs="Times New Roman" w:eastAsia="Times New Roman" w:hAnsi="Times New Roman"/>
                  <w:sz w:val="12"/>
                  <w:szCs w:val="12"/>
                  <w:color w:val="0000EE"/>
                  <w:w w:val="99"/>
                </w:rPr>
                <w:t>Consent under Securities Purchase Agreement and Tranche B Senior Secured Convertible Note, dated December 9, 2024, by and</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505">
              <w:r>
                <w:rPr>
                  <w:rFonts w:ascii="Times New Roman" w:cs="Times New Roman" w:eastAsia="Times New Roman" w:hAnsi="Times New Roman"/>
                  <w:sz w:val="12"/>
                  <w:szCs w:val="12"/>
                  <w:color w:val="0000EE"/>
                </w:rPr>
                <w:t>among Scilex Holding Company, 3i, LP, SCLX Stock Acquisition JV LLC and Acquiom Agency Services LLC (incorporated by</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120" w:type="dxa"/>
            <w:vAlign w:val="bottom"/>
            <w:tcBorders>
              <w:top w:val="single" w:sz="8" w:color="0000EE"/>
              <w:bottom w:val="single" w:sz="8" w:color="0000EE"/>
            </w:tcBorders>
            <w:gridSpan w:val="12"/>
          </w:tcPr>
          <w:p>
            <w:pPr>
              <w:spacing w:after="0" w:line="124" w:lineRule="exact"/>
              <w:rPr>
                <w:rFonts w:ascii="Times New Roman" w:cs="Times New Roman" w:eastAsia="Times New Roman" w:hAnsi="Times New Roman"/>
                <w:sz w:val="12"/>
                <w:szCs w:val="12"/>
                <w:color w:val="0000EE"/>
                <w:w w:val="99"/>
              </w:rPr>
            </w:pPr>
            <w:hyperlink r:id="rId505">
              <w:r>
                <w:rPr>
                  <w:rFonts w:ascii="Times New Roman" w:cs="Times New Roman" w:eastAsia="Times New Roman" w:hAnsi="Times New Roman"/>
                  <w:sz w:val="12"/>
                  <w:szCs w:val="12"/>
                  <w:color w:val="0000EE"/>
                  <w:w w:val="99"/>
                </w:rPr>
                <w:t>reference to Exhibit 10.4 of our Current Report on Form 8-K (File No. 001-39852), filed with the SEC on December 10, 2024).</w:t>
              </w:r>
            </w:hyperlink>
          </w:p>
        </w:tc>
        <w:tc>
          <w:tcPr>
            <w:tcW w:w="60" w:type="dxa"/>
            <w:vAlign w:val="bottom"/>
            <w:tcBorders>
              <w:top w:val="single" w:sz="8" w:color="0000EE"/>
            </w:tcBorders>
            <w:gridSpan w:val="3"/>
          </w:tcPr>
          <w:p>
            <w:pPr>
              <w:spacing w:after="0"/>
              <w:rPr>
                <w:sz w:val="10"/>
                <w:szCs w:val="10"/>
                <w:color w:val="auto"/>
              </w:rPr>
            </w:pPr>
          </w:p>
        </w:tc>
        <w:tc>
          <w:tcPr>
            <w:tcW w:w="20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10.74</w:t>
            </w:r>
          </w:p>
        </w:tc>
        <w:tc>
          <w:tcPr>
            <w:tcW w:w="6260" w:type="dxa"/>
            <w:vAlign w:val="bottom"/>
            <w:tcBorders>
              <w:bottom w:val="single" w:sz="8" w:color="0000EE"/>
            </w:tcBorders>
            <w:gridSpan w:val="18"/>
          </w:tcPr>
          <w:p>
            <w:pPr>
              <w:spacing w:after="0"/>
              <w:rPr>
                <w:rFonts w:ascii="Times New Roman" w:cs="Times New Roman" w:eastAsia="Times New Roman" w:hAnsi="Times New Roman"/>
                <w:sz w:val="12"/>
                <w:szCs w:val="12"/>
                <w:color w:val="0000EE"/>
                <w:w w:val="99"/>
              </w:rPr>
            </w:pPr>
            <w:hyperlink r:id="rId506">
              <w:r>
                <w:rPr>
                  <w:rFonts w:ascii="Times New Roman" w:cs="Times New Roman" w:eastAsia="Times New Roman" w:hAnsi="Times New Roman"/>
                  <w:sz w:val="12"/>
                  <w:szCs w:val="12"/>
                  <w:color w:val="0000EE"/>
                  <w:w w:val="99"/>
                </w:rPr>
                <w:t>Form of Securities Purchase Agreement, dated December 11, 2024, by and between the Company and the purchasers party thereto</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960" w:type="dxa"/>
            <w:vAlign w:val="bottom"/>
            <w:tcBorders>
              <w:bottom w:val="single" w:sz="8" w:color="0000EE"/>
            </w:tcBorders>
            <w:gridSpan w:val="11"/>
          </w:tcPr>
          <w:p>
            <w:pPr>
              <w:spacing w:after="0" w:line="124" w:lineRule="exact"/>
              <w:rPr>
                <w:rFonts w:ascii="Times New Roman" w:cs="Times New Roman" w:eastAsia="Times New Roman" w:hAnsi="Times New Roman"/>
                <w:sz w:val="12"/>
                <w:szCs w:val="12"/>
                <w:color w:val="0000EE"/>
              </w:rPr>
            </w:pPr>
            <w:hyperlink r:id="rId506">
              <w:r>
                <w:rPr>
                  <w:rFonts w:ascii="Times New Roman" w:cs="Times New Roman" w:eastAsia="Times New Roman" w:hAnsi="Times New Roman"/>
                  <w:sz w:val="12"/>
                  <w:szCs w:val="12"/>
                  <w:color w:val="0000EE"/>
                </w:rPr>
                <w:t>(incorporated by reference to Exhibit 10.1 of our Current Report on Form 8-K (File No. 001-39852), filed with the SEC on</w:t>
              </w:r>
            </w:hyperlink>
          </w:p>
        </w:tc>
        <w:tc>
          <w:tcPr>
            <w:tcW w:w="42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80" w:type="dxa"/>
            <w:vAlign w:val="bottom"/>
            <w:gridSpan w:val="22"/>
          </w:tcPr>
          <w:p>
            <w:pPr>
              <w:spacing w:after="0" w:line="124" w:lineRule="exact"/>
              <w:rPr>
                <w:rFonts w:ascii="Times New Roman" w:cs="Times New Roman" w:eastAsia="Times New Roman" w:hAnsi="Times New Roman"/>
                <w:sz w:val="12"/>
                <w:szCs w:val="12"/>
                <w:color w:val="0000EE"/>
              </w:rPr>
            </w:pPr>
            <w:hyperlink r:id="rId506">
              <w:r>
                <w:rPr>
                  <w:rFonts w:ascii="Times New Roman" w:cs="Times New Roman" w:eastAsia="Times New Roman" w:hAnsi="Times New Roman"/>
                  <w:sz w:val="12"/>
                  <w:szCs w:val="12"/>
                  <w:color w:val="0000EE"/>
                </w:rPr>
                <w:t>December 13, 2024).</w:t>
              </w:r>
            </w:hyperlink>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10.75#+</w:t>
            </w:r>
          </w:p>
        </w:tc>
        <w:tc>
          <w:tcPr>
            <w:tcW w:w="61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2"/>
                <w:szCs w:val="12"/>
                <w:color w:val="0000EE"/>
                <w:w w:val="99"/>
              </w:rPr>
              <w:t>Consent under Securities Purchase Agreement and Senior Secured Promissory Note, dated April 16, 2025, by and among Scilex</w:t>
            </w: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16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Holding Company, Oramed Pharmaceuticals Inc. and Acquiom Agency Services LLC.</w:t>
            </w:r>
          </w:p>
        </w:tc>
        <w:tc>
          <w:tcPr>
            <w:tcW w:w="222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10.76#+</w:t>
            </w:r>
          </w:p>
        </w:tc>
        <w:tc>
          <w:tcPr>
            <w:tcW w:w="638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w w:val="99"/>
              </w:rPr>
              <w:t>Consent under Securities Purchase Agreement and Tranche B Senior Secured Convertible Note, dated April 16, 2025, by and among</w:t>
            </w: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520" w:type="dxa"/>
            <w:vAlign w:val="bottom"/>
            <w:tcBorders>
              <w:top w:val="single" w:sz="8" w:color="0000EE"/>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Scilex Holding Company, Nomis Bay Ltd, BPY Limited and Acquiom Agency Services LLC.</w:t>
            </w:r>
          </w:p>
        </w:tc>
        <w:tc>
          <w:tcPr>
            <w:tcW w:w="1840" w:type="dxa"/>
            <w:vAlign w:val="bottom"/>
            <w:tcBorders>
              <w:top w:val="single" w:sz="8" w:color="0000EE"/>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10.77#+</w:t>
            </w:r>
          </w:p>
        </w:tc>
        <w:tc>
          <w:tcPr>
            <w:tcW w:w="638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w w:val="99"/>
              </w:rPr>
              <w:t>Consent under Securities Purchase Agreement and Tranche B Senior Secured Convertible Note, dated April 16, 2025, by and among</w:t>
            </w: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60" w:type="dxa"/>
            <w:vAlign w:val="bottom"/>
            <w:tcBorders>
              <w:top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rPr>
              <w:t>Scilex Holding Company, Oramed Pharmaceuticals Inc. and Acquiom Agency Services LLC.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10.78#+</w:t>
            </w:r>
          </w:p>
        </w:tc>
        <w:tc>
          <w:tcPr>
            <w:tcW w:w="638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w w:val="99"/>
              </w:rPr>
              <w:t>Consent under Securities Purchase Agreement and Tranche B Senior Secured Convertible Note, dated April 16, 2025, by and among</w:t>
            </w:r>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360" w:type="dxa"/>
            <w:vAlign w:val="bottom"/>
            <w:tcBorders>
              <w:top w:val="single" w:sz="8" w:color="0000EE"/>
            </w:tcBorders>
            <w:gridSpan w:val="21"/>
          </w:tcPr>
          <w:p>
            <w:pPr>
              <w:spacing w:after="0" w:line="124" w:lineRule="exact"/>
              <w:rPr>
                <w:sz w:val="20"/>
                <w:szCs w:val="20"/>
                <w:color w:val="auto"/>
              </w:rPr>
            </w:pPr>
            <w:r>
              <w:rPr>
                <w:rFonts w:ascii="Times New Roman" w:cs="Times New Roman" w:eastAsia="Times New Roman" w:hAnsi="Times New Roman"/>
                <w:sz w:val="12"/>
                <w:szCs w:val="12"/>
                <w:color w:val="0000EE"/>
              </w:rPr>
              <w:t>Scilex Holding Company, 3i, LP and Acquiom Agency Services LLC.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78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19.1</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507">
              <w:r>
                <w:rPr>
                  <w:rFonts w:ascii="Times New Roman" w:cs="Times New Roman" w:eastAsia="Times New Roman" w:hAnsi="Times New Roman"/>
                  <w:sz w:val="12"/>
                  <w:szCs w:val="12"/>
                  <w:color w:val="0000EE"/>
                </w:rPr>
                <w:t>Scilex Holding Company Insider Trading Policy (incorporated by reference to Exhibit 19.1 of our Annual Report on Form 10-K</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980" w:type="dxa"/>
            <w:vAlign w:val="bottom"/>
            <w:tcBorders>
              <w:top w:val="single" w:sz="8" w:color="0000EE"/>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507">
              <w:r>
                <w:rPr>
                  <w:rFonts w:ascii="Times New Roman" w:cs="Times New Roman" w:eastAsia="Times New Roman" w:hAnsi="Times New Roman"/>
                  <w:sz w:val="12"/>
                  <w:szCs w:val="12"/>
                  <w:color w:val="0000EE"/>
                  <w:w w:val="99"/>
                </w:rPr>
                <w:t>(File No. 001-39852), filed with the SEC on March 12, 2024).</w:t>
              </w:r>
            </w:hyperlink>
          </w:p>
        </w:tc>
        <w:tc>
          <w:tcPr>
            <w:tcW w:w="3160" w:type="dxa"/>
            <w:vAlign w:val="bottom"/>
            <w:tcBorders>
              <w:top w:val="single" w:sz="8" w:color="0000EE"/>
            </w:tcBorders>
            <w:gridSpan w:val="8"/>
          </w:tcPr>
          <w:p>
            <w:pPr>
              <w:spacing w:after="0"/>
              <w:rPr>
                <w:sz w:val="10"/>
                <w:szCs w:val="10"/>
                <w:color w:val="auto"/>
              </w:rPr>
            </w:pPr>
          </w:p>
        </w:tc>
        <w:tc>
          <w:tcPr>
            <w:tcW w:w="2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21.1</w:t>
            </w:r>
          </w:p>
        </w:tc>
        <w:tc>
          <w:tcPr>
            <w:tcW w:w="6380" w:type="dxa"/>
            <w:vAlign w:val="bottom"/>
            <w:gridSpan w:val="22"/>
          </w:tcPr>
          <w:p>
            <w:pPr>
              <w:spacing w:after="0"/>
              <w:rPr>
                <w:rFonts w:ascii="Times New Roman" w:cs="Times New Roman" w:eastAsia="Times New Roman" w:hAnsi="Times New Roman"/>
                <w:sz w:val="12"/>
                <w:szCs w:val="12"/>
                <w:color w:val="0000EE"/>
              </w:rPr>
            </w:pPr>
            <w:hyperlink r:id="rId508">
              <w:r>
                <w:rPr>
                  <w:rFonts w:ascii="Times New Roman" w:cs="Times New Roman" w:eastAsia="Times New Roman" w:hAnsi="Times New Roman"/>
                  <w:sz w:val="12"/>
                  <w:szCs w:val="12"/>
                  <w:color w:val="0000EE"/>
                </w:rPr>
                <w:t>List of Subsidiaries of the Registrant (incorporated by reference to Exhibit 21.1 of our Form S-1 (File No. 333-275117), filed with</w:t>
              </w:r>
            </w:hyperlink>
          </w:p>
        </w:tc>
        <w:tc>
          <w:tcPr>
            <w:tcW w:w="0" w:type="dxa"/>
            <w:vAlign w:val="bottom"/>
          </w:tcPr>
          <w:p>
            <w:pPr>
              <w:spacing w:after="0"/>
              <w:rPr>
                <w:sz w:val="1"/>
                <w:szCs w:val="1"/>
                <w:color w:val="auto"/>
              </w:rPr>
            </w:pPr>
          </w:p>
        </w:tc>
      </w:tr>
      <w:tr>
        <w:trPr>
          <w:trHeight w:val="124"/>
        </w:trPr>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80" w:type="dxa"/>
            <w:vAlign w:val="bottom"/>
            <w:tcBorders>
              <w:top w:val="single" w:sz="8" w:color="0000EE"/>
              <w:bottom w:val="single" w:sz="8" w:color="0000EE"/>
            </w:tcBorders>
            <w:gridSpan w:val="3"/>
          </w:tcPr>
          <w:p>
            <w:pPr>
              <w:spacing w:after="0" w:line="124" w:lineRule="exact"/>
              <w:rPr>
                <w:rFonts w:ascii="Times New Roman" w:cs="Times New Roman" w:eastAsia="Times New Roman" w:hAnsi="Times New Roman"/>
                <w:sz w:val="12"/>
                <w:szCs w:val="12"/>
                <w:color w:val="0000EE"/>
                <w:w w:val="98"/>
              </w:rPr>
            </w:pPr>
            <w:hyperlink r:id="rId508">
              <w:r>
                <w:rPr>
                  <w:rFonts w:ascii="Times New Roman" w:cs="Times New Roman" w:eastAsia="Times New Roman" w:hAnsi="Times New Roman"/>
                  <w:sz w:val="12"/>
                  <w:szCs w:val="12"/>
                  <w:color w:val="0000EE"/>
                  <w:w w:val="98"/>
                </w:rPr>
                <w:t>the SEC on October 20, 2023).</w:t>
              </w:r>
            </w:hyperlink>
          </w:p>
        </w:tc>
        <w:tc>
          <w:tcPr>
            <w:tcW w:w="4760" w:type="dxa"/>
            <w:vAlign w:val="bottom"/>
            <w:tcBorders>
              <w:top w:val="single" w:sz="8" w:color="0000EE"/>
            </w:tcBorders>
            <w:gridSpan w:val="14"/>
          </w:tcPr>
          <w:p>
            <w:pPr>
              <w:spacing w:after="0"/>
              <w:rPr>
                <w:sz w:val="10"/>
                <w:szCs w:val="10"/>
                <w:color w:val="auto"/>
              </w:rPr>
            </w:pPr>
          </w:p>
        </w:tc>
        <w:tc>
          <w:tcPr>
            <w:tcW w:w="1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23.1+</w:t>
            </w:r>
          </w:p>
        </w:tc>
        <w:tc>
          <w:tcPr>
            <w:tcW w:w="3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8"/>
              </w:rPr>
              <w:t>Consent of BPM LLP, independent registered public accounting firm.</w:t>
            </w:r>
          </w:p>
        </w:tc>
        <w:tc>
          <w:tcPr>
            <w:tcW w:w="3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23.2</w:t>
            </w:r>
            <w:r>
              <w:rPr>
                <w:rFonts w:ascii="Times New Roman" w:cs="Times New Roman" w:eastAsia="Times New Roman" w:hAnsi="Times New Roman"/>
                <w:sz w:val="7"/>
                <w:szCs w:val="7"/>
                <w:color w:val="auto"/>
              </w:rPr>
              <w:t>†</w:t>
            </w:r>
          </w:p>
        </w:tc>
        <w:tc>
          <w:tcPr>
            <w:tcW w:w="6380" w:type="dxa"/>
            <w:vAlign w:val="bottom"/>
            <w:gridSpan w:val="22"/>
          </w:tcPr>
          <w:p>
            <w:pPr>
              <w:spacing w:after="0"/>
              <w:rPr>
                <w:sz w:val="20"/>
                <w:szCs w:val="20"/>
                <w:color w:val="auto"/>
              </w:rPr>
            </w:pPr>
            <w:r>
              <w:rPr>
                <w:rFonts w:ascii="Times New Roman" w:cs="Times New Roman" w:eastAsia="Times New Roman" w:hAnsi="Times New Roman"/>
                <w:sz w:val="12"/>
                <w:szCs w:val="12"/>
                <w:color w:val="auto"/>
              </w:rPr>
              <w:t>Consent of Paul Hastings LLP (including in Exhibit 5.1)</w:t>
            </w:r>
          </w:p>
        </w:tc>
        <w:tc>
          <w:tcPr>
            <w:tcW w:w="0" w:type="dxa"/>
            <w:vAlign w:val="bottom"/>
          </w:tcPr>
          <w:p>
            <w:pPr>
              <w:spacing w:after="0"/>
              <w:rPr>
                <w:sz w:val="1"/>
                <w:szCs w:val="1"/>
                <w:color w:val="auto"/>
              </w:rPr>
            </w:pPr>
          </w:p>
        </w:tc>
      </w:tr>
      <w:tr>
        <w:trPr>
          <w:trHeight w:val="189"/>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24.1</w:t>
            </w:r>
          </w:p>
        </w:tc>
        <w:tc>
          <w:tcPr>
            <w:tcW w:w="6380" w:type="dxa"/>
            <w:vAlign w:val="bottom"/>
            <w:gridSpan w:val="22"/>
          </w:tcPr>
          <w:p>
            <w:pPr>
              <w:spacing w:after="0"/>
              <w:rPr>
                <w:sz w:val="20"/>
                <w:szCs w:val="20"/>
                <w:color w:val="auto"/>
              </w:rPr>
            </w:pPr>
            <w:r>
              <w:rPr>
                <w:rFonts w:ascii="Times New Roman" w:cs="Times New Roman" w:eastAsia="Times New Roman" w:hAnsi="Times New Roman"/>
                <w:sz w:val="12"/>
                <w:szCs w:val="12"/>
                <w:color w:val="0000EE"/>
              </w:rPr>
              <w:t>Power of Attorney (included on the signature page hereto).</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900" w:type="dxa"/>
            <w:vAlign w:val="bottom"/>
            <w:gridSpan w:val="19"/>
          </w:tcPr>
          <w:p>
            <w:pPr>
              <w:ind w:left="1100"/>
              <w:spacing w:after="0"/>
              <w:rPr>
                <w:sz w:val="20"/>
                <w:szCs w:val="20"/>
                <w:color w:val="auto"/>
              </w:rPr>
            </w:pPr>
            <w:r>
              <w:rPr>
                <w:rFonts w:ascii="Times New Roman" w:cs="Times New Roman" w:eastAsia="Times New Roman" w:hAnsi="Times New Roman"/>
                <w:sz w:val="12"/>
                <w:szCs w:val="12"/>
                <w:color w:val="auto"/>
              </w:rPr>
              <w:t>II-12</w:t>
            </w: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9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800" w:type="dxa"/>
            <w:vAlign w:val="bottom"/>
          </w:tcPr>
          <w:p>
            <w:pPr>
              <w:spacing w:after="0"/>
              <w:rPr>
                <w:sz w:val="10"/>
                <w:szCs w:val="10"/>
                <w:color w:val="auto"/>
              </w:rPr>
            </w:pPr>
          </w:p>
        </w:tc>
        <w:tc>
          <w:tcPr>
            <w:tcW w:w="5580" w:type="dxa"/>
            <w:vAlign w:val="bottom"/>
            <w:vMerge w:val="restart"/>
          </w:tcPr>
          <w:p>
            <w:pPr>
              <w:ind w:left="21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101.INS+</w:t>
            </w: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Inline XBRL Instance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101.SCH+</w:t>
            </w: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101.CAL+</w:t>
            </w: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101.DEF+</w:t>
            </w: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101.LAB+</w:t>
            </w: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Inline XBRL Taxonomy Extension Labels Linkbase Document.</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101.PRE+</w:t>
            </w: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3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rPr>
              <w:t>107+</w:t>
            </w:r>
          </w:p>
        </w:tc>
        <w:tc>
          <w:tcPr>
            <w:tcW w:w="30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Filing Fee Table.</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68580</wp:posOffset>
            </wp:positionV>
            <wp:extent cx="51435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1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3" w:lineRule="exact"/>
        <w:rPr>
          <w:sz w:val="20"/>
          <w:szCs w:val="20"/>
          <w:color w:val="auto"/>
        </w:rPr>
      </w:pPr>
    </w:p>
    <w:p>
      <w:pPr>
        <w:ind w:left="2260" w:hanging="288"/>
        <w:spacing w:after="0"/>
        <w:tabs>
          <w:tab w:leader="none" w:pos="226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7" w:lineRule="exact"/>
        <w:rPr>
          <w:sz w:val="20"/>
          <w:szCs w:val="20"/>
          <w:color w:val="auto"/>
        </w:rPr>
      </w:pPr>
    </w:p>
    <w:p>
      <w:pPr>
        <w:ind w:left="2260" w:hanging="288"/>
        <w:spacing w:after="0"/>
        <w:tabs>
          <w:tab w:leader="none" w:pos="226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management contract or compensatory plan or arrangement.</w:t>
      </w:r>
    </w:p>
    <w:p>
      <w:pPr>
        <w:spacing w:after="0" w:line="6" w:lineRule="exact"/>
        <w:rPr>
          <w:sz w:val="20"/>
          <w:szCs w:val="20"/>
          <w:color w:val="auto"/>
        </w:rPr>
      </w:pPr>
    </w:p>
    <w:p>
      <w:pPr>
        <w:ind w:left="2260" w:right="979" w:hanging="288"/>
        <w:spacing w:after="0" w:line="250" w:lineRule="auto"/>
        <w:tabs>
          <w:tab w:leader="none" w:pos="2260"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identified information has been omitted pursuant to Item 601(b)(10) of Regulation S-K because such information is both (i) not material and (ii) information that the Registrant treats as private or confidential. The Registrant hereby undertakes to furnish supplemental copies of the unredacted exhibit upon request by the SEC.</w:t>
      </w:r>
    </w:p>
    <w:p>
      <w:pPr>
        <w:spacing w:after="0" w:line="1" w:lineRule="exact"/>
        <w:rPr>
          <w:sz w:val="20"/>
          <w:szCs w:val="20"/>
          <w:color w:val="auto"/>
        </w:rPr>
      </w:pPr>
    </w:p>
    <w:p>
      <w:pPr>
        <w:ind w:left="2260" w:right="1099" w:hanging="288"/>
        <w:spacing w:after="0" w:line="250" w:lineRule="auto"/>
        <w:tabs>
          <w:tab w:leader="none" w:pos="226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1" w:lineRule="exact"/>
        <w:rPr>
          <w:sz w:val="20"/>
          <w:szCs w:val="20"/>
          <w:color w:val="auto"/>
        </w:rPr>
      </w:pPr>
    </w:p>
    <w:p>
      <w:pPr>
        <w:ind w:left="2260" w:hanging="288"/>
        <w:spacing w:after="0"/>
        <w:tabs>
          <w:tab w:leader="none" w:pos="2260"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filed.</w:t>
      </w:r>
    </w:p>
    <w:p>
      <w:pPr>
        <w:spacing w:after="0" w:line="2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2"/>
          <w:szCs w:val="12"/>
          <w:b w:val="1"/>
          <w:bCs w:val="1"/>
          <w:color w:val="auto"/>
        </w:rPr>
        <w:t>Item 17. Undertakings.</w:t>
      </w:r>
    </w:p>
    <w:p>
      <w:pPr>
        <w:spacing w:after="0" w:line="8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2"/>
          <w:szCs w:val="12"/>
          <w:color w:val="auto"/>
        </w:rPr>
        <w:t>The undersigned registrant hereby undertakes:</w:t>
      </w:r>
    </w:p>
    <w:p>
      <w:pPr>
        <w:spacing w:after="0" w:line="87" w:lineRule="exact"/>
        <w:rPr>
          <w:sz w:val="20"/>
          <w:szCs w:val="20"/>
          <w:color w:val="auto"/>
        </w:rPr>
      </w:pPr>
    </w:p>
    <w:p>
      <w:pPr>
        <w:ind w:left="2620" w:hanging="360"/>
        <w:spacing w:after="0"/>
        <w:tabs>
          <w:tab w:leader="none" w:pos="2620"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during any period in which offers or sales are being made, a post-effective amendment to this registration statement:</w:t>
      </w:r>
    </w:p>
    <w:p>
      <w:pPr>
        <w:spacing w:after="0" w:line="87" w:lineRule="exact"/>
        <w:rPr>
          <w:rFonts w:ascii="Times New Roman" w:cs="Times New Roman" w:eastAsia="Times New Roman" w:hAnsi="Times New Roman"/>
          <w:sz w:val="12"/>
          <w:szCs w:val="12"/>
          <w:color w:val="auto"/>
        </w:rPr>
      </w:pPr>
    </w:p>
    <w:p>
      <w:pPr>
        <w:ind w:left="2920" w:hanging="291"/>
        <w:spacing w:after="0"/>
        <w:tabs>
          <w:tab w:leader="none" w:pos="2920"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prospectus required by Section 10(a)(3) of the Securities Act of 1933, as amended (the “Securities Act”);</w:t>
      </w:r>
    </w:p>
    <w:p>
      <w:pPr>
        <w:spacing w:after="0" w:line="87" w:lineRule="exact"/>
        <w:rPr>
          <w:rFonts w:ascii="Times New Roman" w:cs="Times New Roman" w:eastAsia="Times New Roman" w:hAnsi="Times New Roman"/>
          <w:sz w:val="12"/>
          <w:szCs w:val="12"/>
          <w:color w:val="auto"/>
        </w:rPr>
      </w:pPr>
    </w:p>
    <w:p>
      <w:pPr>
        <w:ind w:left="2920" w:right="899" w:hanging="291"/>
        <w:spacing w:after="0" w:line="282" w:lineRule="auto"/>
        <w:tabs>
          <w:tab w:leader="none" w:pos="2920" w:val="left"/>
        </w:tabs>
        <w:numPr>
          <w:ilvl w:val="1"/>
          <w:numId w:val="1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48" w:lineRule="exact"/>
        <w:rPr>
          <w:rFonts w:ascii="Times New Roman" w:cs="Times New Roman" w:eastAsia="Times New Roman" w:hAnsi="Times New Roman"/>
          <w:sz w:val="11"/>
          <w:szCs w:val="11"/>
          <w:color w:val="auto"/>
        </w:rPr>
      </w:pPr>
    </w:p>
    <w:p>
      <w:pPr>
        <w:ind w:left="2920" w:right="959" w:hanging="291"/>
        <w:spacing w:after="0" w:line="279" w:lineRule="auto"/>
        <w:tabs>
          <w:tab w:leader="none" w:pos="2920"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37" w:lineRule="exact"/>
        <w:rPr>
          <w:rFonts w:ascii="Times New Roman" w:cs="Times New Roman" w:eastAsia="Times New Roman" w:hAnsi="Times New Roman"/>
          <w:sz w:val="12"/>
          <w:szCs w:val="12"/>
          <w:color w:val="auto"/>
        </w:rPr>
      </w:pPr>
    </w:p>
    <w:p>
      <w:pPr>
        <w:ind w:left="2920" w:right="859"/>
        <w:spacing w:after="0" w:line="26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provided, however</w:t>
      </w:r>
      <w:r>
        <w:rPr>
          <w:rFonts w:ascii="Times New Roman" w:cs="Times New Roman" w:eastAsia="Times New Roman" w:hAnsi="Times New Roman"/>
          <w:sz w:val="12"/>
          <w:szCs w:val="12"/>
          <w:color w:val="auto"/>
        </w:rPr>
        <w:t>, that: Paragraphs (1)(i), (1)(ii) and (1)(iii) of this section do not apply if the information required to be included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w:t>
      </w:r>
    </w:p>
    <w:p>
      <w:pPr>
        <w:spacing w:after="0" w:line="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2"/>
          <w:szCs w:val="12"/>
          <w:color w:val="auto"/>
        </w:rPr>
        <w:t>II-13</w:t>
      </w:r>
    </w:p>
    <w:p>
      <w:pPr>
        <w:sectPr>
          <w:pgSz w:w="11900" w:h="16838" w:orient="portrait"/>
          <w:cols w:equalWidth="0" w:num="1">
            <w:col w:w="10159"/>
          </w:cols>
          <w:pgMar w:left="300" w:top="368" w:right="1440"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11">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7" w:lineRule="exact"/>
        <w:rPr>
          <w:sz w:val="20"/>
          <w:szCs w:val="20"/>
          <w:color w:val="auto"/>
        </w:rPr>
      </w:pPr>
    </w:p>
    <w:p>
      <w:pPr>
        <w:ind w:left="2620" w:right="859" w:hanging="360"/>
        <w:spacing w:after="0" w:line="265" w:lineRule="auto"/>
        <w:tabs>
          <w:tab w:leader="none" w:pos="262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5" w:lineRule="exact"/>
        <w:rPr>
          <w:rFonts w:ascii="Times New Roman" w:cs="Times New Roman" w:eastAsia="Times New Roman" w:hAnsi="Times New Roman"/>
          <w:sz w:val="12"/>
          <w:szCs w:val="12"/>
          <w:color w:val="auto"/>
        </w:rPr>
      </w:pPr>
    </w:p>
    <w:p>
      <w:pPr>
        <w:ind w:left="2620" w:right="1079" w:hanging="360"/>
        <w:spacing w:after="0" w:line="279" w:lineRule="auto"/>
        <w:tabs>
          <w:tab w:leader="none" w:pos="262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remove from registration by means of a post-effective amendment any of the securities being registered which remain unsold at the termination of the offering.</w:t>
      </w:r>
    </w:p>
    <w:p>
      <w:pPr>
        <w:spacing w:after="0" w:line="48" w:lineRule="exact"/>
        <w:rPr>
          <w:rFonts w:ascii="Times New Roman" w:cs="Times New Roman" w:eastAsia="Times New Roman" w:hAnsi="Times New Roman"/>
          <w:sz w:val="12"/>
          <w:szCs w:val="12"/>
          <w:color w:val="auto"/>
        </w:rPr>
      </w:pPr>
    </w:p>
    <w:p>
      <w:pPr>
        <w:ind w:left="2620" w:right="879" w:hanging="360"/>
        <w:spacing w:after="0" w:line="254" w:lineRule="auto"/>
        <w:tabs>
          <w:tab w:leader="none" w:pos="262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4" w:lineRule="exact"/>
        <w:rPr>
          <w:rFonts w:ascii="Times New Roman" w:cs="Times New Roman" w:eastAsia="Times New Roman" w:hAnsi="Times New Roman"/>
          <w:sz w:val="12"/>
          <w:szCs w:val="12"/>
          <w:color w:val="auto"/>
        </w:rPr>
      </w:pPr>
    </w:p>
    <w:p>
      <w:pPr>
        <w:ind w:left="2620" w:right="859" w:hanging="360"/>
        <w:spacing w:after="0" w:line="257" w:lineRule="auto"/>
        <w:tabs>
          <w:tab w:leader="none" w:pos="262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2" w:lineRule="exact"/>
        <w:rPr>
          <w:rFonts w:ascii="Times New Roman" w:cs="Times New Roman" w:eastAsia="Times New Roman" w:hAnsi="Times New Roman"/>
          <w:sz w:val="12"/>
          <w:szCs w:val="12"/>
          <w:color w:val="auto"/>
        </w:rPr>
      </w:pPr>
    </w:p>
    <w:p>
      <w:pPr>
        <w:ind w:left="2920" w:right="939" w:hanging="291"/>
        <w:spacing w:after="0" w:line="279" w:lineRule="auto"/>
        <w:tabs>
          <w:tab w:leader="none" w:pos="2920"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preliminary prospectus or prospectus of the undersigned registrant relating to the offering required to be filed pursuant to Rule 424;</w:t>
      </w:r>
    </w:p>
    <w:p>
      <w:pPr>
        <w:spacing w:after="0" w:line="48" w:lineRule="exact"/>
        <w:rPr>
          <w:rFonts w:ascii="Times New Roman" w:cs="Times New Roman" w:eastAsia="Times New Roman" w:hAnsi="Times New Roman"/>
          <w:sz w:val="12"/>
          <w:szCs w:val="12"/>
          <w:color w:val="auto"/>
        </w:rPr>
      </w:pPr>
    </w:p>
    <w:p>
      <w:pPr>
        <w:ind w:left="2920" w:right="979" w:hanging="291"/>
        <w:spacing w:after="0" w:line="279" w:lineRule="auto"/>
        <w:tabs>
          <w:tab w:leader="none" w:pos="2920"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free writing prospectus relating to the offering prepared by or on behalf of the undersigned registrant or used or referred to by the undersigned registrant;</w:t>
      </w:r>
    </w:p>
    <w:p>
      <w:pPr>
        <w:spacing w:after="0" w:line="48" w:lineRule="exact"/>
        <w:rPr>
          <w:rFonts w:ascii="Times New Roman" w:cs="Times New Roman" w:eastAsia="Times New Roman" w:hAnsi="Times New Roman"/>
          <w:sz w:val="12"/>
          <w:szCs w:val="12"/>
          <w:color w:val="auto"/>
        </w:rPr>
      </w:pPr>
    </w:p>
    <w:p>
      <w:pPr>
        <w:ind w:left="2920" w:right="1179" w:hanging="291"/>
        <w:spacing w:after="0" w:line="279" w:lineRule="auto"/>
        <w:tabs>
          <w:tab w:leader="none" w:pos="2920"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other free writing prospectus relating to the offering containing material information about the undersigned registrant or its securities provided by or on behalf of the undersigned registrant; and</w:t>
      </w:r>
    </w:p>
    <w:p>
      <w:pPr>
        <w:spacing w:after="0" w:line="48" w:lineRule="exact"/>
        <w:rPr>
          <w:rFonts w:ascii="Times New Roman" w:cs="Times New Roman" w:eastAsia="Times New Roman" w:hAnsi="Times New Roman"/>
          <w:sz w:val="12"/>
          <w:szCs w:val="12"/>
          <w:color w:val="auto"/>
        </w:rPr>
      </w:pPr>
    </w:p>
    <w:p>
      <w:pPr>
        <w:ind w:left="2920" w:hanging="291"/>
        <w:spacing w:after="0"/>
        <w:tabs>
          <w:tab w:leader="none" w:pos="2920" w:val="left"/>
        </w:tabs>
        <w:numPr>
          <w:ilvl w:val="1"/>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communication that is an offer in the offering made by the undersigned registrant to the purchaser.</w:t>
      </w:r>
    </w:p>
    <w:p>
      <w:pPr>
        <w:spacing w:after="0" w:line="150" w:lineRule="exact"/>
        <w:rPr>
          <w:sz w:val="20"/>
          <w:szCs w:val="20"/>
          <w:color w:val="auto"/>
        </w:rPr>
      </w:pPr>
    </w:p>
    <w:p>
      <w:pPr>
        <w:ind w:left="1980" w:right="939" w:firstLine="294"/>
        <w:spacing w:after="0" w:line="254" w:lineRule="auto"/>
        <w:rPr>
          <w:sz w:val="20"/>
          <w:szCs w:val="20"/>
          <w:color w:val="auto"/>
        </w:rPr>
      </w:pPr>
      <w:r>
        <w:rPr>
          <w:rFonts w:ascii="Times New Roman" w:cs="Times New Roman" w:eastAsia="Times New Roman" w:hAnsi="Times New Roman"/>
          <w:sz w:val="12"/>
          <w:szCs w:val="12"/>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2"/>
          <w:szCs w:val="12"/>
          <w:color w:val="auto"/>
        </w:rPr>
        <w:t>II-14</w:t>
      </w:r>
    </w:p>
    <w:p>
      <w:pPr>
        <w:sectPr>
          <w:pgSz w:w="11900" w:h="16838" w:orient="portrait"/>
          <w:cols w:equalWidth="0" w:num="1">
            <w:col w:w="10159"/>
          </w:cols>
          <w:pgMar w:left="300" w:top="368" w:right="1440"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12">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Table of Contents</w:t>
      </w: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1980" w:right="1259" w:firstLine="294"/>
        <w:spacing w:after="0" w:line="327" w:lineRule="auto"/>
        <w:rPr>
          <w:sz w:val="20"/>
          <w:szCs w:val="20"/>
          <w:color w:val="auto"/>
        </w:rPr>
      </w:pPr>
      <w:r>
        <w:rPr>
          <w:rFonts w:ascii="Times New Roman" w:cs="Times New Roman" w:eastAsia="Times New Roman" w:hAnsi="Times New Roman"/>
          <w:sz w:val="11"/>
          <w:szCs w:val="11"/>
          <w:color w:val="auto"/>
        </w:rPr>
        <w:t>Pursuant to the requirements of the Securities Act, the registrant has duly caused this Post-Effective Amendment No. 1 to the registration statement to be signed on its behalf by the undersigned, thereunto duly authorized, in Palo Alto, State of California, on the 7th day of May 2025.</w:t>
      </w:r>
    </w:p>
    <w:p>
      <w:pPr>
        <w:spacing w:after="0" w:line="10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15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2"/>
          <w:szCs w:val="12"/>
          <w:color w:val="auto"/>
        </w:rPr>
        <w:t>By: /s/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10795</wp:posOffset>
            </wp:positionV>
            <wp:extent cx="1708785"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13">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2"/>
          <w:szCs w:val="12"/>
          <w:color w:val="auto"/>
        </w:rPr>
        <w:t>Name: Jaisim Shah</w:t>
      </w:r>
    </w:p>
    <w:p>
      <w:pPr>
        <w:spacing w:after="0" w:line="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2"/>
          <w:szCs w:val="12"/>
          <w:color w:val="auto"/>
        </w:rPr>
        <w:t>Title: Chief Executive Officer and President</w:t>
      </w:r>
    </w:p>
    <w:p>
      <w:pPr>
        <w:spacing w:after="0" w:line="139" w:lineRule="exact"/>
        <w:rPr>
          <w:sz w:val="20"/>
          <w:szCs w:val="20"/>
          <w:color w:val="auto"/>
        </w:rPr>
      </w:pPr>
    </w:p>
    <w:p>
      <w:pPr>
        <w:ind w:left="1980" w:right="859" w:firstLine="294"/>
        <w:spacing w:after="0" w:line="254" w:lineRule="auto"/>
        <w:rPr>
          <w:sz w:val="20"/>
          <w:szCs w:val="20"/>
          <w:color w:val="auto"/>
        </w:rPr>
      </w:pPr>
      <w:r>
        <w:rPr>
          <w:rFonts w:ascii="Times New Roman" w:cs="Times New Roman" w:eastAsia="Times New Roman" w:hAnsi="Times New Roman"/>
          <w:sz w:val="12"/>
          <w:szCs w:val="12"/>
          <w:color w:val="auto"/>
        </w:rPr>
        <w:t>Each person whose signature appears below constitutes and appoints each of Jaisim Shah and Stephen Ma, acting alone or together with another attorney-in-fact, as his true and lawful attorney-in-fact and agent, with full power of substitution and resubstitution, for such person and in his name, place and stead, in any and all capacities, to sign any or all further amendments (including post-effective amendments) to this registration statement (and any additional registration statement related hereto permitted by Rule 426(b) promulgated under the Securities Act of 1933, as amended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126" w:lineRule="exact"/>
        <w:rPr>
          <w:sz w:val="20"/>
          <w:szCs w:val="20"/>
          <w:color w:val="auto"/>
        </w:rPr>
      </w:pPr>
    </w:p>
    <w:p>
      <w:pPr>
        <w:ind w:left="1980" w:right="1159" w:firstLine="294"/>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Act, this Post-Effective Amendment No. 1 to the registration statement has been signed by the following persons in the capacities and on the dates indicated.</w:t>
      </w:r>
    </w:p>
    <w:p>
      <w:pPr>
        <w:spacing w:after="0" w:line="12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60" w:type="dxa"/>
            <w:vAlign w:val="bottom"/>
          </w:tcPr>
          <w:p>
            <w:pPr>
              <w:spacing w:after="0"/>
              <w:rPr>
                <w:sz w:val="10"/>
                <w:szCs w:val="10"/>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Signature</w:t>
            </w:r>
          </w:p>
        </w:tc>
        <w:tc>
          <w:tcPr>
            <w:tcW w:w="1500" w:type="dxa"/>
            <w:vAlign w:val="bottom"/>
          </w:tcPr>
          <w:p>
            <w:pPr>
              <w:spacing w:after="0"/>
              <w:rPr>
                <w:sz w:val="10"/>
                <w:szCs w:val="10"/>
                <w:color w:val="auto"/>
              </w:rPr>
            </w:pPr>
          </w:p>
        </w:tc>
        <w:tc>
          <w:tcPr>
            <w:tcW w:w="1800" w:type="dxa"/>
            <w:vAlign w:val="bottom"/>
            <w:gridSpan w:val="2"/>
          </w:tcPr>
          <w:p>
            <w:pPr>
              <w:jc w:val="center"/>
              <w:ind w:right="1620"/>
              <w:spacing w:after="0"/>
              <w:rPr>
                <w:sz w:val="20"/>
                <w:szCs w:val="20"/>
                <w:color w:val="auto"/>
              </w:rPr>
            </w:pPr>
            <w:r>
              <w:rPr>
                <w:rFonts w:ascii="Times New Roman" w:cs="Times New Roman" w:eastAsia="Times New Roman" w:hAnsi="Times New Roman"/>
                <w:sz w:val="10"/>
                <w:szCs w:val="10"/>
                <w:b w:val="1"/>
                <w:bCs w:val="1"/>
                <w:color w:val="auto"/>
                <w:w w:val="89"/>
              </w:rPr>
              <w:t>Title</w:t>
            </w:r>
          </w:p>
        </w:tc>
        <w:tc>
          <w:tcPr>
            <w:tcW w:w="940" w:type="dxa"/>
            <w:vAlign w:val="bottom"/>
            <w:gridSpan w:val="3"/>
          </w:tcPr>
          <w:p>
            <w:pPr>
              <w:jc w:val="center"/>
              <w:ind w:left="242"/>
              <w:spacing w:after="0"/>
              <w:rPr>
                <w:sz w:val="20"/>
                <w:szCs w:val="20"/>
                <w:color w:val="auto"/>
              </w:rPr>
            </w:pPr>
            <w:r>
              <w:rPr>
                <w:rFonts w:ascii="Times New Roman" w:cs="Times New Roman" w:eastAsia="Times New Roman" w:hAnsi="Times New Roman"/>
                <w:sz w:val="10"/>
                <w:szCs w:val="10"/>
                <w:b w:val="1"/>
                <w:bCs w:val="1"/>
                <w:color w:val="auto"/>
                <w:w w:val="99"/>
              </w:rPr>
              <w:t>Date</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Jaisim Shah</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9"/>
              </w:rPr>
              <w:t>Chief Executive Officer, President and Director (Principal</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Jaisim Shah</w:t>
            </w:r>
          </w:p>
        </w:tc>
        <w:tc>
          <w:tcPr>
            <w:tcW w:w="3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color w:val="auto"/>
              </w:rPr>
              <w:t>Executive Officer)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6"/>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/s/ Stephen Ma</w:t>
            </w: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8"/>
              </w:rPr>
              <w:t>Chief Financial Officer</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Stephen Ma</w:t>
            </w:r>
          </w:p>
        </w:tc>
        <w:tc>
          <w:tcPr>
            <w:tcW w:w="330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2"/>
                <w:szCs w:val="12"/>
                <w:color w:val="auto"/>
                <w:w w:val="99"/>
              </w:rPr>
              <w:t>(Principal Financial and Accounting Officer)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6"/>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/s/ Henry Ji, Ph.D.</w:t>
            </w: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Executive Chairperson and Director</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Henry Ji, Ph.D.</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6"/>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/s/ Dorman Followwill</w:t>
            </w: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4"/>
              </w:rPr>
              <w:t>Director</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Dorman Followwill</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6"/>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/s/ Yue Alexander Wu, Ph.D.</w:t>
            </w: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4"/>
              </w:rPr>
              <w:t>Director</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Yue Alexander Wu, Ph.D.</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6"/>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/s/ Jay Chun, M.D., Ph.D.</w:t>
            </w: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4"/>
              </w:rPr>
              <w:t>Director</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Jay Chun, M.D., Ph.D.</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6"/>
        </w:trPr>
        <w:tc>
          <w:tcPr>
            <w:tcW w:w="2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auto"/>
              </w:rPr>
              <w:t>/s/ Annu Navani, M.D.</w:t>
            </w:r>
          </w:p>
        </w:tc>
        <w:tc>
          <w:tcPr>
            <w:tcW w:w="330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4"/>
              </w:rPr>
              <w:t>Director</w:t>
            </w:r>
          </w:p>
        </w:tc>
        <w:tc>
          <w:tcPr>
            <w:tcW w:w="940" w:type="dxa"/>
            <w:vAlign w:val="bottom"/>
            <w:gridSpan w:val="3"/>
          </w:tcPr>
          <w:p>
            <w:pPr>
              <w:jc w:val="center"/>
              <w:ind w:left="262"/>
              <w:spacing w:after="0"/>
              <w:rPr>
                <w:sz w:val="20"/>
                <w:szCs w:val="20"/>
                <w:color w:val="auto"/>
              </w:rPr>
            </w:pPr>
            <w:r>
              <w:rPr>
                <w:rFonts w:ascii="Times New Roman" w:cs="Times New Roman" w:eastAsia="Times New Roman" w:hAnsi="Times New Roman"/>
                <w:sz w:val="12"/>
                <w:szCs w:val="12"/>
                <w:color w:val="auto"/>
              </w:rPr>
              <w:t>May 7, 2025</w:t>
            </w:r>
          </w:p>
        </w:tc>
      </w:tr>
      <w:tr>
        <w:trPr>
          <w:trHeight w:val="144"/>
        </w:trPr>
        <w:tc>
          <w:tcPr>
            <w:tcW w:w="2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   Annu Navani, M.D.</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41"/>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gridSpan w:val="3"/>
          </w:tcPr>
          <w:p>
            <w:pPr>
              <w:ind w:left="800"/>
              <w:spacing w:after="0"/>
              <w:rPr>
                <w:sz w:val="20"/>
                <w:szCs w:val="20"/>
                <w:color w:val="auto"/>
              </w:rPr>
            </w:pPr>
            <w:r>
              <w:rPr>
                <w:rFonts w:ascii="Times New Roman" w:cs="Times New Roman" w:eastAsia="Times New Roman" w:hAnsi="Times New Roman"/>
                <w:sz w:val="12"/>
                <w:szCs w:val="12"/>
                <w:color w:val="auto"/>
              </w:rPr>
              <w:t>II-15</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ectPr>
          <w:pgSz w:w="11900" w:h="16838" w:orient="portrait"/>
          <w:cols w:equalWidth="0" w:num="1">
            <w:col w:w="10159"/>
          </w:cols>
          <w:pgMar w:left="300" w:top="368" w:right="1440" w:bottom="1440" w:gutter="0" w:footer="0" w:header="0"/>
        </w:sectPr>
      </w:pPr>
    </w:p>
    <w:bookmarkStart w:id="354" w:name="page355"/>
    <w:bookmarkEnd w:id="354"/>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10.75</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April 16, 2025</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Scilex Holding Company</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960 San Antonio Rd.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Palo Alto, CA 94303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Attn: Stephen Ma</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VIA EMAIL</w:t>
      </w:r>
    </w:p>
    <w:p>
      <w:pPr>
        <w:spacing w:after="0" w:line="91" w:lineRule="exact"/>
        <w:rPr>
          <w:sz w:val="20"/>
          <w:szCs w:val="20"/>
          <w:color w:val="auto"/>
        </w:rPr>
      </w:pPr>
    </w:p>
    <w:p>
      <w:pPr>
        <w:ind w:left="1120" w:right="919" w:hanging="279"/>
        <w:spacing w:after="0" w:line="279" w:lineRule="auto"/>
        <w:tabs>
          <w:tab w:leader="none" w:pos="1100" w:val="left"/>
        </w:tabs>
        <w:rPr>
          <w:sz w:val="20"/>
          <w:szCs w:val="20"/>
          <w:color w:val="auto"/>
        </w:rPr>
      </w:pPr>
      <w:r>
        <w:rPr>
          <w:rFonts w:ascii="Times New Roman" w:cs="Times New Roman" w:eastAsia="Times New Roman" w:hAnsi="Times New Roman"/>
          <w:sz w:val="12"/>
          <w:szCs w:val="12"/>
          <w:color w:val="auto"/>
        </w:rPr>
        <w:t>RE:</w:t>
        <w:tab/>
        <w:t>Consent, Waiver and Amendment re Tranche A Senior Secured Promissory Note and Related Transaction Documents (this “</w:t>
      </w:r>
      <w:r>
        <w:rPr>
          <w:rFonts w:ascii="Times New Roman" w:cs="Times New Roman" w:eastAsia="Times New Roman" w:hAnsi="Times New Roman"/>
          <w:sz w:val="12"/>
          <w:szCs w:val="12"/>
          <w:u w:val="single" w:color="auto"/>
          <w:color w:val="auto"/>
        </w:rPr>
        <w:t>Consent, Waiver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78" w:lineRule="exact"/>
        <w:rPr>
          <w:sz w:val="20"/>
          <w:szCs w:val="20"/>
          <w:color w:val="auto"/>
        </w:rPr>
      </w:pPr>
    </w:p>
    <w:p>
      <w:pPr>
        <w:ind w:left="840" w:right="859" w:firstLine="294"/>
        <w:spacing w:after="0" w:line="252" w:lineRule="auto"/>
        <w:rPr>
          <w:sz w:val="20"/>
          <w:szCs w:val="20"/>
          <w:color w:val="auto"/>
        </w:rPr>
      </w:pPr>
      <w:r>
        <w:rPr>
          <w:rFonts w:ascii="Times New Roman" w:cs="Times New Roman" w:eastAsia="Times New Roman" w:hAnsi="Times New Roman"/>
          <w:sz w:val="12"/>
          <w:szCs w:val="12"/>
          <w:color w:val="auto"/>
        </w:rPr>
        <w:t>Reference is made to (i) that certain Securities Purchase Agreement, dated as of September 21, 2023 (the “</w:t>
      </w:r>
      <w:r>
        <w:rPr>
          <w:rFonts w:ascii="Times New Roman" w:cs="Times New Roman" w:eastAsia="Times New Roman" w:hAnsi="Times New Roman"/>
          <w:sz w:val="12"/>
          <w:szCs w:val="12"/>
          <w:u w:val="single" w:color="auto"/>
          <w:color w:val="auto"/>
        </w:rPr>
        <w:t>SPA</w:t>
      </w:r>
      <w:r>
        <w:rPr>
          <w:rFonts w:ascii="Times New Roman" w:cs="Times New Roman" w:eastAsia="Times New Roman" w:hAnsi="Times New Roman"/>
          <w:sz w:val="12"/>
          <w:szCs w:val="12"/>
          <w:color w:val="auto"/>
        </w:rPr>
        <w:t>”), between Scilex Holding Company,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Oramed Pharmaceuticals, Inc., a Delaware corporation (“</w:t>
      </w:r>
      <w:r>
        <w:rPr>
          <w:rFonts w:ascii="Times New Roman" w:cs="Times New Roman" w:eastAsia="Times New Roman" w:hAnsi="Times New Roman"/>
          <w:sz w:val="12"/>
          <w:szCs w:val="12"/>
          <w:u w:val="single" w:color="auto"/>
          <w:color w:val="auto"/>
        </w:rPr>
        <w:t>Oramed</w:t>
      </w:r>
      <w:r>
        <w:rPr>
          <w:rFonts w:ascii="Times New Roman" w:cs="Times New Roman" w:eastAsia="Times New Roman" w:hAnsi="Times New Roman"/>
          <w:sz w:val="12"/>
          <w:szCs w:val="12"/>
          <w:color w:val="auto"/>
        </w:rPr>
        <w:t>”), as Initial Purchaser (as defined therein) and Acquiom Agency Services LLC, a Colorado limited liability company (“</w:t>
      </w:r>
      <w:r>
        <w:rPr>
          <w:rFonts w:ascii="Times New Roman" w:cs="Times New Roman" w:eastAsia="Times New Roman" w:hAnsi="Times New Roman"/>
          <w:sz w:val="12"/>
          <w:szCs w:val="12"/>
          <w:u w:val="single" w:color="auto"/>
          <w:color w:val="auto"/>
        </w:rPr>
        <w:t>Acquiom</w:t>
      </w:r>
      <w:r>
        <w:rPr>
          <w:rFonts w:ascii="Times New Roman" w:cs="Times New Roman" w:eastAsia="Times New Roman" w:hAnsi="Times New Roman"/>
          <w:sz w:val="12"/>
          <w:szCs w:val="12"/>
          <w:color w:val="auto"/>
        </w:rPr>
        <w:t>”), as collateral agent for the Note Holders (as defined therein), (ii) that certain Senior Secured Promissory Note, dated as of September 21, 2023 (as amended, supplemented or modified from time to time, the “</w:t>
      </w:r>
      <w:r>
        <w:rPr>
          <w:rFonts w:ascii="Times New Roman" w:cs="Times New Roman" w:eastAsia="Times New Roman" w:hAnsi="Times New Roman"/>
          <w:sz w:val="12"/>
          <w:szCs w:val="12"/>
          <w:u w:val="single" w:color="auto"/>
          <w:color w:val="auto"/>
        </w:rPr>
        <w:t>Note</w:t>
      </w:r>
      <w:r>
        <w:rPr>
          <w:rFonts w:ascii="Times New Roman" w:cs="Times New Roman" w:eastAsia="Times New Roman" w:hAnsi="Times New Roman"/>
          <w:sz w:val="12"/>
          <w:szCs w:val="12"/>
          <w:color w:val="auto"/>
        </w:rPr>
        <w:t>”), issued by the Company to Oramed, as Holder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(iii) that certain Amended and Restated Security Agreement, dated as of October 8, 2024 (the “</w:t>
      </w:r>
      <w:r>
        <w:rPr>
          <w:rFonts w:ascii="Times New Roman" w:cs="Times New Roman" w:eastAsia="Times New Roman" w:hAnsi="Times New Roman"/>
          <w:sz w:val="12"/>
          <w:szCs w:val="12"/>
          <w:u w:val="single" w:color="auto"/>
          <w:color w:val="auto"/>
        </w:rPr>
        <w:t>Security Agreement</w:t>
      </w:r>
      <w:r>
        <w:rPr>
          <w:rFonts w:ascii="Times New Roman" w:cs="Times New Roman" w:eastAsia="Times New Roman" w:hAnsi="Times New Roman"/>
          <w:sz w:val="12"/>
          <w:szCs w:val="12"/>
          <w:color w:val="auto"/>
        </w:rPr>
        <w:t xml:space="preserve">”), among,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the Company, and the subsidiaries of the Company party thereto and Acquiom, as the collateral agent (the “</w:t>
      </w:r>
      <w:r>
        <w:rPr>
          <w:rFonts w:ascii="Times New Roman" w:cs="Times New Roman" w:eastAsia="Times New Roman" w:hAnsi="Times New Roman"/>
          <w:sz w:val="12"/>
          <w:szCs w:val="12"/>
          <w:u w:val="single" w:color="auto"/>
          <w:color w:val="auto"/>
        </w:rPr>
        <w:t>Agent</w:t>
      </w:r>
      <w:r>
        <w:rPr>
          <w:rFonts w:ascii="Times New Roman" w:cs="Times New Roman" w:eastAsia="Times New Roman" w:hAnsi="Times New Roman"/>
          <w:sz w:val="12"/>
          <w:szCs w:val="12"/>
          <w:color w:val="auto"/>
        </w:rPr>
        <w:t>”) for (x) the Holder and (y) the holders of Tranche B Notes (as defined in the Security Agreement) (the “</w:t>
      </w:r>
      <w:r>
        <w:rPr>
          <w:rFonts w:ascii="Times New Roman" w:cs="Times New Roman" w:eastAsia="Times New Roman" w:hAnsi="Times New Roman"/>
          <w:sz w:val="12"/>
          <w:szCs w:val="12"/>
          <w:u w:val="single" w:color="auto"/>
          <w:color w:val="auto"/>
        </w:rPr>
        <w:t>Tranche 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and together with the Holder, each a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their endorsees, transferees and assigns (collectively with the Agent, the “</w:t>
      </w:r>
      <w:r>
        <w:rPr>
          <w:rFonts w:ascii="Times New Roman" w:cs="Times New Roman" w:eastAsia="Times New Roman" w:hAnsi="Times New Roman"/>
          <w:sz w:val="12"/>
          <w:szCs w:val="12"/>
          <w:u w:val="single" w:color="auto"/>
          <w:color w:val="auto"/>
        </w:rPr>
        <w:t>Secured Parties</w:t>
      </w:r>
      <w:r>
        <w:rPr>
          <w:rFonts w:ascii="Times New Roman" w:cs="Times New Roman" w:eastAsia="Times New Roman" w:hAnsi="Times New Roman"/>
          <w:sz w:val="12"/>
          <w:szCs w:val="12"/>
          <w:color w:val="auto"/>
        </w:rPr>
        <w:t>”) and as collateral agent for the holders of certain Tranche B Notes (as defined therein), (iv) each Tranche B Senior Secured Convertible Note delivered by the Company to each Tranche B Holder, in each case, dated as of October 8, 2024 (each, a “</w:t>
      </w:r>
      <w:r>
        <w:rPr>
          <w:rFonts w:ascii="Times New Roman" w:cs="Times New Roman" w:eastAsia="Times New Roman" w:hAnsi="Times New Roman"/>
          <w:sz w:val="12"/>
          <w:szCs w:val="12"/>
          <w:u w:val="single" w:color="auto"/>
          <w:color w:val="auto"/>
        </w:rPr>
        <w:t>Tranche B Note</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Tranche B Notes</w:t>
      </w:r>
      <w:r>
        <w:rPr>
          <w:rFonts w:ascii="Times New Roman" w:cs="Times New Roman" w:eastAsia="Times New Roman" w:hAnsi="Times New Roman"/>
          <w:sz w:val="12"/>
          <w:szCs w:val="12"/>
          <w:color w:val="auto"/>
        </w:rPr>
        <w:t>”), (v) that certain Intercompany Indebtedness Subordination Agreement, dated as of September 29, 2023, among the Company, the other Subordinated Lenders (as defined therein) party thereto, Subordinated Debtors (as defined therein) and the Agent (as amended, restated, amended and restated, supplemented or otherwise modified from time to time) (the “</w:t>
      </w:r>
      <w:r>
        <w:rPr>
          <w:rFonts w:ascii="Times New Roman" w:cs="Times New Roman" w:eastAsia="Times New Roman" w:hAnsi="Times New Roman"/>
          <w:sz w:val="12"/>
          <w:szCs w:val="12"/>
          <w:u w:val="single" w:color="auto"/>
          <w:color w:val="auto"/>
        </w:rPr>
        <w:t>Intercompany Subordination Agreement</w:t>
      </w:r>
      <w:r>
        <w:rPr>
          <w:rFonts w:ascii="Times New Roman" w:cs="Times New Roman" w:eastAsia="Times New Roman" w:hAnsi="Times New Roman"/>
          <w:sz w:val="12"/>
          <w:szCs w:val="12"/>
          <w:color w:val="auto"/>
        </w:rPr>
        <w:t>”), (vi) that certain Subsidiary Guarantee, dated as of September 21, 2023, made by the Company, Scilex, Inc., Semnur Pharmaceuticals, Inc., Scilex Pharmaceuticals Inc., SCLX Stock Acquisition JV LLC and SCLX Dre Holdings LLC in favor of the Holder (the “</w:t>
      </w: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and (vii) all related Transaction Documents, as defined in the SPA.</w:t>
      </w:r>
    </w:p>
    <w:p>
      <w:pPr>
        <w:spacing w:after="0" w:line="130" w:lineRule="exact"/>
        <w:rPr>
          <w:sz w:val="20"/>
          <w:szCs w:val="20"/>
          <w:color w:val="auto"/>
        </w:rPr>
      </w:pPr>
    </w:p>
    <w:p>
      <w:pPr>
        <w:ind w:left="840" w:right="137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used but not defined herein are used with the respective meanings assigned to them in the SPA, the Note, the Security Agreement or the Intercompany Subordination Agreement, as applicable.</w:t>
      </w:r>
    </w:p>
    <w:p>
      <w:pPr>
        <w:spacing w:after="0" w:line="107" w:lineRule="exact"/>
        <w:rPr>
          <w:sz w:val="20"/>
          <w:szCs w:val="20"/>
          <w:color w:val="auto"/>
        </w:rPr>
      </w:pPr>
    </w:p>
    <w:p>
      <w:pPr>
        <w:ind w:left="840" w:right="10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form an entity in a joint venture with a third party whereby such entity shall be named Scilex Bio, Inc.,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Delaware corporation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left="840" w:right="99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document the formation of Bio JV (“</w:t>
      </w:r>
      <w:r>
        <w:rPr>
          <w:rFonts w:ascii="Times New Roman" w:cs="Times New Roman" w:eastAsia="Times New Roman" w:hAnsi="Times New Roman"/>
          <w:sz w:val="12"/>
          <w:szCs w:val="12"/>
          <w:u w:val="single" w:color="auto"/>
          <w:color w:val="auto"/>
        </w:rPr>
        <w:t>Bio JV Formation</w:t>
      </w:r>
      <w:r>
        <w:rPr>
          <w:rFonts w:ascii="Times New Roman" w:cs="Times New Roman" w:eastAsia="Times New Roman" w:hAnsi="Times New Roman"/>
          <w:sz w:val="12"/>
          <w:szCs w:val="12"/>
          <w:color w:val="auto"/>
        </w:rPr>
        <w:t>”) pursuant to customary corporate documentation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but not limited to a certificate of formation, bylaws and any related corporate documents entered into in connection therewith (the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Formation Documents</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125" w:right="1440" w:bottom="1440" w:gutter="0" w:footer="0" w:header="0"/>
        </w:sectPr>
      </w:pPr>
    </w:p>
    <w:bookmarkStart w:id="355" w:name="page356"/>
    <w:bookmarkEnd w:id="355"/>
    <w:p>
      <w:pPr>
        <w:ind w:left="840" w:right="91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w:t>
      </w:r>
      <w:r>
        <w:rPr>
          <w:rFonts w:ascii="Times New Roman" w:cs="Times New Roman" w:eastAsia="Times New Roman" w:hAnsi="Times New Roman"/>
          <w:sz w:val="12"/>
          <w:szCs w:val="12"/>
          <w:color w:val="auto"/>
        </w:rPr>
        <w:t>, the Company has requested that the Agent and Holder waive all requirements under the applicable Transaction Documents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require Bio JV to become party to any such Transaction Documents in any capacity, including, but not limited to, in the capacity as a Subsidiary, Grantor, Debtor, Guarantor or any other related capacities described in greater detail below;</w:t>
      </w:r>
    </w:p>
    <w:p>
      <w:pPr>
        <w:spacing w:after="0" w:line="114" w:lineRule="exact"/>
        <w:rPr>
          <w:sz w:val="20"/>
          <w:szCs w:val="20"/>
          <w:color w:val="auto"/>
        </w:rPr>
      </w:pPr>
    </w:p>
    <w:p>
      <w:pPr>
        <w:ind w:left="840" w:right="9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that the Agent and Holder make certain amendments to the SPA, the Note, the Security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Perfection Certificate, the Intercompany Subordination Agreement and the Guarantee;</w:t>
      </w:r>
    </w:p>
    <w:p>
      <w:pPr>
        <w:spacing w:after="0" w:line="103" w:lineRule="exact"/>
        <w:rPr>
          <w:sz w:val="20"/>
          <w:szCs w:val="20"/>
          <w:color w:val="auto"/>
        </w:rPr>
      </w:pPr>
    </w:p>
    <w:p>
      <w:pPr>
        <w:ind w:left="840" w:right="959" w:firstLine="294"/>
        <w:spacing w:after="0" w:line="254"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or after the date hereof, the Company, Bio JV, and the other parties thereto shall enter into (i) the Contribution Agreement,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substantially the form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Contribution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Contribution Documents</w:t>
      </w:r>
      <w:r>
        <w:rPr>
          <w:rFonts w:ascii="Times New Roman" w:cs="Times New Roman" w:eastAsia="Times New Roman" w:hAnsi="Times New Roman"/>
          <w:sz w:val="12"/>
          <w:szCs w:val="12"/>
          <w:color w:val="auto"/>
        </w:rPr>
        <w:t xml:space="preserve">”), pursuant to which, among other things, the Company will contribute to Bio JV the Contributed Securities (as defined in the Contribution Agreement) and (ii) the KDS2010 Assignment and License Agreement, substantially in the form attached hereto as </w:t>
      </w:r>
      <w:r>
        <w:rPr>
          <w:rFonts w:ascii="Times New Roman" w:cs="Times New Roman" w:eastAsia="Times New Roman" w:hAnsi="Times New Roman"/>
          <w:sz w:val="12"/>
          <w:szCs w:val="12"/>
          <w:u w:val="single" w:color="auto"/>
          <w:color w:val="auto"/>
        </w:rPr>
        <w:t>Annex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License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License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Documents</w:t>
      </w:r>
      <w:r>
        <w:rPr>
          <w:rFonts w:ascii="Times New Roman" w:cs="Times New Roman" w:eastAsia="Times New Roman" w:hAnsi="Times New Roman"/>
          <w:sz w:val="12"/>
          <w:szCs w:val="12"/>
          <w:color w:val="auto"/>
        </w:rPr>
        <w:t>”, and together with the Designated Contribution Documents and the Bio JV Formation Documents, each a “</w:t>
      </w:r>
      <w:r>
        <w:rPr>
          <w:rFonts w:ascii="Times New Roman" w:cs="Times New Roman" w:eastAsia="Times New Roman" w:hAnsi="Times New Roman"/>
          <w:sz w:val="12"/>
          <w:szCs w:val="12"/>
          <w:u w:val="single" w:color="auto"/>
          <w:color w:val="auto"/>
        </w:rPr>
        <w:t>Designated Transaction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Designated Transaction Documents</w:t>
      </w:r>
      <w:r>
        <w:rPr>
          <w:rFonts w:ascii="Times New Roman" w:cs="Times New Roman" w:eastAsia="Times New Roman" w:hAnsi="Times New Roman"/>
          <w:sz w:val="12"/>
          <w:szCs w:val="12"/>
          <w:color w:val="auto"/>
        </w:rPr>
        <w:t>”) (the transactions contemplated by the Designated Transaction Documents and Bio JV Formation, collectively, the “</w:t>
      </w:r>
      <w:r>
        <w:rPr>
          <w:rFonts w:ascii="Times New Roman" w:cs="Times New Roman" w:eastAsia="Times New Roman" w:hAnsi="Times New Roman"/>
          <w:sz w:val="12"/>
          <w:szCs w:val="12"/>
          <w:u w:val="single" w:color="auto"/>
          <w:color w:val="auto"/>
        </w:rPr>
        <w:t>Designated Transactions</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840" w:right="999" w:firstLine="294"/>
        <w:spacing w:after="0" w:line="288" w:lineRule="auto"/>
        <w:rPr>
          <w:sz w:val="20"/>
          <w:szCs w:val="20"/>
          <w:color w:val="auto"/>
        </w:rPr>
      </w:pPr>
      <w:r>
        <w:rPr>
          <w:rFonts w:ascii="Times New Roman" w:cs="Times New Roman" w:eastAsia="Times New Roman" w:hAnsi="Times New Roman"/>
          <w:sz w:val="11"/>
          <w:szCs w:val="11"/>
          <w:b w:val="1"/>
          <w:bCs w:val="1"/>
          <w:color w:val="auto"/>
        </w:rPr>
        <w:t>WHEREAS</w:t>
      </w:r>
      <w:r>
        <w:rPr>
          <w:rFonts w:ascii="Times New Roman" w:cs="Times New Roman" w:eastAsia="Times New Roman" w:hAnsi="Times New Roman"/>
          <w:sz w:val="11"/>
          <w:szCs w:val="11"/>
          <w:color w:val="auto"/>
        </w:rPr>
        <w:t>, the Company has requested and the Agent and the Holder agree pursuant to the terms set forth herein, to (i) consent to the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Company’s entry into and the consummation of the applicable Designated Transactions and the Designated Transaction Documents, (ii) make certain amendments to the SPA, the Note, the Security Agreement, the Perfection Certificate, the Intercompany Subordination Agreement and the Guarantee, and (iii) waive any covenant or provision in any Transaction Document, including, but not limited to, the SPA, the Note, the Security Agreement, the Intercompany Subordination Agreement and the Guarantee, that would require Bio JV to become party to any Transaction Document in any capacity;</w:t>
      </w:r>
    </w:p>
    <w:p>
      <w:pPr>
        <w:spacing w:after="0" w:line="105" w:lineRule="exact"/>
        <w:rPr>
          <w:sz w:val="20"/>
          <w:szCs w:val="20"/>
          <w:color w:val="auto"/>
        </w:rPr>
      </w:pPr>
    </w:p>
    <w:p>
      <w:pPr>
        <w:ind w:left="840" w:right="9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Agent, Holder and the Company have duly authorized the execution and delivery of this Consent, Waiver and Amendment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done all things necessary to make this Consent, Waiver and Amendment a valid and binding agreement in accordance with its terms; and</w:t>
      </w:r>
    </w:p>
    <w:p>
      <w:pPr>
        <w:spacing w:after="0" w:line="103" w:lineRule="exact"/>
        <w:rPr>
          <w:sz w:val="20"/>
          <w:szCs w:val="20"/>
          <w:color w:val="auto"/>
        </w:rPr>
      </w:pPr>
    </w:p>
    <w:p>
      <w:pPr>
        <w:ind w:left="840" w:right="10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agreements herein contained and other good and valuable consideration, the receipt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sufficiency of which are hereby acknowledged, the following is agreed: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Consent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59" w:firstLine="288"/>
        <w:spacing w:after="0" w:line="260" w:lineRule="auto"/>
        <w:tabs>
          <w:tab w:leader="none" w:pos="1565"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Note, the SPA, the Security Agreement and the other Transaction Documents to the contrary notwithstanding, the undersigned Agent and Holder hereby consent as of the Effective Time (as defined below) to the execution of the Designated Transaction Documents, the consummation of the Designated Transactions in accordance with the terms of the Designated Transaction Documents and the performance by the Company of its obligations thereunder.</w:t>
      </w:r>
    </w:p>
    <w:p>
      <w:pPr>
        <w:sectPr>
          <w:pgSz w:w="11900" w:h="16838" w:orient="portrait"/>
          <w:cols w:equalWidth="0" w:num="1">
            <w:col w:w="9019"/>
          </w:cols>
          <w:pgMar w:left="1440" w:top="224" w:right="1440" w:bottom="1440" w:gutter="0" w:footer="0" w:header="0"/>
        </w:sectPr>
      </w:pPr>
    </w:p>
    <w:bookmarkStart w:id="356" w:name="page357"/>
    <w:bookmarkEnd w:id="356"/>
    <w:p>
      <w:pPr>
        <w:ind w:left="1120" w:right="859" w:firstLine="288"/>
        <w:spacing w:after="0" w:line="254" w:lineRule="auto"/>
        <w:tabs>
          <w:tab w:leader="none" w:pos="1572"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The foregoing limited consents contained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 are each a one-time consent, (ii) are each expressly limited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(iii) shall not be deemed or otherwise construed to constitute a consent to any other transaction, whether or not similar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(iv) shall not operate as a waiver of any right, power or remedy of the Agent or any Holder under the Note, any other Transaction Document or any other document, instrument or agreement executed in connection therewith, nor constitute a waiver, release or modification of the Company’s or any Subsidiary’s obligations to comply with all terms and conditions of the Note and other Transaction Documents, in each case, except as expressly set forth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below. The Agent and the Holder have granted the limited consent set forth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in this particular instance and in light of the facts and circumstances that presently exist, and the grant of such consent shall not constitute a course of dealing or impair the Agent’s or any Holder’s right to withhold any similar consent or waiver in the future.</w:t>
      </w:r>
    </w:p>
    <w:p>
      <w:pPr>
        <w:spacing w:after="0" w:line="126" w:lineRule="exact"/>
        <w:rPr>
          <w:sz w:val="20"/>
          <w:szCs w:val="20"/>
          <w:color w:val="auto"/>
        </w:rPr>
      </w:pPr>
    </w:p>
    <w:p>
      <w:pPr>
        <w:ind w:left="840" w:right="899" w:firstLine="294"/>
        <w:spacing w:after="0" w:line="253"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The provisions of the Security Agreement, the Intercompany Subordination Agreement, and the other Transaction Documents to the contrary notwithstanding, the undersigned Agent and Holder hereby waive as of the Effective Time hereof (i) the requirement set forth in Section 4(ii) of the Security Agreement, (ii) the requirement set forth in Section 18 of the Intercompany Subordination Agreement, (iii) the requirement set forth in Section 5(m) of the Guarantee, and (iv) any other term of any Transaction Document, in each case, which would require Bio JV to become party to the Security Agreement as an Additional Debtor (as defined in the Security Agreement) or become party to such agreement in any other capacity, become party to the Intercompany Subordination Agreement as a Subsidiary, a Qualified Subsidiary (as defined in the Intercompany Subordination Agreement), an obligor in respect of any Subordinated Intercompany Obligations (as defined in the Intercompany Subordination Agreement) or a Subordinated Debtor (as defined in the Intercompany Subordination Agreement), become party to the Guarantee as a Guarantor, Subsidiary, subsidiary or debtor in respect of any obligations, or become party to such agreement in any other capacity or become party to any other Transaction Document in any capacity. For the avoidance of doubt, under no circumstances shall Bio JV be required to join the Security Agreement, the Intercompany Subordination Agreement or any other Transaction Document in any capacity.</w:t>
      </w:r>
    </w:p>
    <w:p>
      <w:pPr>
        <w:spacing w:after="0" w:line="12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Amendments to Certain Transaction Documents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79" w:firstLine="288"/>
        <w:spacing w:after="0" w:line="260" w:lineRule="auto"/>
        <w:tabs>
          <w:tab w:leader="none" w:pos="1565"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Effective as of the time of execution and delivery of this Consent, Waiver and Amendment, the undersigned Agent, Holder and the Company agree that (where applicable, language being inserted is evidenced by bold and underline formatting (indicated textually in the same manner as the following example: </w:t>
      </w:r>
      <w:r>
        <w:rPr>
          <w:rFonts w:ascii="Times New Roman" w:cs="Times New Roman" w:eastAsia="Times New Roman" w:hAnsi="Times New Roman"/>
          <w:sz w:val="12"/>
          <w:szCs w:val="12"/>
          <w:u w:val="single" w:color="auto"/>
          <w:color w:val="0000FF"/>
        </w:rPr>
        <w:t>bold and underline formatting</w:t>
      </w:r>
      <w:r>
        <w:rPr>
          <w:rFonts w:ascii="Times New Roman" w:cs="Times New Roman" w:eastAsia="Times New Roman" w:hAnsi="Times New Roman"/>
          <w:sz w:val="12"/>
          <w:szCs w:val="12"/>
          <w:color w:val="auto"/>
        </w:rPr>
        <w:t xml:space="preserve">) and language being deleted is evidenced by strike-through formatting (indicated textually in the same manner as the following example: </w:t>
      </w:r>
      <w:r>
        <w:rPr>
          <w:rFonts w:ascii="Times New Roman" w:cs="Times New Roman" w:eastAsia="Times New Roman" w:hAnsi="Times New Roman"/>
          <w:sz w:val="12"/>
          <w:szCs w:val="12"/>
          <w:color w:val="FF0000"/>
          <w:strike w:val="1"/>
        </w:rPr>
        <w:t>strike-through formatting</w:t>
      </w:r>
      <w:r>
        <w:rPr>
          <w:rFonts w:ascii="Times New Roman" w:cs="Times New Roman" w:eastAsia="Times New Roman" w:hAnsi="Times New Roman"/>
          <w:sz w:val="12"/>
          <w:szCs w:val="12"/>
          <w:color w:val="auto"/>
        </w:rPr>
        <w:t>):</w:t>
      </w:r>
    </w:p>
    <w:p>
      <w:pPr>
        <w:spacing w:after="0" w:line="50" w:lineRule="exact"/>
        <w:rPr>
          <w:rFonts w:ascii="Times New Roman" w:cs="Times New Roman" w:eastAsia="Times New Roman" w:hAnsi="Times New Roman"/>
          <w:sz w:val="12"/>
          <w:szCs w:val="12"/>
          <w:color w:val="auto"/>
        </w:rPr>
      </w:pPr>
    </w:p>
    <w:p>
      <w:pPr>
        <w:ind w:left="1900" w:hanging="140"/>
        <w:spacing w:after="0"/>
        <w:tabs>
          <w:tab w:leader="none" w:pos="1900" w:val="left"/>
        </w:tabs>
        <w:numPr>
          <w:ilvl w:val="1"/>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 of the Note is hereby amended by amending and restating the following definitions in their entirety as follows:</w:t>
      </w:r>
    </w:p>
    <w:p>
      <w:pPr>
        <w:spacing w:after="0" w:line="78" w:lineRule="exact"/>
        <w:rPr>
          <w:rFonts w:ascii="Times New Roman" w:cs="Times New Roman" w:eastAsia="Times New Roman" w:hAnsi="Times New Roman"/>
          <w:sz w:val="12"/>
          <w:szCs w:val="12"/>
          <w:color w:val="auto"/>
        </w:rPr>
      </w:pPr>
    </w:p>
    <w:p>
      <w:pPr>
        <w:ind w:left="1780" w:right="939" w:firstLine="262"/>
        <w:spacing w:after="0" w:line="255" w:lineRule="auto"/>
        <w:tabs>
          <w:tab w:leader="none" w:pos="2232"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Qualified Subsidiary</w:t>
      </w:r>
      <w:r>
        <w:rPr>
          <w:rFonts w:ascii="Times New Roman" w:cs="Times New Roman" w:eastAsia="Times New Roman" w:hAnsi="Times New Roman"/>
          <w:sz w:val="12"/>
          <w:szCs w:val="12"/>
          <w:color w:val="auto"/>
        </w:rPr>
        <w:t xml:space="preserve">” means any Subsidiary that has executed and delivered the Subsidiary Guaranty to the Holder and in which the Agent (for the benefit of the Secured Parties) has a perfected, first priority Lien (other than with respect to assets subject to Permitted Liens under clause (c)(ii) and (c)(iii) thereof, in which, in each case, Agent (for the benefit of the Secured Parties) shall have a perfected, second priority Lien) in substantially all of the assets and property of such Subsidiary. </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-912495</wp:posOffset>
            </wp:positionV>
            <wp:extent cx="91440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16">
                      <a:extLst>
                        <a:ext uri="{28A0092B-C50C-407E-A947-70E740481C1C}"/>
                      </a:extLst>
                    </a:blip>
                    <a:srcRect/>
                    <a:stretch>
                      <a:fillRect/>
                    </a:stretch>
                  </pic:blipFill>
                  <pic:spPr bwMode="auto">
                    <a:xfrm>
                      <a:off x="0" y="0"/>
                      <a:ext cx="914400"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-180975</wp:posOffset>
            </wp:positionV>
            <wp:extent cx="399478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7">
                      <a:extLst>
                        <a:ext uri="{28A0092B-C50C-407E-A947-70E740481C1C}"/>
                      </a:extLst>
                    </a:blip>
                    <a:srcRect/>
                    <a:stretch>
                      <a:fillRect/>
                    </a:stretch>
                  </pic:blipFill>
                  <pic:spPr bwMode="auto">
                    <a:xfrm>
                      <a:off x="0" y="0"/>
                      <a:ext cx="399478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-89535</wp:posOffset>
            </wp:positionV>
            <wp:extent cx="3766185"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18">
                      <a:extLst>
                        <a:ext uri="{28A0092B-C50C-407E-A947-70E740481C1C}"/>
                      </a:extLst>
                    </a:blip>
                    <a:srcRect/>
                    <a:stretch>
                      <a:fillRect/>
                    </a:stretch>
                  </pic:blipFill>
                  <pic:spPr bwMode="auto">
                    <a:xfrm>
                      <a:off x="0" y="0"/>
                      <a:ext cx="376618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1270</wp:posOffset>
            </wp:positionV>
            <wp:extent cx="37719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9">
                      <a:extLst>
                        <a:ext uri="{28A0092B-C50C-407E-A947-70E740481C1C}"/>
                      </a:extLst>
                    </a:blip>
                    <a:srcRect/>
                    <a:stretch>
                      <a:fillRect/>
                    </a:stretch>
                  </pic:blipFill>
                  <pic:spPr bwMode="auto">
                    <a:xfrm>
                      <a:off x="0" y="0"/>
                      <a:ext cx="377190" cy="5715"/>
                    </a:xfrm>
                    <a:prstGeom prst="rect">
                      <a:avLst/>
                    </a:prstGeom>
                    <a:noFill/>
                  </pic:spPr>
                </pic:pic>
              </a:graphicData>
            </a:graphic>
          </wp:anchor>
        </w:drawing>
      </w:r>
    </w:p>
    <w:p>
      <w:pPr>
        <w:sectPr>
          <w:pgSz w:w="11900" w:h="16838" w:orient="portrait"/>
          <w:cols w:equalWidth="0" w:num="1">
            <w:col w:w="9019"/>
          </w:cols>
          <w:pgMar w:left="1440" w:top="228" w:right="1440" w:bottom="1440" w:gutter="0" w:footer="0" w:header="0"/>
        </w:sectPr>
      </w:pPr>
    </w:p>
    <w:bookmarkStart w:id="357" w:name="page358"/>
    <w:bookmarkEnd w:id="357"/>
    <w:p>
      <w:pPr>
        <w:ind w:left="1780" w:right="859" w:firstLine="262"/>
        <w:spacing w:after="0" w:line="265" w:lineRule="auto"/>
        <w:tabs>
          <w:tab w:leader="none" w:pos="2225"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Subject Entity</w:t>
      </w:r>
      <w:r>
        <w:rPr>
          <w:rFonts w:ascii="Times New Roman" w:cs="Times New Roman" w:eastAsia="Times New Roman" w:hAnsi="Times New Roman"/>
          <w:sz w:val="12"/>
          <w:szCs w:val="12"/>
          <w:color w:val="auto"/>
        </w:rPr>
        <w:t xml:space="preserve">” means any Person, Persons or Group or any Affiliate or associate of any such Person, Persons or Group. </w:t>
      </w:r>
      <w:r>
        <w:rPr>
          <w:rFonts w:ascii="Times New Roman" w:cs="Times New Roman" w:eastAsia="Times New Roman" w:hAnsi="Times New Roman"/>
          <w:sz w:val="12"/>
          <w:szCs w:val="12"/>
          <w:u w:val="single" w:color="auto"/>
          <w:color w:val="0000FF"/>
        </w:rPr>
        <w:t>Notwithstanding anything to the contrary herein, any reference to “Subject Entity” used herein or in any Transaction Document shall be deemed to expressly exclude Scilex Bio, Inc., a Delaware corporation and any of its subsidiaries.</w:t>
      </w:r>
      <w:r>
        <w:rPr>
          <w:rFonts w:ascii="Times New Roman" w:cs="Times New Roman" w:eastAsia="Times New Roman" w:hAnsi="Times New Roman"/>
          <w:sz w:val="12"/>
          <w:szCs w:val="12"/>
          <w:color w:val="000000"/>
        </w:rPr>
        <w:t>”</w:t>
      </w:r>
    </w:p>
    <w:p>
      <w:pPr>
        <w:spacing w:after="0" w:line="46" w:lineRule="exact"/>
        <w:rPr>
          <w:rFonts w:ascii="Times New Roman" w:cs="Times New Roman" w:eastAsia="Times New Roman" w:hAnsi="Times New Roman"/>
          <w:sz w:val="12"/>
          <w:szCs w:val="12"/>
          <w:color w:val="auto"/>
        </w:rPr>
      </w:pPr>
    </w:p>
    <w:p>
      <w:pPr>
        <w:ind w:left="1500" w:right="859" w:firstLine="260"/>
        <w:spacing w:after="0" w:line="279" w:lineRule="auto"/>
        <w:tabs>
          <w:tab w:leader="none" w:pos="1944"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references to “Subsidiary”, “Subsidiaries” or “subsidiary” in the Note shall be deemed to expressly exclude Scilex Bio, Inc., a Delaware corporation or any of its subsidiaries.</w:t>
      </w:r>
    </w:p>
    <w:p>
      <w:pPr>
        <w:spacing w:after="0" w:line="39" w:lineRule="exact"/>
        <w:rPr>
          <w:rFonts w:ascii="Times New Roman" w:cs="Times New Roman" w:eastAsia="Times New Roman" w:hAnsi="Times New Roman"/>
          <w:sz w:val="12"/>
          <w:szCs w:val="12"/>
          <w:color w:val="auto"/>
        </w:rPr>
      </w:pPr>
    </w:p>
    <w:p>
      <w:pPr>
        <w:ind w:left="1980" w:hanging="220"/>
        <w:spacing w:after="0"/>
        <w:tabs>
          <w:tab w:leader="none" w:pos="1980" w:val="left"/>
        </w:tabs>
        <w:numPr>
          <w:ilvl w:val="0"/>
          <w:numId w:val="1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7(a) of the Note is hereby amended by adding the following sentence to the end of Section 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-440055</wp:posOffset>
            </wp:positionV>
            <wp:extent cx="404622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21">
                      <a:extLst>
                        <a:ext uri="{28A0092B-C50C-407E-A947-70E740481C1C}"/>
                      </a:extLst>
                    </a:blip>
                    <a:srcRect/>
                    <a:stretch>
                      <a:fillRect/>
                    </a:stretch>
                  </pic:blipFill>
                  <pic:spPr bwMode="auto">
                    <a:xfrm>
                      <a:off x="0" y="0"/>
                      <a:ext cx="4046220"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-348615</wp:posOffset>
            </wp:positionV>
            <wp:extent cx="304609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22">
                      <a:extLst>
                        <a:ext uri="{28A0092B-C50C-407E-A947-70E740481C1C}"/>
                      </a:extLst>
                    </a:blip>
                    <a:srcRect/>
                    <a:stretch>
                      <a:fillRect/>
                    </a:stretch>
                  </pic:blipFill>
                  <pic:spPr bwMode="auto">
                    <a:xfrm>
                      <a:off x="0" y="0"/>
                      <a:ext cx="3046095" cy="5715"/>
                    </a:xfrm>
                    <a:prstGeom prst="rect">
                      <a:avLst/>
                    </a:prstGeom>
                    <a:noFill/>
                  </pic:spPr>
                </pic:pic>
              </a:graphicData>
            </a:graphic>
          </wp:anchor>
        </w:drawing>
      </w:r>
    </w:p>
    <w:p>
      <w:pPr>
        <w:spacing w:after="0" w:line="58" w:lineRule="exact"/>
        <w:rPr>
          <w:sz w:val="20"/>
          <w:szCs w:val="20"/>
          <w:color w:val="auto"/>
        </w:rPr>
      </w:pPr>
    </w:p>
    <w:p>
      <w:pPr>
        <w:ind w:left="1780" w:right="859"/>
        <w:spacing w:after="0" w:line="265" w:lineRule="auto"/>
        <w:rPr>
          <w:sz w:val="20"/>
          <w:szCs w:val="20"/>
          <w:color w:val="auto"/>
        </w:rPr>
      </w:pPr>
      <w:r>
        <w:rPr>
          <w:rFonts w:ascii="Times New Roman" w:cs="Times New Roman" w:eastAsia="Times New Roman" w:hAnsi="Times New Roman"/>
          <w:sz w:val="12"/>
          <w:szCs w:val="12"/>
          <w:color w:val="auto"/>
        </w:rPr>
        <w:t>“For the avoidance of doubt, the Company shall not, and shall not permit any of the Subsidiaries, to transfer any assets or rights of the Company or any Subsidiary to any Subsidiary that is not a Qualified Subsidiary without the prior written consent of the Required Holders.”</w:t>
      </w:r>
    </w:p>
    <w:p>
      <w:pPr>
        <w:spacing w:after="0" w:line="47" w:lineRule="exact"/>
        <w:rPr>
          <w:sz w:val="20"/>
          <w:szCs w:val="20"/>
          <w:color w:val="auto"/>
        </w:rPr>
      </w:pPr>
    </w:p>
    <w:p>
      <w:pPr>
        <w:ind w:left="1960" w:hanging="200"/>
        <w:spacing w:after="0"/>
        <w:tabs>
          <w:tab w:leader="none" w:pos="196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1.1 of the SPA is hereby amended by amending and restating the following definitions in their entirety as follows:</w:t>
      </w:r>
    </w:p>
    <w:p>
      <w:pPr>
        <w:spacing w:after="0" w:line="78" w:lineRule="exact"/>
        <w:rPr>
          <w:rFonts w:ascii="Times New Roman" w:cs="Times New Roman" w:eastAsia="Times New Roman" w:hAnsi="Times New Roman"/>
          <w:sz w:val="12"/>
          <w:szCs w:val="12"/>
          <w:color w:val="auto"/>
        </w:rPr>
      </w:pPr>
    </w:p>
    <w:p>
      <w:pPr>
        <w:ind w:left="1780" w:right="939" w:firstLine="262"/>
        <w:spacing w:after="0" w:line="255" w:lineRule="auto"/>
        <w:tabs>
          <w:tab w:leader="none" w:pos="2232"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Qualified Subsidiary</w:t>
      </w:r>
      <w:r>
        <w:rPr>
          <w:rFonts w:ascii="Times New Roman" w:cs="Times New Roman" w:eastAsia="Times New Roman" w:hAnsi="Times New Roman"/>
          <w:sz w:val="12"/>
          <w:szCs w:val="12"/>
          <w:color w:val="auto"/>
        </w:rPr>
        <w:t xml:space="preserve">” means any Subsidiary that has executed and delivered the Subsidiary Guaranty to the Holder and in which the Agent (for the benefit of the Secured Parties) has a perfected, first priority Lien (other than with respect to assets subject to Permitted Liens under clause (c)(ii) and (c)(iii) thereof, in which, in each case, Agent (for the benefit of the Secured Parties) shall have a perfected, second priority Lien) in substantially all of the assets and property of such Subsidiary. </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53" w:lineRule="exact"/>
        <w:rPr>
          <w:rFonts w:ascii="Times New Roman" w:cs="Times New Roman" w:eastAsia="Times New Roman" w:hAnsi="Times New Roman"/>
          <w:sz w:val="12"/>
          <w:szCs w:val="12"/>
          <w:color w:val="auto"/>
        </w:rPr>
      </w:pPr>
    </w:p>
    <w:p>
      <w:pPr>
        <w:ind w:left="1780" w:right="919" w:firstLine="262"/>
        <w:spacing w:after="0" w:line="260" w:lineRule="auto"/>
        <w:tabs>
          <w:tab w:leader="none" w:pos="2225"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Subsidiary</w:t>
      </w:r>
      <w:r>
        <w:rPr>
          <w:rFonts w:ascii="Times New Roman" w:cs="Times New Roman" w:eastAsia="Times New Roman" w:hAnsi="Times New Roman"/>
          <w:sz w:val="12"/>
          <w:szCs w:val="12"/>
          <w:color w:val="auto"/>
        </w:rPr>
        <w:t xml:space="preserve">” means any subsidiary of the Company as set forth on Schedule 3.1(a) and shall, where applicable, include any direct or indirect subsidiary of the Company formed or acquired after the date hereof. </w:t>
      </w:r>
      <w:r>
        <w:rPr>
          <w:rFonts w:ascii="Times New Roman" w:cs="Times New Roman" w:eastAsia="Times New Roman" w:hAnsi="Times New Roman"/>
          <w:sz w:val="12"/>
          <w:szCs w:val="12"/>
          <w:u w:val="single" w:color="auto"/>
          <w:color w:val="0000FF"/>
        </w:rPr>
        <w:t>Notwithstanding anything to the contrary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any reference to “Subsidiary”, “subsidiary” or “Qualified Subsidiary”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50" w:lineRule="exact"/>
        <w:rPr>
          <w:rFonts w:ascii="Times New Roman" w:cs="Times New Roman" w:eastAsia="Times New Roman" w:hAnsi="Times New Roman"/>
          <w:sz w:val="12"/>
          <w:szCs w:val="12"/>
          <w:color w:val="auto"/>
        </w:rPr>
      </w:pPr>
    </w:p>
    <w:p>
      <w:pPr>
        <w:ind w:left="1940" w:hanging="180"/>
        <w:spacing w:after="0"/>
        <w:tabs>
          <w:tab w:leader="none" w:pos="194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22 of the Security Agreement is hereby amended by adding the following sentence to the end of Section 22:</w:t>
      </w:r>
    </w:p>
    <w:p>
      <w:pPr>
        <w:spacing w:after="0" w:line="78" w:lineRule="exact"/>
        <w:rPr>
          <w:rFonts w:ascii="Times New Roman" w:cs="Times New Roman" w:eastAsia="Times New Roman" w:hAnsi="Times New Roman"/>
          <w:sz w:val="12"/>
          <w:szCs w:val="12"/>
          <w:color w:val="auto"/>
        </w:rPr>
      </w:pPr>
    </w:p>
    <w:p>
      <w:pPr>
        <w:ind w:left="1780" w:right="859" w:firstLine="262"/>
        <w:spacing w:after="0" w:line="265" w:lineRule="auto"/>
        <w:tabs>
          <w:tab w:leader="none" w:pos="2232"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46" w:lineRule="exact"/>
        <w:rPr>
          <w:rFonts w:ascii="Times New Roman" w:cs="Times New Roman" w:eastAsia="Times New Roman" w:hAnsi="Times New Roman"/>
          <w:sz w:val="12"/>
          <w:szCs w:val="12"/>
          <w:color w:val="auto"/>
        </w:rPr>
      </w:pPr>
    </w:p>
    <w:p>
      <w:pPr>
        <w:ind w:left="1960" w:hanging="200"/>
        <w:spacing w:after="0"/>
        <w:tabs>
          <w:tab w:leader="none" w:pos="1960" w:val="left"/>
        </w:tabs>
        <w:numPr>
          <w:ilvl w:val="0"/>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18 of the Intercompany Subordination Agreement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-1171575</wp:posOffset>
            </wp:positionV>
            <wp:extent cx="399478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23">
                      <a:extLst>
                        <a:ext uri="{28A0092B-C50C-407E-A947-70E740481C1C}"/>
                      </a:extLst>
                    </a:blip>
                    <a:srcRect/>
                    <a:stretch>
                      <a:fillRect/>
                    </a:stretch>
                  </pic:blipFill>
                  <pic:spPr bwMode="auto">
                    <a:xfrm>
                      <a:off x="0" y="0"/>
                      <a:ext cx="399478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-1080135</wp:posOffset>
            </wp:positionV>
            <wp:extent cx="376618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24">
                      <a:extLst>
                        <a:ext uri="{28A0092B-C50C-407E-A947-70E740481C1C}"/>
                      </a:extLst>
                    </a:blip>
                    <a:srcRect/>
                    <a:stretch>
                      <a:fillRect/>
                    </a:stretch>
                  </pic:blipFill>
                  <pic:spPr bwMode="auto">
                    <a:xfrm>
                      <a:off x="0" y="0"/>
                      <a:ext cx="376618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-988695</wp:posOffset>
            </wp:positionV>
            <wp:extent cx="37719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25">
                      <a:extLst>
                        <a:ext uri="{28A0092B-C50C-407E-A947-70E740481C1C}"/>
                      </a:extLst>
                    </a:blip>
                    <a:srcRect/>
                    <a:stretch>
                      <a:fillRect/>
                    </a:stretch>
                  </pic:blipFill>
                  <pic:spPr bwMode="auto">
                    <a:xfrm>
                      <a:off x="0" y="0"/>
                      <a:ext cx="377190" cy="571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-760095</wp:posOffset>
            </wp:positionV>
            <wp:extent cx="125730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6">
                      <a:extLst>
                        <a:ext uri="{28A0092B-C50C-407E-A947-70E740481C1C}"/>
                      </a:extLst>
                    </a:blip>
                    <a:srcRect/>
                    <a:stretch>
                      <a:fillRect/>
                    </a:stretch>
                  </pic:blipFill>
                  <pic:spPr bwMode="auto">
                    <a:xfrm>
                      <a:off x="0" y="0"/>
                      <a:ext cx="1257300"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-668655</wp:posOffset>
            </wp:positionV>
            <wp:extent cx="39776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7">
                      <a:extLst>
                        <a:ext uri="{28A0092B-C50C-407E-A947-70E740481C1C}"/>
                      </a:extLst>
                    </a:blip>
                    <a:srcRect/>
                    <a:stretch>
                      <a:fillRect/>
                    </a:stretch>
                  </pic:blipFill>
                  <pic:spPr bwMode="auto">
                    <a:xfrm>
                      <a:off x="0" y="0"/>
                      <a:ext cx="3977640"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-577215</wp:posOffset>
            </wp:positionV>
            <wp:extent cx="2908935"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28">
                      <a:extLst>
                        <a:ext uri="{28A0092B-C50C-407E-A947-70E740481C1C}"/>
                      </a:extLst>
                    </a:blip>
                    <a:srcRect/>
                    <a:stretch>
                      <a:fillRect/>
                    </a:stretch>
                  </pic:blipFill>
                  <pic:spPr bwMode="auto">
                    <a:xfrm>
                      <a:off x="0" y="0"/>
                      <a:ext cx="2908935" cy="571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-302895</wp:posOffset>
            </wp:positionV>
            <wp:extent cx="3629025"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9">
                      <a:extLst>
                        <a:ext uri="{28A0092B-C50C-407E-A947-70E740481C1C}"/>
                      </a:extLst>
                    </a:blip>
                    <a:srcRect/>
                    <a:stretch>
                      <a:fillRect/>
                    </a:stretch>
                  </pic:blipFill>
                  <pic:spPr bwMode="auto">
                    <a:xfrm>
                      <a:off x="0" y="0"/>
                      <a:ext cx="362902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-211455</wp:posOffset>
            </wp:positionV>
            <wp:extent cx="4040505"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30">
                      <a:extLst>
                        <a:ext uri="{28A0092B-C50C-407E-A947-70E740481C1C}"/>
                      </a:extLst>
                    </a:blip>
                    <a:srcRect/>
                    <a:stretch>
                      <a:fillRect/>
                    </a:stretch>
                  </pic:blipFill>
                  <pic:spPr bwMode="auto">
                    <a:xfrm>
                      <a:off x="0" y="0"/>
                      <a:ext cx="404050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-120015</wp:posOffset>
            </wp:positionV>
            <wp:extent cx="46863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31">
                      <a:extLst>
                        <a:ext uri="{28A0092B-C50C-407E-A947-70E740481C1C}"/>
                      </a:extLst>
                    </a:blip>
                    <a:srcRect/>
                    <a:stretch>
                      <a:fillRect/>
                    </a:stretch>
                  </pic:blipFill>
                  <pic:spPr bwMode="auto">
                    <a:xfrm>
                      <a:off x="0" y="0"/>
                      <a:ext cx="468630" cy="5715"/>
                    </a:xfrm>
                    <a:prstGeom prst="rect">
                      <a:avLst/>
                    </a:prstGeom>
                    <a:noFill/>
                  </pic:spPr>
                </pic:pic>
              </a:graphicData>
            </a:graphic>
          </wp:anchor>
        </w:drawing>
      </w:r>
    </w:p>
    <w:p>
      <w:pPr>
        <w:sectPr>
          <w:pgSz w:w="11900" w:h="16838" w:orient="portrait"/>
          <w:cols w:equalWidth="0" w:num="1">
            <w:col w:w="9019"/>
          </w:cols>
          <w:pgMar w:left="1440" w:top="228" w:right="1440" w:bottom="1440" w:gutter="0" w:footer="0" w:header="0"/>
        </w:sectPr>
      </w:pPr>
    </w:p>
    <w:bookmarkStart w:id="358" w:name="page359"/>
    <w:bookmarkEnd w:id="358"/>
    <w:p>
      <w:pPr>
        <w:ind w:left="1780" w:right="939" w:firstLine="262"/>
        <w:spacing w:after="0" w:line="254" w:lineRule="auto"/>
        <w:tabs>
          <w:tab w:leader="none" w:pos="2232"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Times New Roman" w:cs="Times New Roman" w:eastAsia="Times New Roman" w:hAnsi="Times New Roman"/>
          <w:sz w:val="12"/>
          <w:szCs w:val="12"/>
          <w:u w:val="single" w:color="auto"/>
          <w:color w:val="auto"/>
        </w:rPr>
        <w:t>Additional Subordinated Parties</w:t>
      </w:r>
      <w:r>
        <w:rPr>
          <w:rFonts w:ascii="Times New Roman" w:cs="Times New Roman" w:eastAsia="Times New Roman" w:hAnsi="Times New Roman"/>
          <w:sz w:val="12"/>
          <w:szCs w:val="12"/>
          <w:color w:val="auto"/>
        </w:rPr>
        <w:t>. Upon execution and delivery after the date hereof by any Qualified Subsidiary that has become, or shall become, an obligor or obligee in respect of any Subordinated Intercompany Obligations of a counterpart signature hereto, such Person shall automatically become a party hereto as a “Subordinated Debtor”, a “Subordinated Lender” or both, as the case may be, with the same force and effect as if originally named as such herein. The rights and obligations under this Agreement of each other party hereto shall remain in full force and effect notwithstanding the addition of any such Person as a party to this Agreement. “</w:t>
      </w:r>
      <w:r>
        <w:rPr>
          <w:rFonts w:ascii="Times New Roman" w:cs="Times New Roman" w:eastAsia="Times New Roman" w:hAnsi="Times New Roman"/>
          <w:sz w:val="12"/>
          <w:szCs w:val="12"/>
          <w:u w:val="single" w:color="auto"/>
          <w:color w:val="0000FF"/>
        </w:rPr>
        <w:t>Notwithstanding anything to the contrary herein, any reference to “Subsidiary”, “subsidiary”, “Qualified Subsidiary”,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“Subordinated Debtor” or “obligor”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55" w:lineRule="exact"/>
        <w:rPr>
          <w:rFonts w:ascii="Times New Roman" w:cs="Times New Roman" w:eastAsia="Times New Roman" w:hAnsi="Times New Roman"/>
          <w:sz w:val="12"/>
          <w:szCs w:val="12"/>
          <w:color w:val="auto"/>
        </w:rPr>
      </w:pPr>
    </w:p>
    <w:p>
      <w:pPr>
        <w:ind w:left="2000" w:hanging="240"/>
        <w:spacing w:after="0"/>
        <w:tabs>
          <w:tab w:leader="none" w:pos="200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Perfection Certificate is hereby amended as follows:</w:t>
      </w:r>
    </w:p>
    <w:p>
      <w:pPr>
        <w:spacing w:after="0" w:line="78"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32"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1(g) to the Perfection Certificate shall be amended and restated in the form of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25"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2(b) to the Perfection Certificate shall be amended and restated in the form of </w:t>
      </w:r>
      <w:r>
        <w:rPr>
          <w:rFonts w:ascii="Times New Roman" w:cs="Times New Roman" w:eastAsia="Times New Roman" w:hAnsi="Times New Roman"/>
          <w:sz w:val="12"/>
          <w:szCs w:val="12"/>
          <w:u w:val="single" w:color="auto"/>
          <w:color w:val="auto"/>
        </w:rPr>
        <w:t>Annex D</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3 to the Perfection Certificate shall be amended and restated in the form of </w:t>
      </w:r>
      <w:r>
        <w:rPr>
          <w:rFonts w:ascii="Times New Roman" w:cs="Times New Roman" w:eastAsia="Times New Roman" w:hAnsi="Times New Roman"/>
          <w:sz w:val="12"/>
          <w:szCs w:val="12"/>
          <w:u w:val="single" w:color="auto"/>
          <w:color w:val="auto"/>
        </w:rPr>
        <w:t>Annex E</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7 to the Perfection Certificate shall be amended and restated in the form of </w:t>
      </w:r>
      <w:r>
        <w:rPr>
          <w:rFonts w:ascii="Times New Roman" w:cs="Times New Roman" w:eastAsia="Times New Roman" w:hAnsi="Times New Roman"/>
          <w:sz w:val="12"/>
          <w:szCs w:val="12"/>
          <w:u w:val="single" w:color="auto"/>
          <w:color w:val="auto"/>
        </w:rPr>
        <w:t>Annex F</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20" w:hanging="178"/>
        <w:spacing w:after="0"/>
        <w:tabs>
          <w:tab w:leader="none" w:pos="222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8 to the Perfection Certificate shall be amended and restated in the form of </w:t>
      </w:r>
      <w:r>
        <w:rPr>
          <w:rFonts w:ascii="Times New Roman" w:cs="Times New Roman" w:eastAsia="Times New Roman" w:hAnsi="Times New Roman"/>
          <w:sz w:val="12"/>
          <w:szCs w:val="12"/>
          <w:u w:val="single" w:color="auto"/>
          <w:color w:val="auto"/>
        </w:rPr>
        <w:t>Annex G</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20" w:hanging="178"/>
        <w:spacing w:after="0"/>
        <w:tabs>
          <w:tab w:leader="none" w:pos="222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9 to the Perfection Certificate shall be amended and restated in the form of </w:t>
      </w:r>
      <w:r>
        <w:rPr>
          <w:rFonts w:ascii="Times New Roman" w:cs="Times New Roman" w:eastAsia="Times New Roman" w:hAnsi="Times New Roman"/>
          <w:sz w:val="12"/>
          <w:szCs w:val="12"/>
          <w:u w:val="single" w:color="auto"/>
          <w:color w:val="auto"/>
        </w:rPr>
        <w:t>Annex H</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10 to the Perfection Certificate shall be amended and restated in the form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11 to the Perfection Certificate shall be amended and restated in the form of </w:t>
      </w:r>
      <w:r>
        <w:rPr>
          <w:rFonts w:ascii="Times New Roman" w:cs="Times New Roman" w:eastAsia="Times New Roman" w:hAnsi="Times New Roman"/>
          <w:sz w:val="12"/>
          <w:szCs w:val="12"/>
          <w:u w:val="single" w:color="auto"/>
          <w:color w:val="auto"/>
        </w:rPr>
        <w:t>Annex J</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040" w:hanging="280"/>
        <w:spacing w:after="0"/>
        <w:tabs>
          <w:tab w:leader="none" w:pos="204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5(m) of the Guarantee is hereby amended and restated in its entirety as follows:</w:t>
      </w:r>
    </w:p>
    <w:p>
      <w:pPr>
        <w:spacing w:after="0" w:line="78" w:lineRule="exact"/>
        <w:rPr>
          <w:rFonts w:ascii="Times New Roman" w:cs="Times New Roman" w:eastAsia="Times New Roman" w:hAnsi="Times New Roman"/>
          <w:sz w:val="12"/>
          <w:szCs w:val="12"/>
          <w:color w:val="auto"/>
        </w:rPr>
      </w:pPr>
    </w:p>
    <w:p>
      <w:pPr>
        <w:ind w:left="1780" w:right="859" w:firstLine="262"/>
        <w:spacing w:after="0" w:line="257" w:lineRule="auto"/>
        <w:tabs>
          <w:tab w:leader="none" w:pos="2232"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Guarantors</w:t>
      </w:r>
      <w:r>
        <w:rPr>
          <w:rFonts w:ascii="Times New Roman" w:cs="Times New Roman" w:eastAsia="Times New Roman" w:hAnsi="Times New Roman"/>
          <w:sz w:val="12"/>
          <w:szCs w:val="12"/>
          <w:color w:val="auto"/>
        </w:rPr>
        <w:t xml:space="preserve">. The Company shall cause each of its domestic subsidiaries formed or acquired on or subsequent to the date hereof to become a Guarantor for all purposes of this Guarantee by executing and delivering an Assumption Agreement in the form of Annex 1 hereto. </w:t>
      </w:r>
      <w:r>
        <w:rPr>
          <w:rFonts w:ascii="Times New Roman" w:cs="Times New Roman" w:eastAsia="Times New Roman" w:hAnsi="Times New Roman"/>
          <w:sz w:val="12"/>
          <w:szCs w:val="12"/>
          <w:u w:val="single" w:color="auto"/>
          <w:color w:val="0000FF"/>
        </w:rPr>
        <w:t>Notwithstanding anything to the contrary herein, any reference to “Guarantor”, “Subsidiary”,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“subsidiary”, or “debtor”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-2239010</wp:posOffset>
            </wp:positionV>
            <wp:extent cx="358330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33">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-2147570</wp:posOffset>
            </wp:positionV>
            <wp:extent cx="3971925"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34">
                      <a:extLst>
                        <a:ext uri="{28A0092B-C50C-407E-A947-70E740481C1C}"/>
                      </a:extLst>
                    </a:blip>
                    <a:srcRect/>
                    <a:stretch>
                      <a:fillRect/>
                    </a:stretch>
                  </pic:blipFill>
                  <pic:spPr bwMode="auto">
                    <a:xfrm>
                      <a:off x="0" y="0"/>
                      <a:ext cx="397192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-2056130</wp:posOffset>
            </wp:positionV>
            <wp:extent cx="1651635"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35">
                      <a:extLst>
                        <a:ext uri="{28A0092B-C50C-407E-A947-70E740481C1C}"/>
                      </a:extLst>
                    </a:blip>
                    <a:srcRect/>
                    <a:stretch>
                      <a:fillRect/>
                    </a:stretch>
                  </pic:blipFill>
                  <pic:spPr bwMode="auto">
                    <a:xfrm>
                      <a:off x="0" y="0"/>
                      <a:ext cx="1651635" cy="571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-181610</wp:posOffset>
            </wp:positionV>
            <wp:extent cx="284035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36">
                      <a:extLst>
                        <a:ext uri="{28A0092B-C50C-407E-A947-70E740481C1C}"/>
                      </a:extLst>
                    </a:blip>
                    <a:srcRect/>
                    <a:stretch>
                      <a:fillRect/>
                    </a:stretch>
                  </pic:blipFill>
                  <pic:spPr bwMode="auto">
                    <a:xfrm>
                      <a:off x="0" y="0"/>
                      <a:ext cx="284035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-90170</wp:posOffset>
            </wp:positionV>
            <wp:extent cx="385191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7">
                      <a:extLst>
                        <a:ext uri="{28A0092B-C50C-407E-A947-70E740481C1C}"/>
                      </a:extLst>
                    </a:blip>
                    <a:srcRect/>
                    <a:stretch>
                      <a:fillRect/>
                    </a:stretch>
                  </pic:blipFill>
                  <pic:spPr bwMode="auto">
                    <a:xfrm>
                      <a:off x="0" y="0"/>
                      <a:ext cx="3851910"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635</wp:posOffset>
            </wp:positionV>
            <wp:extent cx="144589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38">
                      <a:extLst>
                        <a:ext uri="{28A0092B-C50C-407E-A947-70E740481C1C}"/>
                      </a:extLst>
                    </a:blip>
                    <a:srcRect/>
                    <a:stretch>
                      <a:fillRect/>
                    </a:stretch>
                  </pic:blipFill>
                  <pic:spPr bwMode="auto">
                    <a:xfrm>
                      <a:off x="0" y="0"/>
                      <a:ext cx="1445895" cy="5715"/>
                    </a:xfrm>
                    <a:prstGeom prst="rect">
                      <a:avLst/>
                    </a:prstGeom>
                    <a:noFill/>
                  </pic:spPr>
                </pic:pic>
              </a:graphicData>
            </a:graphic>
          </wp:anchor>
        </w:drawing>
      </w:r>
    </w:p>
    <w:p>
      <w:pPr>
        <w:sectPr>
          <w:pgSz w:w="11900" w:h="16838" w:orient="portrait"/>
          <w:cols w:equalWidth="0" w:num="1">
            <w:col w:w="9019"/>
          </w:cols>
          <w:pgMar w:left="1440" w:top="228" w:right="1440" w:bottom="1440" w:gutter="0" w:footer="0" w:header="0"/>
        </w:sectPr>
      </w:pPr>
    </w:p>
    <w:bookmarkStart w:id="359" w:name="page360"/>
    <w:bookmarkEnd w:id="359"/>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4 </w:t>
      </w:r>
      <w:r>
        <w:rPr>
          <w:rFonts w:ascii="Times New Roman" w:cs="Times New Roman" w:eastAsia="Times New Roman" w:hAnsi="Times New Roman"/>
          <w:sz w:val="12"/>
          <w:szCs w:val="12"/>
          <w:u w:val="single" w:color="auto"/>
          <w:color w:val="auto"/>
        </w:rPr>
        <w:t>Agent Direction</w:t>
      </w:r>
      <w:r>
        <w:rPr>
          <w:rFonts w:ascii="Times New Roman" w:cs="Times New Roman" w:eastAsia="Times New Roman" w:hAnsi="Times New Roman"/>
          <w:sz w:val="12"/>
          <w:szCs w:val="12"/>
          <w:color w:val="auto"/>
        </w:rPr>
        <w:t xml:space="preserve">. The Holder hereby authorizes and directs the Agent to execute this Consent, Waiver and Amendment and to enter into any documentation, including, but not limited to the Designated Transaction Documents, reasonably required by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above.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In order to induce the Agent and the Holder to enter into this Consent, Waiver and Amendment,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 hereby represents and warrants as of the date hereof that:</w:t>
      </w:r>
    </w:p>
    <w:p>
      <w:pPr>
        <w:spacing w:after="0" w:line="67" w:lineRule="exact"/>
        <w:rPr>
          <w:sz w:val="20"/>
          <w:szCs w:val="20"/>
          <w:color w:val="auto"/>
        </w:rPr>
      </w:pPr>
    </w:p>
    <w:p>
      <w:pPr>
        <w:ind w:left="1120" w:right="859" w:firstLine="288"/>
        <w:spacing w:after="0" w:line="279" w:lineRule="auto"/>
        <w:tabs>
          <w:tab w:leader="none" w:pos="1565"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the full right, power and authority to enter into and execute this Consent, Waiver and Amendment and to perform all its obligations hereunder and under the Note and the Transaction Documents, as modified herein;</w:t>
      </w:r>
    </w:p>
    <w:p>
      <w:pPr>
        <w:spacing w:after="0" w:line="39" w:lineRule="exact"/>
        <w:rPr>
          <w:rFonts w:ascii="Times New Roman" w:cs="Times New Roman" w:eastAsia="Times New Roman" w:hAnsi="Times New Roman"/>
          <w:sz w:val="12"/>
          <w:szCs w:val="12"/>
          <w:color w:val="auto"/>
        </w:rPr>
      </w:pPr>
    </w:p>
    <w:p>
      <w:pPr>
        <w:ind w:left="1120" w:right="899" w:firstLine="288"/>
        <w:spacing w:after="0" w:line="257" w:lineRule="auto"/>
        <w:tabs>
          <w:tab w:leader="none" w:pos="1572"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Consent, Waiver and Amendment has been duly and validly authorized by all necessary action on the part of the Company, and shall constitute the legal, valid and binding obligations of the Company enforceable against the Company in accordance with the terms hereof,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53" w:lineRule="exact"/>
        <w:rPr>
          <w:rFonts w:ascii="Times New Roman" w:cs="Times New Roman" w:eastAsia="Times New Roman" w:hAnsi="Times New Roman"/>
          <w:sz w:val="12"/>
          <w:szCs w:val="12"/>
          <w:color w:val="auto"/>
        </w:rPr>
      </w:pPr>
    </w:p>
    <w:p>
      <w:pPr>
        <w:ind w:left="1120" w:right="899" w:firstLine="288"/>
        <w:spacing w:after="0" w:line="279" w:lineRule="auto"/>
        <w:tabs>
          <w:tab w:leader="none" w:pos="1565" w:val="left"/>
        </w:tabs>
        <w:numPr>
          <w:ilvl w:val="0"/>
          <w:numId w:val="1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neither the execution and delivery of this Consent, Waiver and Amendment, nor the taking of any actions contemplated hereby and the performance of the obligations hereunder or the Designated Transactions by the Company or any other Subsidiary, does or will, with or without the giving of notice, lapse of time or both, (i) violate or constitute a default, event of default, or event creating a right of acceleration, termination or cancellation of any obligation under any term or provision of any agreement, credit facility, debt or other instrument evidencing Company or Subsidiary Indebtedness (after giving effect to any prior or concurrent consents or waivers under any such agreement, credit facility, debt or other instrument to which the Company or such Subsidiary is a party or otherwise subject, copies of which consents or waivers have been furnished by the Company to the Agent prior to the execution of this Consent, Waiver and Amendment); or (ii) violate any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w:t>
      </w:r>
    </w:p>
    <w:p>
      <w:pPr>
        <w:spacing w:after="0" w:line="44" w:lineRule="exact"/>
        <w:rPr>
          <w:rFonts w:ascii="Times New Roman" w:cs="Times New Roman" w:eastAsia="Times New Roman" w:hAnsi="Times New Roman"/>
          <w:sz w:val="11"/>
          <w:szCs w:val="11"/>
          <w:color w:val="auto"/>
        </w:rPr>
      </w:pPr>
    </w:p>
    <w:p>
      <w:pPr>
        <w:ind w:left="1120" w:right="1159" w:firstLine="288"/>
        <w:spacing w:after="0" w:line="265" w:lineRule="auto"/>
        <w:tabs>
          <w:tab w:leader="none" w:pos="1572"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authorization, consent, approval, license, exemption of or filing or registration with any governmental authority, is or will be necessary for the execution, delivery and performance by the Company of its obligations under this Consent, Waiver and Amendment or the performance by the Company of the Designated Transactions; and</w:t>
      </w:r>
    </w:p>
    <w:p>
      <w:pPr>
        <w:spacing w:after="0" w:line="46" w:lineRule="exact"/>
        <w:rPr>
          <w:rFonts w:ascii="Times New Roman" w:cs="Times New Roman" w:eastAsia="Times New Roman" w:hAnsi="Times New Roman"/>
          <w:sz w:val="12"/>
          <w:szCs w:val="12"/>
          <w:color w:val="auto"/>
        </w:rPr>
      </w:pPr>
    </w:p>
    <w:p>
      <w:pPr>
        <w:ind w:left="1120" w:right="1059" w:firstLine="288"/>
        <w:spacing w:after="0" w:line="265" w:lineRule="auto"/>
        <w:tabs>
          <w:tab w:leader="none" w:pos="1565"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and after giving effect to this Consent, Waiver and Amendment, no Default or Event of Default exists and is continuing on the date hereof and no Default or Event of Default could reasonably be expected to occur as a result of the consummation of the Designated Transactions.</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6 </w:t>
      </w:r>
      <w:r>
        <w:rPr>
          <w:rFonts w:ascii="Times New Roman" w:cs="Times New Roman" w:eastAsia="Times New Roman" w:hAnsi="Times New Roman"/>
          <w:sz w:val="12"/>
          <w:szCs w:val="12"/>
          <w:u w:val="single" w:color="auto"/>
          <w:color w:val="auto"/>
        </w:rPr>
        <w:t>Affirmation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39" w:firstLine="288"/>
        <w:spacing w:after="0" w:line="260" w:lineRule="auto"/>
        <w:tabs>
          <w:tab w:leader="none" w:pos="1565"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expressly consented to pursuant to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hereof, the Company hereby expressly reaffirms, as of the date hereof, all its covenants and agreements contained in the Note and each Transaction Document (in each case, as amended hereby) and agrees that none of its covenants and agreements set forth in the Note or any other Transaction Document (in each case, as amended hereby) shall be reduced or limited by the execution and delivery of this Consent, Waiver and Amendment except as expressly set forth herein.</w:t>
      </w:r>
    </w:p>
    <w:p>
      <w:pPr>
        <w:sectPr>
          <w:pgSz w:w="11900" w:h="16838" w:orient="portrait"/>
          <w:cols w:equalWidth="0" w:num="1">
            <w:col w:w="9019"/>
          </w:cols>
          <w:pgMar w:left="1440" w:top="228" w:right="1440" w:bottom="1440" w:gutter="0" w:footer="0" w:header="0"/>
        </w:sectPr>
      </w:pPr>
    </w:p>
    <w:bookmarkStart w:id="360" w:name="page361"/>
    <w:bookmarkEnd w:id="360"/>
    <w:p>
      <w:pPr>
        <w:ind w:left="1120" w:right="859" w:firstLine="288"/>
        <w:spacing w:after="0" w:line="257" w:lineRule="auto"/>
        <w:tabs>
          <w:tab w:leader="none" w:pos="1572"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Company (on behalf of itself and its Subsidiaries) hereby (i) affirms that each of the Liens granted in or pursuant to the Security Documents are valid and subsisting, and (ii) agrees that this Consent, Waiver and Amendment and all documents executed in connection herewith shall in no manner impair or otherwise adversely affect any of the Liens granted in or pursuant to the Security Documents and such Liens continue unimpaired with the same priority to secure repayment of all Obligations in accordance with the Transaction Documents, whether heretofore or hereafter incurred.</w:t>
      </w:r>
    </w:p>
    <w:p>
      <w:pPr>
        <w:spacing w:after="0" w:line="125"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Condition Subsequent</w:t>
      </w:r>
      <w:r>
        <w:rPr>
          <w:rFonts w:ascii="Times New Roman" w:cs="Times New Roman" w:eastAsia="Times New Roman" w:hAnsi="Times New Roman"/>
          <w:sz w:val="12"/>
          <w:szCs w:val="12"/>
          <w:color w:val="auto"/>
        </w:rPr>
        <w:t>. The Company hereby covenants and agrees that no later than April 16, 2025 (or such later date as agreed to by the Agent in writing), the Agent shall have received reimbursement or payment in full of all actual reasonable and documented fees and expenses of Pryor Cashman LLP, as counsel for the Agent, to the extent invoiced on or prior to the Consent, Waiver and Amendment Effective Date.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59" w:firstLine="288"/>
        <w:spacing w:after="0" w:line="255" w:lineRule="auto"/>
        <w:tabs>
          <w:tab w:leader="none" w:pos="1565"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to the Holder that: (a) nothing in this Consent, Waiver and Amendment, including, without limitation, the transactions contemplated hereby, constitutes material non-public information and (b) as of the time of execution of this Consent, the Holder is not in possession of any material, nonpublic information received from the Company or any of its Subsidiaries or any of their respective officers, directors, employees, affiliates or agents, that has not been publicly disclosed. Further, the Company expressly acknowledges and agrees that, as of the date hereof, the Holder shall not have, any duty of confidentiality with respect to, or a duty not to trade on the basis of, any material, non-public information regarding the Company or any of its Subsidiaries. The Company understands and confirms that the Holder will rely on the foregoing representations in effecting transactions in securities of the Company.</w:t>
      </w:r>
    </w:p>
    <w:p>
      <w:pPr>
        <w:spacing w:after="0" w:line="53" w:lineRule="exact"/>
        <w:rPr>
          <w:rFonts w:ascii="Times New Roman" w:cs="Times New Roman" w:eastAsia="Times New Roman" w:hAnsi="Times New Roman"/>
          <w:sz w:val="12"/>
          <w:szCs w:val="12"/>
          <w:color w:val="auto"/>
        </w:rPr>
      </w:pPr>
    </w:p>
    <w:p>
      <w:pPr>
        <w:ind w:left="1120" w:right="999" w:firstLine="288"/>
        <w:spacing w:after="0" w:line="279" w:lineRule="auto"/>
        <w:tabs>
          <w:tab w:leader="none" w:pos="1572"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set forth in this Section 7(b), this Consent, Waiver and Amendment shall be effective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upon the due execution and delivery by the Company and the Holder of this Consent, Waiver and Amendment.</w:t>
      </w:r>
    </w:p>
    <w:p>
      <w:pPr>
        <w:spacing w:after="0" w:line="39" w:lineRule="exact"/>
        <w:rPr>
          <w:rFonts w:ascii="Times New Roman" w:cs="Times New Roman" w:eastAsia="Times New Roman" w:hAnsi="Times New Roman"/>
          <w:sz w:val="12"/>
          <w:szCs w:val="12"/>
          <w:color w:val="auto"/>
        </w:rPr>
      </w:pPr>
    </w:p>
    <w:p>
      <w:pPr>
        <w:ind w:left="1120" w:right="919" w:firstLine="288"/>
        <w:spacing w:after="0" w:line="279" w:lineRule="auto"/>
        <w:tabs>
          <w:tab w:leader="none" w:pos="1565"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headings in this Consent, Waiver and Amendment are included herein for convenience of reference only and shall not constitute a part of this Consent, Waiver and Amendment for any other purposes.</w:t>
      </w:r>
    </w:p>
    <w:p>
      <w:pPr>
        <w:spacing w:after="0" w:line="39" w:lineRule="exact"/>
        <w:rPr>
          <w:rFonts w:ascii="Times New Roman" w:cs="Times New Roman" w:eastAsia="Times New Roman" w:hAnsi="Times New Roman"/>
          <w:sz w:val="12"/>
          <w:szCs w:val="12"/>
          <w:color w:val="auto"/>
        </w:rPr>
      </w:pPr>
    </w:p>
    <w:p>
      <w:pPr>
        <w:ind w:left="1120" w:right="1019" w:firstLine="288"/>
        <w:spacing w:after="0" w:line="257" w:lineRule="auto"/>
        <w:tabs>
          <w:tab w:leader="none" w:pos="1572"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Consent, Waiver and Amendment may be executed with counterpart signature pages or in any number of counterparts, each of which shall be deemed to be an original, but all such separate counterparts shall together constitute but one and the same agreement. In proving this Consent, Waiver and Amendment or any other Transaction Document in any judicial proceedings, it shall not be necessary to produce or account for more than one such counterpart signed by the party against whom such enforcement is sought. Any signatures hereto delivered by electronic transmission shall be deemed an original signature hereto.</w:t>
      </w:r>
    </w:p>
    <w:p>
      <w:pPr>
        <w:spacing w:after="0" w:line="53" w:lineRule="exact"/>
        <w:rPr>
          <w:rFonts w:ascii="Times New Roman" w:cs="Times New Roman" w:eastAsia="Times New Roman" w:hAnsi="Times New Roman"/>
          <w:sz w:val="12"/>
          <w:szCs w:val="12"/>
          <w:color w:val="auto"/>
        </w:rPr>
      </w:pPr>
    </w:p>
    <w:p>
      <w:pPr>
        <w:ind w:left="1120" w:right="939" w:firstLine="288"/>
        <w:spacing w:after="0" w:line="279" w:lineRule="auto"/>
        <w:tabs>
          <w:tab w:leader="none" w:pos="1565"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waiver or modification hereof or of any agreement referred to herein shall be binding or enforceable unless in writing and signed by all of the parties hereto or thereto.</w:t>
      </w:r>
    </w:p>
    <w:p>
      <w:pPr>
        <w:sectPr>
          <w:pgSz w:w="11900" w:h="16838" w:orient="portrait"/>
          <w:cols w:equalWidth="0" w:num="1">
            <w:col w:w="9019"/>
          </w:cols>
          <w:pgMar w:left="1440" w:top="228" w:right="1440" w:bottom="1440" w:gutter="0" w:footer="0" w:header="0"/>
        </w:sectPr>
      </w:pPr>
    </w:p>
    <w:bookmarkStart w:id="361" w:name="page362"/>
    <w:bookmarkEnd w:id="361"/>
    <w:p>
      <w:pPr>
        <w:jc w:val="both"/>
        <w:ind w:left="1120" w:right="879" w:firstLine="288"/>
        <w:spacing w:after="0" w:line="265" w:lineRule="auto"/>
        <w:tabs>
          <w:tab w:leader="none" w:pos="1552"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From and after the date on which this Consent, Waiver and Amendment shall be effective, the term “Transaction Documents” in the Note and the other Note Documents shall include, without limitation, this Consent, Waiver and Amendment and any agreements, instruments and other documents executed and/or delivered in connection herewith.</w:t>
      </w:r>
    </w:p>
    <w:p>
      <w:pPr>
        <w:spacing w:after="0" w:line="46" w:lineRule="exact"/>
        <w:rPr>
          <w:rFonts w:ascii="Times New Roman" w:cs="Times New Roman" w:eastAsia="Times New Roman" w:hAnsi="Times New Roman"/>
          <w:sz w:val="12"/>
          <w:szCs w:val="12"/>
          <w:color w:val="auto"/>
        </w:rPr>
      </w:pPr>
    </w:p>
    <w:p>
      <w:pPr>
        <w:jc w:val="both"/>
        <w:ind w:left="1120" w:right="1239" w:firstLine="288"/>
        <w:spacing w:after="0" w:line="265" w:lineRule="auto"/>
        <w:tabs>
          <w:tab w:leader="none" w:pos="1572"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PROVISIONS OF SECTION 31 (GOVERNING LAW) OF THE NOTE ARE HEREBY INCORPORATED HEREIN BY REFERENCE AND SHALL APPLY TO THIS CONSENT, WAIVER AND AMENDMENT MUTATIS MUTANDIS AS IF FULLY SET FORTH HEREIN.</w:t>
      </w:r>
    </w:p>
    <w:p>
      <w:pPr>
        <w:spacing w:after="0" w:line="46" w:lineRule="exact"/>
        <w:rPr>
          <w:rFonts w:ascii="Times New Roman" w:cs="Times New Roman" w:eastAsia="Times New Roman" w:hAnsi="Times New Roman"/>
          <w:sz w:val="12"/>
          <w:szCs w:val="12"/>
          <w:color w:val="auto"/>
        </w:rPr>
      </w:pPr>
    </w:p>
    <w:p>
      <w:pPr>
        <w:ind w:left="1120" w:right="839" w:firstLine="288"/>
        <w:spacing w:after="0" w:line="256" w:lineRule="auto"/>
        <w:tabs>
          <w:tab w:leader="none" w:pos="1572"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set forth in any Transaction Document, the parties agree that each party hereto (including the Holder and Agent) is responsible for paying for their own fees, costs and expenses, including legal fees incurred in connection with this Consent, Waiver and Amendment except that, so long as Company has received an invoice for such amounts on or prior to the date hereof, within 5 Business Days following the date of this Consent, Waiver and Amendment, the Company agrees to reimburse actual, reasonable and documented legal fees incurred by the Holder, and/or the Agent (including those incurred in connection with any other consent delivered in connection with the Tranche A Note).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ectPr>
          <w:pgSz w:w="11900" w:h="16838" w:orient="portrait"/>
          <w:cols w:equalWidth="0" w:num="1">
            <w:col w:w="9019"/>
          </w:cols>
          <w:pgMar w:left="1440" w:top="228" w:right="1440" w:bottom="1440" w:gutter="0" w:footer="0" w:header="0"/>
        </w:sectPr>
      </w:pPr>
    </w:p>
    <w:bookmarkStart w:id="362" w:name="page363"/>
    <w:bookmarkEnd w:id="362"/>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ORAMED PHARMACEUTICALS INC.</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Avi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43">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Avi Gabay</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CFO</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A Consent]</w:t>
      </w:r>
    </w:p>
    <w:p>
      <w:pPr>
        <w:sectPr>
          <w:pgSz w:w="11900" w:h="16838" w:orient="portrait"/>
          <w:cols w:equalWidth="0" w:num="1">
            <w:col w:w="9019"/>
          </w:cols>
          <w:pgMar w:left="1440" w:top="224" w:right="1440" w:bottom="1440" w:gutter="0" w:footer="0" w:header="0"/>
        </w:sectPr>
      </w:pPr>
    </w:p>
    <w:bookmarkStart w:id="363" w:name="page364"/>
    <w:bookmarkEnd w:id="363"/>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ACQUIOM AGENCY SERVICES LLC, as Agent</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Beth Cesari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5">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Beth Cesari</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Exec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A Consent]</w:t>
      </w:r>
    </w:p>
    <w:p>
      <w:pPr>
        <w:sectPr>
          <w:pgSz w:w="11900" w:h="16838" w:orient="portrait"/>
          <w:cols w:equalWidth="0" w:num="1">
            <w:col w:w="9019"/>
          </w:cols>
          <w:pgMar w:left="1440" w:top="224" w:right="1440" w:bottom="1440" w:gutter="0" w:footer="0" w:header="0"/>
        </w:sectPr>
      </w:pPr>
    </w:p>
    <w:bookmarkStart w:id="364" w:name="page365"/>
    <w:bookmarkEnd w:id="364"/>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7">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Jaisim Shah</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Chief Executive Officer and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A Consent]</w:t>
      </w:r>
    </w:p>
    <w:p>
      <w:pPr>
        <w:sectPr>
          <w:pgSz w:w="11900" w:h="16838" w:orient="portrait"/>
          <w:cols w:equalWidth="0" w:num="1">
            <w:col w:w="9019"/>
          </w:cols>
          <w:pgMar w:left="1440" w:top="224" w:right="1440" w:bottom="1440" w:gutter="0" w:footer="0" w:header="0"/>
        </w:sectPr>
      </w:pPr>
    </w:p>
    <w:bookmarkStart w:id="365" w:name="page366"/>
    <w:bookmarkEnd w:id="365"/>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10.76</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April 16, 2025</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Scilex Holding Company</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960 San Antonio Rd.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Palo Alto, CA 94303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Attn: Stephen Ma</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VIA EMAIL</w:t>
      </w:r>
    </w:p>
    <w:p>
      <w:pPr>
        <w:spacing w:after="0" w:line="172" w:lineRule="exact"/>
        <w:rPr>
          <w:sz w:val="20"/>
          <w:szCs w:val="20"/>
          <w:color w:val="auto"/>
        </w:rPr>
      </w:pPr>
    </w:p>
    <w:p>
      <w:pPr>
        <w:ind w:left="1120" w:right="919" w:hanging="279"/>
        <w:spacing w:after="0" w:line="279" w:lineRule="auto"/>
        <w:tabs>
          <w:tab w:leader="none" w:pos="1100" w:val="left"/>
        </w:tabs>
        <w:rPr>
          <w:sz w:val="20"/>
          <w:szCs w:val="20"/>
          <w:color w:val="auto"/>
        </w:rPr>
      </w:pPr>
      <w:r>
        <w:rPr>
          <w:rFonts w:ascii="Times New Roman" w:cs="Times New Roman" w:eastAsia="Times New Roman" w:hAnsi="Times New Roman"/>
          <w:sz w:val="12"/>
          <w:szCs w:val="12"/>
          <w:color w:val="auto"/>
        </w:rPr>
        <w:t>RE:</w:t>
        <w:tab/>
        <w:t>Consent, Waiver and Amendment re Tranche B Senior Secured Convertible Note and Related Transaction Documents (this “</w:t>
      </w:r>
      <w:r>
        <w:rPr>
          <w:rFonts w:ascii="Times New Roman" w:cs="Times New Roman" w:eastAsia="Times New Roman" w:hAnsi="Times New Roman"/>
          <w:sz w:val="12"/>
          <w:szCs w:val="12"/>
          <w:u w:val="single" w:color="auto"/>
          <w:color w:val="auto"/>
        </w:rPr>
        <w:t>Consent, Waiver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78" w:lineRule="exact"/>
        <w:rPr>
          <w:sz w:val="20"/>
          <w:szCs w:val="20"/>
          <w:color w:val="auto"/>
        </w:rPr>
      </w:pPr>
    </w:p>
    <w:p>
      <w:pPr>
        <w:ind w:left="840" w:right="839" w:firstLine="294"/>
        <w:spacing w:after="0" w:line="252" w:lineRule="auto"/>
        <w:rPr>
          <w:sz w:val="20"/>
          <w:szCs w:val="20"/>
          <w:color w:val="auto"/>
        </w:rPr>
      </w:pPr>
      <w:r>
        <w:rPr>
          <w:rFonts w:ascii="Times New Roman" w:cs="Times New Roman" w:eastAsia="Times New Roman" w:hAnsi="Times New Roman"/>
          <w:sz w:val="12"/>
          <w:szCs w:val="12"/>
          <w:color w:val="auto"/>
        </w:rPr>
        <w:t>Reference is made to (i) that certain Securities Purchase Agreement, dated as of October 7, 2024 (the “</w:t>
      </w:r>
      <w:r>
        <w:rPr>
          <w:rFonts w:ascii="Times New Roman" w:cs="Times New Roman" w:eastAsia="Times New Roman" w:hAnsi="Times New Roman"/>
          <w:sz w:val="12"/>
          <w:szCs w:val="12"/>
          <w:u w:val="single" w:color="auto"/>
          <w:color w:val="auto"/>
        </w:rPr>
        <w:t>SPA</w:t>
      </w:r>
      <w:r>
        <w:rPr>
          <w:rFonts w:ascii="Times New Roman" w:cs="Times New Roman" w:eastAsia="Times New Roman" w:hAnsi="Times New Roman"/>
          <w:sz w:val="12"/>
          <w:szCs w:val="12"/>
          <w:color w:val="auto"/>
        </w:rPr>
        <w:t>”), between Scilex Holding Company,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each investor listed on the Schedule of Buyers attached thereto, (the “</w:t>
      </w:r>
      <w:r>
        <w:rPr>
          <w:rFonts w:ascii="Times New Roman" w:cs="Times New Roman" w:eastAsia="Times New Roman" w:hAnsi="Times New Roman"/>
          <w:sz w:val="12"/>
          <w:szCs w:val="12"/>
          <w:u w:val="single" w:color="auto"/>
          <w:color w:val="auto"/>
        </w:rPr>
        <w:t>Buyers</w:t>
      </w:r>
      <w:r>
        <w:rPr>
          <w:rFonts w:ascii="Times New Roman" w:cs="Times New Roman" w:eastAsia="Times New Roman" w:hAnsi="Times New Roman"/>
          <w:sz w:val="12"/>
          <w:szCs w:val="12"/>
          <w:color w:val="auto"/>
        </w:rPr>
        <w:t>”) and Acquiom Agency Services LLC, a Colorado limited liability company (“</w:t>
      </w:r>
      <w:r>
        <w:rPr>
          <w:rFonts w:ascii="Times New Roman" w:cs="Times New Roman" w:eastAsia="Times New Roman" w:hAnsi="Times New Roman"/>
          <w:sz w:val="12"/>
          <w:szCs w:val="12"/>
          <w:u w:val="single" w:color="auto"/>
          <w:color w:val="auto"/>
        </w:rPr>
        <w:t>Acquiom</w:t>
      </w:r>
      <w:r>
        <w:rPr>
          <w:rFonts w:ascii="Times New Roman" w:cs="Times New Roman" w:eastAsia="Times New Roman" w:hAnsi="Times New Roman"/>
          <w:sz w:val="12"/>
          <w:szCs w:val="12"/>
          <w:color w:val="auto"/>
        </w:rPr>
        <w:t>”), as collateral agent, (ii) that certain Tranche B Senior Secured Convertible Note, dated as of October 8, 2024 (as amended, supplemented or modified from time to time, the “</w:t>
      </w:r>
      <w:r>
        <w:rPr>
          <w:rFonts w:ascii="Times New Roman" w:cs="Times New Roman" w:eastAsia="Times New Roman" w:hAnsi="Times New Roman"/>
          <w:sz w:val="12"/>
          <w:szCs w:val="12"/>
          <w:u w:val="single" w:color="auto"/>
          <w:color w:val="auto"/>
        </w:rPr>
        <w:t>Note</w:t>
      </w:r>
      <w:r>
        <w:rPr>
          <w:rFonts w:ascii="Times New Roman" w:cs="Times New Roman" w:eastAsia="Times New Roman" w:hAnsi="Times New Roman"/>
          <w:sz w:val="12"/>
          <w:szCs w:val="12"/>
          <w:color w:val="auto"/>
        </w:rPr>
        <w:t>”, and together with the Tranche B Senior Secured Convertible Notes, dated as of such date and held by each other holder thereof, as amended, supplemented or modified from time to time, the “</w:t>
      </w:r>
      <w:r>
        <w:rPr>
          <w:rFonts w:ascii="Times New Roman" w:cs="Times New Roman" w:eastAsia="Times New Roman" w:hAnsi="Times New Roman"/>
          <w:sz w:val="12"/>
          <w:szCs w:val="12"/>
          <w:u w:val="single" w:color="auto"/>
          <w:color w:val="auto"/>
        </w:rPr>
        <w:t>Tranche B Notes</w:t>
      </w:r>
      <w:r>
        <w:rPr>
          <w:rFonts w:ascii="Times New Roman" w:cs="Times New Roman" w:eastAsia="Times New Roman" w:hAnsi="Times New Roman"/>
          <w:sz w:val="12"/>
          <w:szCs w:val="12"/>
          <w:color w:val="auto"/>
        </w:rPr>
        <w:t>”), issued by the Company to the undersigned, as Holder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(iii) that certain Amended and Restated Security Agreement, dated as of October 8, 2024 (the “</w:t>
      </w:r>
      <w:r>
        <w:rPr>
          <w:rFonts w:ascii="Times New Roman" w:cs="Times New Roman" w:eastAsia="Times New Roman" w:hAnsi="Times New Roman"/>
          <w:sz w:val="12"/>
          <w:szCs w:val="12"/>
          <w:u w:val="single" w:color="auto"/>
          <w:color w:val="auto"/>
        </w:rPr>
        <w:t>Security Agreement</w:t>
      </w:r>
      <w:r>
        <w:rPr>
          <w:rFonts w:ascii="Times New Roman" w:cs="Times New Roman" w:eastAsia="Times New Roman" w:hAnsi="Times New Roman"/>
          <w:sz w:val="12"/>
          <w:szCs w:val="12"/>
          <w:color w:val="auto"/>
        </w:rPr>
        <w:t xml:space="preserve">”), among,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the Company, and the subsidiaries of the Company party thereto and Acquiom, as the collateral agent (the “</w:t>
      </w:r>
      <w:r>
        <w:rPr>
          <w:rFonts w:ascii="Times New Roman" w:cs="Times New Roman" w:eastAsia="Times New Roman" w:hAnsi="Times New Roman"/>
          <w:sz w:val="12"/>
          <w:szCs w:val="12"/>
          <w:u w:val="single" w:color="auto"/>
          <w:color w:val="auto"/>
        </w:rPr>
        <w:t>Agent</w:t>
      </w:r>
      <w:r>
        <w:rPr>
          <w:rFonts w:ascii="Times New Roman" w:cs="Times New Roman" w:eastAsia="Times New Roman" w:hAnsi="Times New Roman"/>
          <w:sz w:val="12"/>
          <w:szCs w:val="12"/>
          <w:color w:val="auto"/>
        </w:rPr>
        <w:t>”) for (x) the holders of the Note and all Other Notes (as defined in the Note) and (y) the holders of Tranche A Notes (as defined in the Security Agreement) (collectively, the Holder, holders of the Other Notes and the holders of Tranche A Notes (as defined in the Security Agreement),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their endorsees, transferees and assigns (collectively with the Agent, the “</w:t>
      </w:r>
      <w:r>
        <w:rPr>
          <w:rFonts w:ascii="Times New Roman" w:cs="Times New Roman" w:eastAsia="Times New Roman" w:hAnsi="Times New Roman"/>
          <w:sz w:val="12"/>
          <w:szCs w:val="12"/>
          <w:u w:val="single" w:color="auto"/>
          <w:color w:val="auto"/>
        </w:rPr>
        <w:t>Secured Parties</w:t>
      </w:r>
      <w:r>
        <w:rPr>
          <w:rFonts w:ascii="Times New Roman" w:cs="Times New Roman" w:eastAsia="Times New Roman" w:hAnsi="Times New Roman"/>
          <w:sz w:val="12"/>
          <w:szCs w:val="12"/>
          <w:color w:val="auto"/>
        </w:rPr>
        <w:t>”) and as collateral agent for the holders of certain Tranche A Notes (as defined therein), (iv) that certain Senior Secured Promissory Note, dated as of September 21, 2023 (the “</w:t>
      </w:r>
      <w:r>
        <w:rPr>
          <w:rFonts w:ascii="Times New Roman" w:cs="Times New Roman" w:eastAsia="Times New Roman" w:hAnsi="Times New Roman"/>
          <w:sz w:val="12"/>
          <w:szCs w:val="12"/>
          <w:u w:val="single" w:color="auto"/>
          <w:color w:val="auto"/>
        </w:rPr>
        <w:t>Tranche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 Note</w:t>
      </w:r>
      <w:r>
        <w:rPr>
          <w:rFonts w:ascii="Times New Roman" w:cs="Times New Roman" w:eastAsia="Times New Roman" w:hAnsi="Times New Roman"/>
          <w:sz w:val="12"/>
          <w:szCs w:val="12"/>
          <w:color w:val="auto"/>
        </w:rPr>
        <w:t>”), issued by Scilex to Oramed Pharmaceuticals Inc., as holder (the “</w:t>
      </w:r>
      <w:r>
        <w:rPr>
          <w:rFonts w:ascii="Times New Roman" w:cs="Times New Roman" w:eastAsia="Times New Roman" w:hAnsi="Times New Roman"/>
          <w:sz w:val="12"/>
          <w:szCs w:val="12"/>
          <w:u w:val="single" w:color="auto"/>
          <w:color w:val="auto"/>
        </w:rPr>
        <w:t>Tranche A Holder</w:t>
      </w:r>
      <w:r>
        <w:rPr>
          <w:rFonts w:ascii="Times New Roman" w:cs="Times New Roman" w:eastAsia="Times New Roman" w:hAnsi="Times New Roman"/>
          <w:sz w:val="12"/>
          <w:szCs w:val="12"/>
          <w:color w:val="auto"/>
        </w:rPr>
        <w:t>”), (v) that certain Intercompany Indebtedness Subordination Agreement, dated as of September 29, 2023, among the Company, the other Subordinated Lenders (as defined therein) party thereto, Subordinated Debtors (as defined therein) and the Agent (as amended, restated, amended and restated, supplemented or otherwise modified from time to time) (the “</w:t>
      </w:r>
      <w:r>
        <w:rPr>
          <w:rFonts w:ascii="Times New Roman" w:cs="Times New Roman" w:eastAsia="Times New Roman" w:hAnsi="Times New Roman"/>
          <w:sz w:val="12"/>
          <w:szCs w:val="12"/>
          <w:u w:val="single" w:color="auto"/>
          <w:color w:val="auto"/>
        </w:rPr>
        <w:t>Intercompany Subordination Agreement</w:t>
      </w:r>
      <w:r>
        <w:rPr>
          <w:rFonts w:ascii="Times New Roman" w:cs="Times New Roman" w:eastAsia="Times New Roman" w:hAnsi="Times New Roman"/>
          <w:sz w:val="12"/>
          <w:szCs w:val="12"/>
          <w:color w:val="auto"/>
        </w:rPr>
        <w:t>”), and (vi) all related Transaction Documents, as defined in the SPA.</w:t>
      </w:r>
    </w:p>
    <w:p>
      <w:pPr>
        <w:spacing w:after="0" w:line="131" w:lineRule="exact"/>
        <w:rPr>
          <w:sz w:val="20"/>
          <w:szCs w:val="20"/>
          <w:color w:val="auto"/>
        </w:rPr>
      </w:pPr>
    </w:p>
    <w:p>
      <w:pPr>
        <w:ind w:left="840" w:right="137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used but not defined herein are used with the respective meanings assigned to them in the SPA, the Note, the Security Agreement or the Intercompany Subordination Agreement, as applicable.</w:t>
      </w:r>
    </w:p>
    <w:p>
      <w:pPr>
        <w:spacing w:after="0" w:line="107" w:lineRule="exact"/>
        <w:rPr>
          <w:sz w:val="20"/>
          <w:szCs w:val="20"/>
          <w:color w:val="auto"/>
        </w:rPr>
      </w:pPr>
    </w:p>
    <w:p>
      <w:pPr>
        <w:ind w:left="840" w:right="10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form an entity in a joint venture with a third party whereby such entity shall be named Scilex Bio, Inc.,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Delaware corporation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left="840" w:right="99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document the formation of Bio JV (“</w:t>
      </w:r>
      <w:r>
        <w:rPr>
          <w:rFonts w:ascii="Times New Roman" w:cs="Times New Roman" w:eastAsia="Times New Roman" w:hAnsi="Times New Roman"/>
          <w:sz w:val="12"/>
          <w:szCs w:val="12"/>
          <w:u w:val="single" w:color="auto"/>
          <w:color w:val="auto"/>
        </w:rPr>
        <w:t>Bio JV Formation</w:t>
      </w:r>
      <w:r>
        <w:rPr>
          <w:rFonts w:ascii="Times New Roman" w:cs="Times New Roman" w:eastAsia="Times New Roman" w:hAnsi="Times New Roman"/>
          <w:sz w:val="12"/>
          <w:szCs w:val="12"/>
          <w:color w:val="auto"/>
        </w:rPr>
        <w:t>”) pursuant to customary corporate documentation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but not limited to a certificate of formation, bylaws and any related corporate documents entered into in connection therewith (the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Formation Documents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40" w:right="91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that the Agent and Holder waive all requirements under the applicable Transaction Documents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require Bio JV to become party to any such Transaction Documents in any capacity, including, but not limited to, in the capacity as a Subsidiary, Grantor, Debtor or any other related capacities described in greater detail below;</w:t>
      </w:r>
    </w:p>
    <w:p>
      <w:pPr>
        <w:sectPr>
          <w:pgSz w:w="11900" w:h="16838" w:orient="portrait"/>
          <w:cols w:equalWidth="0" w:num="1">
            <w:col w:w="9019"/>
          </w:cols>
          <w:pgMar w:left="1440" w:top="125" w:right="1440" w:bottom="1440" w:gutter="0" w:footer="0" w:header="0"/>
        </w:sectPr>
      </w:pPr>
    </w:p>
    <w:bookmarkStart w:id="366" w:name="page367"/>
    <w:bookmarkEnd w:id="366"/>
    <w:p>
      <w:pPr>
        <w:ind w:left="840" w:right="9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w:t>
      </w:r>
      <w:r>
        <w:rPr>
          <w:rFonts w:ascii="Times New Roman" w:cs="Times New Roman" w:eastAsia="Times New Roman" w:hAnsi="Times New Roman"/>
          <w:sz w:val="12"/>
          <w:szCs w:val="12"/>
          <w:color w:val="auto"/>
        </w:rPr>
        <w:t>, the Company has requested that the Agent and Holder make certain amendments to the SPA, the Note, the Security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Perfection Certificate and the Intercompany Subordination Agreement;</w:t>
      </w:r>
    </w:p>
    <w:p>
      <w:pPr>
        <w:spacing w:after="0" w:line="103" w:lineRule="exact"/>
        <w:rPr>
          <w:sz w:val="20"/>
          <w:szCs w:val="20"/>
          <w:color w:val="auto"/>
        </w:rPr>
      </w:pPr>
    </w:p>
    <w:p>
      <w:pPr>
        <w:ind w:left="840" w:right="959" w:firstLine="294"/>
        <w:spacing w:after="0" w:line="254"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or after the date hereof, the Company, Bio JV, and the other parties thereto shall enter into (i) the Contribution Agreement,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substantially the form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Contribution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Contribution Documents</w:t>
      </w:r>
      <w:r>
        <w:rPr>
          <w:rFonts w:ascii="Times New Roman" w:cs="Times New Roman" w:eastAsia="Times New Roman" w:hAnsi="Times New Roman"/>
          <w:sz w:val="12"/>
          <w:szCs w:val="12"/>
          <w:color w:val="auto"/>
        </w:rPr>
        <w:t xml:space="preserve">”), pursuant to which, among other things, the Company will contribute to Bio JV the Contributed Securities (as defined in the Contribution Agreement) and (ii) the KDS2010 Assignment and License Agreement, substantially in the form attached hereto as </w:t>
      </w:r>
      <w:r>
        <w:rPr>
          <w:rFonts w:ascii="Times New Roman" w:cs="Times New Roman" w:eastAsia="Times New Roman" w:hAnsi="Times New Roman"/>
          <w:sz w:val="12"/>
          <w:szCs w:val="12"/>
          <w:u w:val="single" w:color="auto"/>
          <w:color w:val="auto"/>
        </w:rPr>
        <w:t>Annex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License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License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Documents</w:t>
      </w:r>
      <w:r>
        <w:rPr>
          <w:rFonts w:ascii="Times New Roman" w:cs="Times New Roman" w:eastAsia="Times New Roman" w:hAnsi="Times New Roman"/>
          <w:sz w:val="12"/>
          <w:szCs w:val="12"/>
          <w:color w:val="auto"/>
        </w:rPr>
        <w:t>”, and together with the Designated Contribution Documents and the Bio JV Formation Documents, each a “</w:t>
      </w:r>
      <w:r>
        <w:rPr>
          <w:rFonts w:ascii="Times New Roman" w:cs="Times New Roman" w:eastAsia="Times New Roman" w:hAnsi="Times New Roman"/>
          <w:sz w:val="12"/>
          <w:szCs w:val="12"/>
          <w:u w:val="single" w:color="auto"/>
          <w:color w:val="auto"/>
        </w:rPr>
        <w:t>Designated Transaction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Designated Transaction Documents</w:t>
      </w:r>
      <w:r>
        <w:rPr>
          <w:rFonts w:ascii="Times New Roman" w:cs="Times New Roman" w:eastAsia="Times New Roman" w:hAnsi="Times New Roman"/>
          <w:sz w:val="12"/>
          <w:szCs w:val="12"/>
          <w:color w:val="auto"/>
        </w:rPr>
        <w:t>”) (the transactions contemplated by the Designated Transaction Documents and Bio JV Formation, collectively, the “</w:t>
      </w:r>
      <w:r>
        <w:rPr>
          <w:rFonts w:ascii="Times New Roman" w:cs="Times New Roman" w:eastAsia="Times New Roman" w:hAnsi="Times New Roman"/>
          <w:sz w:val="12"/>
          <w:szCs w:val="12"/>
          <w:u w:val="single" w:color="auto"/>
          <w:color w:val="auto"/>
        </w:rPr>
        <w:t>Designated Transactions</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840" w:right="899" w:firstLine="294"/>
        <w:spacing w:after="0" w:line="25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and the Agent and the Holder agree pursuant to the terms set forth herein, to (i) consent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entry into and the consummation of the applicable Designated Transactions and the Designated Transaction Documents, (ii) make certain amendments to the SPA, the Note, the Security Agreement, the Perfection Certificate and the Intercompany Subordination Agreement, and (iii) waive any covenant or provision in any Transaction Document, including, but not limited to, the SPA, the Note, the Security Agreement and the Intercompany Subordination Agreement, that would require Bio JV to become party to any Transaction Document in any capacity;</w:t>
      </w:r>
    </w:p>
    <w:p>
      <w:pPr>
        <w:spacing w:after="0" w:line="119" w:lineRule="exact"/>
        <w:rPr>
          <w:sz w:val="20"/>
          <w:szCs w:val="20"/>
          <w:color w:val="auto"/>
        </w:rPr>
      </w:pPr>
    </w:p>
    <w:p>
      <w:pPr>
        <w:ind w:left="840" w:right="9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Agent, Holder and the Company have duly authorized the execution and delivery of this Consent, Waiver and Amendment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done all things necessary to make this Consent, Waiver and Amendment a valid and binding agreement in accordance with its terms; and</w:t>
      </w:r>
    </w:p>
    <w:p>
      <w:pPr>
        <w:spacing w:after="0" w:line="103" w:lineRule="exact"/>
        <w:rPr>
          <w:sz w:val="20"/>
          <w:szCs w:val="20"/>
          <w:color w:val="auto"/>
        </w:rPr>
      </w:pPr>
    </w:p>
    <w:p>
      <w:pPr>
        <w:ind w:left="840" w:right="103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concurrently herewith, the Company has also requested that each of the other Holders (the “</w:t>
      </w:r>
      <w:r>
        <w:rPr>
          <w:rFonts w:ascii="Times New Roman" w:cs="Times New Roman" w:eastAsia="Times New Roman" w:hAnsi="Times New Roman"/>
          <w:sz w:val="12"/>
          <w:szCs w:val="12"/>
          <w:u w:val="single" w:color="auto"/>
          <w:color w:val="auto"/>
        </w:rPr>
        <w:t>Other Holders</w:t>
      </w:r>
      <w:r>
        <w:rPr>
          <w:rFonts w:ascii="Times New Roman" w:cs="Times New Roman" w:eastAsia="Times New Roman" w:hAnsi="Times New Roman"/>
          <w:sz w:val="12"/>
          <w:szCs w:val="12"/>
          <w:color w:val="auto"/>
        </w:rPr>
        <w:t>”) enter into a consent,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waiver and amendment in form and substance substantially similar to this Consent, Waiver and Amendment (the “</w:t>
      </w:r>
      <w:r>
        <w:rPr>
          <w:rFonts w:ascii="Times New Roman" w:cs="Times New Roman" w:eastAsia="Times New Roman" w:hAnsi="Times New Roman"/>
          <w:sz w:val="12"/>
          <w:szCs w:val="12"/>
          <w:u w:val="single" w:color="auto"/>
          <w:color w:val="auto"/>
        </w:rPr>
        <w:t>Other Consents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840" w:right="10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agreements herein contained and other good and valuable consideration, the receipt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sufficiency of which are hereby acknowledged, the following is agreed: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Consent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59" w:firstLine="288"/>
        <w:spacing w:after="0" w:line="260" w:lineRule="auto"/>
        <w:tabs>
          <w:tab w:leader="none" w:pos="1565"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Note, the SPA, the Security Agreement and the other Transaction Documents to the contrary notwithstanding, the undersigned Agent and Holder hereby consent as of the Effective Time (as defined below) to the execution of the Designated Transaction Documents, the consummation of the Designated Transactions in accordance with the terms of the Designated Transaction Documents and the performance by the Company of its obligations thereunder.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4" w:right="1440" w:bottom="1440" w:gutter="0" w:footer="0" w:header="0"/>
        </w:sectPr>
      </w:pPr>
    </w:p>
    <w:bookmarkStart w:id="367" w:name="page368"/>
    <w:bookmarkEnd w:id="367"/>
    <w:p>
      <w:pPr>
        <w:ind w:left="1120" w:right="859" w:firstLine="288"/>
        <w:spacing w:after="0" w:line="253" w:lineRule="auto"/>
        <w:tabs>
          <w:tab w:leader="none" w:pos="1572"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The foregoing limited consents contained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 are each a one-time consent, (ii) are each expressly limited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(iii) shall not be deemed or otherwise construed to constitute a consent to any other transaction, whether or not similar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(iv) shall not operate as a waiver of any right, power or remedy of the Agent or any Holder under the Note, any other Transaction Document or any other document, instrument or agreement executed in connection therewith, nor constitute a waiver, release or modification of the Company’s or any Subsidiary’s obligations to comply with all terms and conditions of the Note and other Transaction Documents, in each case, except as expressly set forth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below. The Agent and the Holder have granted the limited consent set forth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in this particular instance and in light of the facts and circumstances that presently exist, and the grant of such consent shall not constitute a course of dealing or impair the Agent’s or any Holder’s right to withhold any similar consent or waiver in the future. For the avoidance of doubt, the Holder hereby consents to the Asset Sale (as defined in the Note) in accordance with the terms of the Contribution Agreement; provided that such consent shall not operate as the consent of the Holder to the transfer of any other assets or rights of the Company or any Subsidiary to Bio JV or any other Person, which remains restricted in accordance with Section 17(f) of the Note (as amended hereby).</w:t>
      </w:r>
    </w:p>
    <w:p>
      <w:pPr>
        <w:spacing w:after="0" w:line="126"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The provisions of the Security Agreement, the Intercompany Subordination Agreement, and the other Transaction Documents to the contrary notwithstanding, the undersigned Agent and Holder hereby waive as of the Effective Time hereof (i) the requirement set forth in Section 4(ii) of the Security Agreement, (ii) the requirement set forth in Section 18 of the Intercompany Subordination Agreement and (iii) any other term of any Transaction Document, in each case, which would require Bio JV to become party to the Security Agreement as an Additional Debtor (as defined in the Security Agreement) or become party to such agreement in any other capacity, become party to the Intercompany Subordination Agreement as a Subsidiary, a Qualified Subsidiary (as defined in the Intercompany Subordination Agreement), an obligor in respect of any Subordinated Intercompany Obligations (as defined in the Intercompany Subordination Agreement) or a Subordinated Debtor (as defined in the Intercompany Subordination Agreement), or become party to such agreement in any other capacity or become party to any other Transaction Document in any capacity. For the avoidance of doubt, under no circumstances shall Bio JV be required to join the Security Agreement, the Intercompany Subordination Agreement or any other Transaction Document in any capacity.</w:t>
      </w:r>
    </w:p>
    <w:p>
      <w:pPr>
        <w:spacing w:after="0" w:line="1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Amendments to Certain Transaction Documents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79" w:firstLine="288"/>
        <w:spacing w:after="0" w:line="260" w:lineRule="auto"/>
        <w:tabs>
          <w:tab w:leader="none" w:pos="1565"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Effective as of the time of execution and delivery of this Consent, Waiver and Amendment, the undersigned Agent, Holder and the Company agree that (where applicable, language being inserted is evidenced by bold and underline formatting (indicated textually in the same manner as the following example: </w:t>
      </w:r>
      <w:r>
        <w:rPr>
          <w:rFonts w:ascii="Times New Roman" w:cs="Times New Roman" w:eastAsia="Times New Roman" w:hAnsi="Times New Roman"/>
          <w:sz w:val="12"/>
          <w:szCs w:val="12"/>
          <w:u w:val="single" w:color="auto"/>
          <w:color w:val="0000FF"/>
        </w:rPr>
        <w:t>bold and underline formatting</w:t>
      </w:r>
      <w:r>
        <w:rPr>
          <w:rFonts w:ascii="Times New Roman" w:cs="Times New Roman" w:eastAsia="Times New Roman" w:hAnsi="Times New Roman"/>
          <w:sz w:val="12"/>
          <w:szCs w:val="12"/>
          <w:color w:val="auto"/>
        </w:rPr>
        <w:t xml:space="preserve">) and language being deleted is evidenced by strike-through formatting (indicated textually in the same manner as the following example: </w:t>
      </w:r>
      <w:r>
        <w:rPr>
          <w:rFonts w:ascii="Times New Roman" w:cs="Times New Roman" w:eastAsia="Times New Roman" w:hAnsi="Times New Roman"/>
          <w:sz w:val="12"/>
          <w:szCs w:val="12"/>
          <w:color w:val="FF0000"/>
          <w:strike w:val="1"/>
        </w:rPr>
        <w:t>strike-through formatting</w:t>
      </w:r>
      <w:r>
        <w:rPr>
          <w:rFonts w:ascii="Times New Roman" w:cs="Times New Roman" w:eastAsia="Times New Roman" w:hAnsi="Times New Roman"/>
          <w:sz w:val="12"/>
          <w:szCs w:val="12"/>
          <w:color w:val="auto"/>
        </w:rPr>
        <w:t>)):</w:t>
      </w:r>
    </w:p>
    <w:p>
      <w:pPr>
        <w:spacing w:after="0" w:line="50" w:lineRule="exact"/>
        <w:rPr>
          <w:rFonts w:ascii="Times New Roman" w:cs="Times New Roman" w:eastAsia="Times New Roman" w:hAnsi="Times New Roman"/>
          <w:sz w:val="12"/>
          <w:szCs w:val="12"/>
          <w:color w:val="auto"/>
        </w:rPr>
      </w:pPr>
    </w:p>
    <w:p>
      <w:pPr>
        <w:ind w:left="1900" w:hanging="140"/>
        <w:spacing w:after="0"/>
        <w:tabs>
          <w:tab w:leader="none" w:pos="1900" w:val="left"/>
        </w:tabs>
        <w:numPr>
          <w:ilvl w:val="1"/>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36(dd) of the Note is hereby amended by amending and restating the definition of “Excluded Subsidiary” in its entirety as</w:t>
      </w:r>
    </w:p>
    <w:p>
      <w:pPr>
        <w:spacing w:after="0" w:line="16" w:lineRule="exact"/>
        <w:rPr>
          <w:rFonts w:ascii="Times New Roman" w:cs="Times New Roman" w:eastAsia="Times New Roman" w:hAnsi="Times New Roman"/>
          <w:sz w:val="12"/>
          <w:szCs w:val="12"/>
          <w:color w:val="auto"/>
        </w:rPr>
      </w:pPr>
    </w:p>
    <w:p>
      <w:pPr>
        <w:ind w:left="15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-309880</wp:posOffset>
            </wp:positionV>
            <wp:extent cx="91440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50">
                      <a:extLst>
                        <a:ext uri="{28A0092B-C50C-407E-A947-70E740481C1C}"/>
                      </a:extLst>
                    </a:blip>
                    <a:srcRect/>
                    <a:stretch>
                      <a:fillRect/>
                    </a:stretch>
                  </pic:blipFill>
                  <pic:spPr bwMode="auto">
                    <a:xfrm>
                      <a:off x="0" y="0"/>
                      <a:ext cx="914400" cy="5715"/>
                    </a:xfrm>
                    <a:prstGeom prst="rect">
                      <a:avLst/>
                    </a:prstGeom>
                    <a:noFill/>
                  </pic:spPr>
                </pic:pic>
              </a:graphicData>
            </a:graphic>
          </wp:anchor>
        </w:drawing>
      </w:r>
    </w:p>
    <w:p>
      <w:pPr>
        <w:spacing w:after="0" w:line="43" w:lineRule="exact"/>
        <w:rPr>
          <w:sz w:val="20"/>
          <w:szCs w:val="20"/>
          <w:color w:val="auto"/>
        </w:rPr>
      </w:pPr>
    </w:p>
    <w:p>
      <w:pPr>
        <w:ind w:left="2160" w:right="919"/>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Excluded Subsidiary</w:t>
      </w:r>
      <w:r>
        <w:rPr>
          <w:rFonts w:ascii="Times New Roman" w:cs="Times New Roman" w:eastAsia="Times New Roman" w:hAnsi="Times New Roman"/>
          <w:sz w:val="12"/>
          <w:szCs w:val="12"/>
          <w:color w:val="auto"/>
        </w:rPr>
        <w:t xml:space="preserve">” means, (i) Semnur Pharmaceuticals, Inc.,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if the Semnur Merger Agreement shall be terminated without the consummation of the Semnur Merger, then Semnur Pharmaceuticals, Inc. shall thereafter cease to be an “Excluded Subsidiary”, </w:t>
      </w:r>
      <w:r>
        <w:rPr>
          <w:rFonts w:ascii="Times New Roman" w:cs="Times New Roman" w:eastAsia="Times New Roman" w:hAnsi="Times New Roman"/>
          <w:sz w:val="12"/>
          <w:szCs w:val="12"/>
          <w:color w:val="FF0000"/>
          <w:strike w:val="1"/>
        </w:rPr>
        <w:t>and,</w:t>
      </w:r>
      <w:r>
        <w:rPr>
          <w:rFonts w:ascii="Times New Roman" w:cs="Times New Roman" w:eastAsia="Times New Roman" w:hAnsi="Times New Roman"/>
          <w:sz w:val="12"/>
          <w:szCs w:val="12"/>
          <w:color w:val="auto"/>
        </w:rPr>
        <w:t xml:space="preserve"> (ii) from and after the consummation of the Semnur Merger, Denali Capital Acquisition Corp. and Denali Merger Sub </w:t>
      </w:r>
      <w:r>
        <w:rPr>
          <w:rFonts w:ascii="Times New Roman" w:cs="Times New Roman" w:eastAsia="Times New Roman" w:hAnsi="Times New Roman"/>
          <w:sz w:val="12"/>
          <w:szCs w:val="12"/>
          <w:u w:val="single" w:color="auto"/>
          <w:color w:val="0000FF"/>
        </w:rPr>
        <w:t>and (iii) Scilex Bio, Inc, a Delaware corporation and any of its subsidiaries. Notwithstanding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anything to the contrary herein, any reference to “Subsidiary”, “subsidiary” or “Qualified Subsidiary” used herein or in any Transaction Document shall be deemed to expressly exclude Scilex Bio, Inc., a Delaware corporation and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-272415</wp:posOffset>
            </wp:positionV>
            <wp:extent cx="2828925"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51">
                      <a:extLst>
                        <a:ext uri="{28A0092B-C50C-407E-A947-70E740481C1C}"/>
                      </a:extLst>
                    </a:blip>
                    <a:srcRect/>
                    <a:stretch>
                      <a:fillRect/>
                    </a:stretch>
                  </pic:blipFill>
                  <pic:spPr bwMode="auto">
                    <a:xfrm>
                      <a:off x="0" y="0"/>
                      <a:ext cx="282892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-180975</wp:posOffset>
            </wp:positionV>
            <wp:extent cx="376047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52">
                      <a:extLst>
                        <a:ext uri="{28A0092B-C50C-407E-A947-70E740481C1C}"/>
                      </a:extLst>
                    </a:blip>
                    <a:srcRect/>
                    <a:stretch>
                      <a:fillRect/>
                    </a:stretch>
                  </pic:blipFill>
                  <pic:spPr bwMode="auto">
                    <a:xfrm>
                      <a:off x="0" y="0"/>
                      <a:ext cx="376047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-89535</wp:posOffset>
            </wp:positionV>
            <wp:extent cx="35204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53">
                      <a:extLst>
                        <a:ext uri="{28A0092B-C50C-407E-A947-70E740481C1C}"/>
                      </a:extLst>
                    </a:blip>
                    <a:srcRect/>
                    <a:stretch>
                      <a:fillRect/>
                    </a:stretch>
                  </pic:blipFill>
                  <pic:spPr bwMode="auto">
                    <a:xfrm>
                      <a:off x="0" y="0"/>
                      <a:ext cx="352044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1270</wp:posOffset>
            </wp:positionV>
            <wp:extent cx="36004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54">
                      <a:extLst>
                        <a:ext uri="{28A0092B-C50C-407E-A947-70E740481C1C}"/>
                      </a:extLst>
                    </a:blip>
                    <a:srcRect/>
                    <a:stretch>
                      <a:fillRect/>
                    </a:stretch>
                  </pic:blipFill>
                  <pic:spPr bwMode="auto">
                    <a:xfrm>
                      <a:off x="0" y="0"/>
                      <a:ext cx="360045" cy="571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368" w:name="page369"/>
    <w:bookmarkEnd w:id="368"/>
    <w:p>
      <w:pPr>
        <w:ind w:left="17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(ii) Section 17(f) of the Note is hereby amended by adding the following sentence to the end of Section 17(f):</w:t>
      </w:r>
    </w:p>
    <w:p>
      <w:pPr>
        <w:spacing w:after="0" w:line="78" w:lineRule="exact"/>
        <w:rPr>
          <w:sz w:val="20"/>
          <w:szCs w:val="20"/>
          <w:color w:val="auto"/>
        </w:rPr>
      </w:pPr>
    </w:p>
    <w:p>
      <w:pPr>
        <w:ind w:left="2160" w:right="1019"/>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For the avoidance of doubt, the Company shall not transfer any assets or rights of the Company or any Subsidiary to 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Excluded Subsidiary without the prior written consent of the Required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-99060</wp:posOffset>
            </wp:positionV>
            <wp:extent cx="366903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6">
                      <a:extLst>
                        <a:ext uri="{28A0092B-C50C-407E-A947-70E740481C1C}"/>
                      </a:extLst>
                    </a:blip>
                    <a:srcRect/>
                    <a:stretch>
                      <a:fillRect/>
                    </a:stretch>
                  </pic:blipFill>
                  <pic:spPr bwMode="auto">
                    <a:xfrm>
                      <a:off x="0" y="0"/>
                      <a:ext cx="36690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-7620</wp:posOffset>
            </wp:positionV>
            <wp:extent cx="245745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7">
                      <a:extLst>
                        <a:ext uri="{28A0092B-C50C-407E-A947-70E740481C1C}"/>
                      </a:extLst>
                    </a:blip>
                    <a:srcRect/>
                    <a:stretch>
                      <a:fillRect/>
                    </a:stretch>
                  </pic:blipFill>
                  <pic:spPr bwMode="auto">
                    <a:xfrm>
                      <a:off x="0" y="0"/>
                      <a:ext cx="2457450" cy="5715"/>
                    </a:xfrm>
                    <a:prstGeom prst="rect">
                      <a:avLst/>
                    </a:prstGeom>
                    <a:noFill/>
                  </pic:spPr>
                </pic:pic>
              </a:graphicData>
            </a:graphic>
          </wp:anchor>
        </w:drawing>
      </w:r>
    </w:p>
    <w:p>
      <w:pPr>
        <w:spacing w:after="0" w:line="1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(iii) Section 3(a) of the SPA is hereby amended by adding the following sentence to the end of Section 3(a):</w:t>
      </w:r>
    </w:p>
    <w:p>
      <w:pPr>
        <w:spacing w:after="0" w:line="78" w:lineRule="exact"/>
        <w:rPr>
          <w:sz w:val="20"/>
          <w:szCs w:val="20"/>
          <w:color w:val="auto"/>
        </w:rPr>
      </w:pPr>
    </w:p>
    <w:p>
      <w:pPr>
        <w:jc w:val="both"/>
        <w:ind w:left="2160" w:right="8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78333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58">
                      <a:extLst>
                        <a:ext uri="{28A0092B-C50C-407E-A947-70E740481C1C}"/>
                      </a:extLst>
                    </a:blip>
                    <a:srcRect/>
                    <a:stretch>
                      <a:fillRect/>
                    </a:stretch>
                  </pic:blipFill>
                  <pic:spPr bwMode="auto">
                    <a:xfrm>
                      <a:off x="0" y="0"/>
                      <a:ext cx="37833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0047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9">
                      <a:extLst>
                        <a:ext uri="{28A0092B-C50C-407E-A947-70E740481C1C}"/>
                      </a:extLst>
                    </a:blip>
                    <a:srcRect/>
                    <a:stretch>
                      <a:fillRect/>
                    </a:stretch>
                  </pic:blipFill>
                  <pic:spPr bwMode="auto">
                    <a:xfrm>
                      <a:off x="0" y="0"/>
                      <a:ext cx="380047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53149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60">
                      <a:extLst>
                        <a:ext uri="{28A0092B-C50C-407E-A947-70E740481C1C}"/>
                      </a:extLst>
                    </a:blip>
                    <a:srcRect/>
                    <a:stretch>
                      <a:fillRect/>
                    </a:stretch>
                  </pic:blipFill>
                  <pic:spPr bwMode="auto">
                    <a:xfrm>
                      <a:off x="0" y="0"/>
                      <a:ext cx="531495" cy="5715"/>
                    </a:xfrm>
                    <a:prstGeom prst="rect">
                      <a:avLst/>
                    </a:prstGeom>
                    <a:noFill/>
                  </pic:spPr>
                </pic:pic>
              </a:graphicData>
            </a:graphic>
          </wp:anchor>
        </w:drawing>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(iv) Section 22 of the Security Agreement is hereby amended by adding the following sentence to the end of Section 22:</w:t>
      </w:r>
    </w:p>
    <w:p>
      <w:pPr>
        <w:spacing w:after="0" w:line="78" w:lineRule="exact"/>
        <w:rPr>
          <w:sz w:val="20"/>
          <w:szCs w:val="20"/>
          <w:color w:val="auto"/>
        </w:rPr>
      </w:pPr>
    </w:p>
    <w:p>
      <w:pPr>
        <w:jc w:val="both"/>
        <w:ind w:left="2160" w:right="8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78333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61">
                      <a:extLst>
                        <a:ext uri="{28A0092B-C50C-407E-A947-70E740481C1C}"/>
                      </a:extLst>
                    </a:blip>
                    <a:srcRect/>
                    <a:stretch>
                      <a:fillRect/>
                    </a:stretch>
                  </pic:blipFill>
                  <pic:spPr bwMode="auto">
                    <a:xfrm>
                      <a:off x="0" y="0"/>
                      <a:ext cx="37833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0047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62">
                      <a:extLst>
                        <a:ext uri="{28A0092B-C50C-407E-A947-70E740481C1C}"/>
                      </a:extLst>
                    </a:blip>
                    <a:srcRect/>
                    <a:stretch>
                      <a:fillRect/>
                    </a:stretch>
                  </pic:blipFill>
                  <pic:spPr bwMode="auto">
                    <a:xfrm>
                      <a:off x="0" y="0"/>
                      <a:ext cx="380047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53149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63">
                      <a:extLst>
                        <a:ext uri="{28A0092B-C50C-407E-A947-70E740481C1C}"/>
                      </a:extLst>
                    </a:blip>
                    <a:srcRect/>
                    <a:stretch>
                      <a:fillRect/>
                    </a:stretch>
                  </pic:blipFill>
                  <pic:spPr bwMode="auto">
                    <a:xfrm>
                      <a:off x="0" y="0"/>
                      <a:ext cx="531495" cy="5715"/>
                    </a:xfrm>
                    <a:prstGeom prst="rect">
                      <a:avLst/>
                    </a:prstGeom>
                    <a:noFill/>
                  </pic:spPr>
                </pic:pic>
              </a:graphicData>
            </a:graphic>
          </wp:anchor>
        </w:drawing>
      </w:r>
    </w:p>
    <w:p>
      <w:pPr>
        <w:spacing w:after="0" w:line="27" w:lineRule="exact"/>
        <w:rPr>
          <w:sz w:val="20"/>
          <w:szCs w:val="20"/>
          <w:color w:val="auto"/>
        </w:rPr>
      </w:pPr>
    </w:p>
    <w:p>
      <w:pPr>
        <w:ind w:left="1500" w:right="1119" w:firstLine="260"/>
        <w:spacing w:after="0" w:line="279" w:lineRule="auto"/>
        <w:tabs>
          <w:tab w:leader="none" w:pos="1937"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18 of the Intercompany Subordination Agreement is hereby amended by adding the following sentence to the end of Section 18:</w:t>
      </w:r>
    </w:p>
    <w:p>
      <w:pPr>
        <w:spacing w:after="0" w:line="39" w:lineRule="exact"/>
        <w:rPr>
          <w:sz w:val="20"/>
          <w:szCs w:val="20"/>
          <w:color w:val="auto"/>
        </w:rPr>
      </w:pPr>
    </w:p>
    <w:p>
      <w:pPr>
        <w:ind w:left="2160" w:right="83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“Qualified Subsidiary”,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“Subordinated Debtor” or “obligor”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58330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64">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2333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65">
                      <a:extLst>
                        <a:ext uri="{28A0092B-C50C-407E-A947-70E740481C1C}"/>
                      </a:extLst>
                    </a:blip>
                    <a:srcRect/>
                    <a:stretch>
                      <a:fillRect/>
                    </a:stretch>
                  </pic:blipFill>
                  <pic:spPr bwMode="auto">
                    <a:xfrm>
                      <a:off x="0" y="0"/>
                      <a:ext cx="382333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180022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66">
                      <a:extLst>
                        <a:ext uri="{28A0092B-C50C-407E-A947-70E740481C1C}"/>
                      </a:extLst>
                    </a:blip>
                    <a:srcRect/>
                    <a:stretch>
                      <a:fillRect/>
                    </a:stretch>
                  </pic:blipFill>
                  <pic:spPr bwMode="auto">
                    <a:xfrm>
                      <a:off x="0" y="0"/>
                      <a:ext cx="1800225" cy="5715"/>
                    </a:xfrm>
                    <a:prstGeom prst="rect">
                      <a:avLst/>
                    </a:prstGeom>
                    <a:noFill/>
                  </pic:spPr>
                </pic:pic>
              </a:graphicData>
            </a:graphic>
          </wp:anchor>
        </w:drawing>
      </w:r>
    </w:p>
    <w:p>
      <w:pPr>
        <w:spacing w:after="0" w:line="27" w:lineRule="exact"/>
        <w:rPr>
          <w:sz w:val="20"/>
          <w:szCs w:val="20"/>
          <w:color w:val="auto"/>
        </w:rPr>
      </w:pPr>
    </w:p>
    <w:p>
      <w:pPr>
        <w:ind w:left="1960" w:hanging="200"/>
        <w:spacing w:after="0"/>
        <w:tabs>
          <w:tab w:leader="none" w:pos="196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Perfection Certificate is hereby amended as follows:</w:t>
      </w:r>
    </w:p>
    <w:p>
      <w:pPr>
        <w:spacing w:after="0" w:line="78"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32"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1(g) to the Perfection Certificate shall be amended and restated in the form of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25"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2(b) to the Perfection Certificate shall be amended and restated in the form of </w:t>
      </w:r>
      <w:r>
        <w:rPr>
          <w:rFonts w:ascii="Times New Roman" w:cs="Times New Roman" w:eastAsia="Times New Roman" w:hAnsi="Times New Roman"/>
          <w:sz w:val="12"/>
          <w:szCs w:val="12"/>
          <w:u w:val="single" w:color="auto"/>
          <w:color w:val="auto"/>
        </w:rPr>
        <w:t>Annex D</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3 to the Perfection Certificate shall be amended and restated in the form of </w:t>
      </w:r>
      <w:r>
        <w:rPr>
          <w:rFonts w:ascii="Times New Roman" w:cs="Times New Roman" w:eastAsia="Times New Roman" w:hAnsi="Times New Roman"/>
          <w:sz w:val="12"/>
          <w:szCs w:val="12"/>
          <w:u w:val="single" w:color="auto"/>
          <w:color w:val="auto"/>
        </w:rPr>
        <w:t>Annex E</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7 to the Perfection Certificate shall be amended and restated in the form of </w:t>
      </w:r>
      <w:r>
        <w:rPr>
          <w:rFonts w:ascii="Times New Roman" w:cs="Times New Roman" w:eastAsia="Times New Roman" w:hAnsi="Times New Roman"/>
          <w:sz w:val="12"/>
          <w:szCs w:val="12"/>
          <w:u w:val="single" w:color="auto"/>
          <w:color w:val="auto"/>
        </w:rPr>
        <w:t>Annex F</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20" w:hanging="178"/>
        <w:spacing w:after="0"/>
        <w:tabs>
          <w:tab w:leader="none" w:pos="2220"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8 to the Perfection Certificate shall be amended and restated in the form of </w:t>
      </w:r>
      <w:r>
        <w:rPr>
          <w:rFonts w:ascii="Times New Roman" w:cs="Times New Roman" w:eastAsia="Times New Roman" w:hAnsi="Times New Roman"/>
          <w:sz w:val="12"/>
          <w:szCs w:val="12"/>
          <w:u w:val="single" w:color="auto"/>
          <w:color w:val="auto"/>
        </w:rPr>
        <w:t>Annex G</w:t>
      </w:r>
      <w:r>
        <w:rPr>
          <w:rFonts w:ascii="Times New Roman" w:cs="Times New Roman" w:eastAsia="Times New Roman" w:hAnsi="Times New Roman"/>
          <w:sz w:val="12"/>
          <w:szCs w:val="12"/>
          <w:color w:val="auto"/>
        </w:rPr>
        <w:t xml:space="preserve"> attached hereto.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369" w:name="page370"/>
    <w:bookmarkEnd w:id="369"/>
    <w:p>
      <w:pPr>
        <w:ind w:left="2220" w:hanging="178"/>
        <w:spacing w:after="0"/>
        <w:tabs>
          <w:tab w:leader="none" w:pos="222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Schedule 9 to the Perfection Certificate shall be amended and restated in the form of </w:t>
      </w:r>
      <w:r>
        <w:rPr>
          <w:rFonts w:ascii="Times New Roman" w:cs="Times New Roman" w:eastAsia="Times New Roman" w:hAnsi="Times New Roman"/>
          <w:sz w:val="12"/>
          <w:szCs w:val="12"/>
          <w:u w:val="single" w:color="auto"/>
          <w:color w:val="auto"/>
        </w:rPr>
        <w:t>Annex H</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10 to the Perfection Certificate shall be amended and restated in the form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attached hereto.</w:t>
      </w:r>
    </w:p>
    <w:p>
      <w:pPr>
        <w:spacing w:after="0" w:line="150"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0"/>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11 to the Perfection Certificate shall be amended and restated in the form of </w:t>
      </w:r>
      <w:r>
        <w:rPr>
          <w:rFonts w:ascii="Times New Roman" w:cs="Times New Roman" w:eastAsia="Times New Roman" w:hAnsi="Times New Roman"/>
          <w:sz w:val="12"/>
          <w:szCs w:val="12"/>
          <w:u w:val="single" w:color="auto"/>
          <w:color w:val="auto"/>
        </w:rPr>
        <w:t>Annex J</w:t>
      </w:r>
      <w:r>
        <w:rPr>
          <w:rFonts w:ascii="Times New Roman" w:cs="Times New Roman" w:eastAsia="Times New Roman" w:hAnsi="Times New Roman"/>
          <w:sz w:val="12"/>
          <w:szCs w:val="12"/>
          <w:color w:val="auto"/>
        </w:rPr>
        <w:t xml:space="preserve"> attached hereto.</w:t>
      </w:r>
    </w:p>
    <w:p>
      <w:pPr>
        <w:spacing w:after="0" w:line="150"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Agent Direction</w:t>
      </w:r>
      <w:r>
        <w:rPr>
          <w:rFonts w:ascii="Times New Roman" w:cs="Times New Roman" w:eastAsia="Times New Roman" w:hAnsi="Times New Roman"/>
          <w:sz w:val="12"/>
          <w:szCs w:val="12"/>
          <w:color w:val="auto"/>
        </w:rPr>
        <w:t xml:space="preserve">. The Holder hereby authorizes and directs the Agent to execute this Consent, Waiver and Amendment and to enter into any documentation, including, but not limited to the Designated Transaction Documents, reasonably required by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above.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In order to induce the Agent and the Holder to enter into this Consent, Waiver and Amendment,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 hereby represents and warrants as of the date hereof that:</w:t>
      </w:r>
    </w:p>
    <w:p>
      <w:pPr>
        <w:spacing w:after="0" w:line="67" w:lineRule="exact"/>
        <w:rPr>
          <w:sz w:val="20"/>
          <w:szCs w:val="20"/>
          <w:color w:val="auto"/>
        </w:rPr>
      </w:pPr>
    </w:p>
    <w:p>
      <w:pPr>
        <w:ind w:left="1120" w:right="859" w:firstLine="288"/>
        <w:spacing w:after="0" w:line="279" w:lineRule="auto"/>
        <w:tabs>
          <w:tab w:leader="none" w:pos="1565"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the full right, power and authority to enter into and execute this Consent, Waiver and Amendment and to perform all its obligations hereunder and under the Note and the Transaction Documents, as modified herein;</w:t>
      </w:r>
    </w:p>
    <w:p>
      <w:pPr>
        <w:spacing w:after="0" w:line="39" w:lineRule="exact"/>
        <w:rPr>
          <w:rFonts w:ascii="Times New Roman" w:cs="Times New Roman" w:eastAsia="Times New Roman" w:hAnsi="Times New Roman"/>
          <w:sz w:val="12"/>
          <w:szCs w:val="12"/>
          <w:color w:val="auto"/>
        </w:rPr>
      </w:pPr>
    </w:p>
    <w:p>
      <w:pPr>
        <w:ind w:left="1120" w:right="899" w:firstLine="288"/>
        <w:spacing w:after="0" w:line="257" w:lineRule="auto"/>
        <w:tabs>
          <w:tab w:leader="none" w:pos="1572"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Consent, Waiver and Amendment has been duly and validly authorized by all necessary action on the part of the Company, and shall constitute the legal, valid and binding obligations of the Company enforceable against the Company in accordance with the terms hereof,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53" w:lineRule="exact"/>
        <w:rPr>
          <w:rFonts w:ascii="Times New Roman" w:cs="Times New Roman" w:eastAsia="Times New Roman" w:hAnsi="Times New Roman"/>
          <w:sz w:val="12"/>
          <w:szCs w:val="12"/>
          <w:color w:val="auto"/>
        </w:rPr>
      </w:pPr>
    </w:p>
    <w:p>
      <w:pPr>
        <w:ind w:left="1120" w:right="899" w:firstLine="288"/>
        <w:spacing w:after="0" w:line="279" w:lineRule="auto"/>
        <w:tabs>
          <w:tab w:leader="none" w:pos="1565" w:val="left"/>
        </w:tabs>
        <w:numPr>
          <w:ilvl w:val="0"/>
          <w:numId w:val="1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neither the execution and delivery of this Consent, Waiver and Amendment, nor the taking of any actions contemplated hereby and the performance of the obligations hereunder or the Designated Transactions by the Company or any other Subsidiary, does or will, with or without the giving of notice, lapse of time or both, (i) violate or constitute a default, event of default, or event creating a right of acceleration, termination or cancellation of any obligation under any term or provision of any agreement, credit facility, debt or other instrument evidencing Company or Subsidiary Indebtedness (after giving effect to any prior or concurrent consents or waivers under any such agreement, credit facility, debt or other instrument to which the Company or such Subsidiary is a party or otherwise subject, copies of which consents or waivers have been furnished by the Company to the Agent prior to the execution of this Consent, Waiver and Amendment); or (ii) violate any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w:t>
      </w:r>
    </w:p>
    <w:p>
      <w:pPr>
        <w:spacing w:after="0" w:line="44" w:lineRule="exact"/>
        <w:rPr>
          <w:rFonts w:ascii="Times New Roman" w:cs="Times New Roman" w:eastAsia="Times New Roman" w:hAnsi="Times New Roman"/>
          <w:sz w:val="11"/>
          <w:szCs w:val="11"/>
          <w:color w:val="auto"/>
        </w:rPr>
      </w:pPr>
    </w:p>
    <w:p>
      <w:pPr>
        <w:ind w:left="1120" w:right="1159" w:firstLine="288"/>
        <w:spacing w:after="0" w:line="265" w:lineRule="auto"/>
        <w:tabs>
          <w:tab w:leader="none" w:pos="1572"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authorization, consent, approval, license, exemption of or filing or registration with any governmental authority, is or will be necessary for the execution, delivery and performance by the Company of its obligations under this Consent, Waiver and Amendment or the performance by the Company of the Designated Transactions; and</w:t>
      </w:r>
    </w:p>
    <w:p>
      <w:pPr>
        <w:spacing w:after="0" w:line="46" w:lineRule="exact"/>
        <w:rPr>
          <w:rFonts w:ascii="Times New Roman" w:cs="Times New Roman" w:eastAsia="Times New Roman" w:hAnsi="Times New Roman"/>
          <w:sz w:val="12"/>
          <w:szCs w:val="12"/>
          <w:color w:val="auto"/>
        </w:rPr>
      </w:pPr>
    </w:p>
    <w:p>
      <w:pPr>
        <w:ind w:left="1120" w:right="1059" w:firstLine="288"/>
        <w:spacing w:after="0" w:line="265" w:lineRule="auto"/>
        <w:tabs>
          <w:tab w:leader="none" w:pos="1565"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and after giving effect to this Consent, Waiver and Amendment, no Default or Event of Default exists and is continuing on the date hereof and no Default or Event of Default could reasonably be expected to occur as a result of the consummation of the Designated Transactions.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370" w:name="page371"/>
    <w:bookmarkEnd w:id="370"/>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 </w:t>
      </w:r>
      <w:r>
        <w:rPr>
          <w:rFonts w:ascii="Times New Roman" w:cs="Times New Roman" w:eastAsia="Times New Roman" w:hAnsi="Times New Roman"/>
          <w:sz w:val="12"/>
          <w:szCs w:val="12"/>
          <w:u w:val="single" w:color="auto"/>
          <w:color w:val="auto"/>
        </w:rPr>
        <w:t>Affirmation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39" w:firstLine="288"/>
        <w:spacing w:after="0" w:line="260" w:lineRule="auto"/>
        <w:tabs>
          <w:tab w:leader="none" w:pos="1565"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expressly consented to pursuant to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hereof, the Company hereby expressly reaffirms, as of the date hereof, all its covenants and agreements contained in the Note and each Transaction Document (in each case, as amended hereby) and agrees that none of its covenants and agreements set forth in the Note or any other Transaction Document (in each case, as amended hereby) shall be reduced or limited by the execution and delivery of this Consent, Waiver and Amendment except as expressly set forth herein.</w:t>
      </w:r>
    </w:p>
    <w:p>
      <w:pPr>
        <w:spacing w:after="0" w:line="50" w:lineRule="exact"/>
        <w:rPr>
          <w:rFonts w:ascii="Times New Roman" w:cs="Times New Roman" w:eastAsia="Times New Roman" w:hAnsi="Times New Roman"/>
          <w:sz w:val="12"/>
          <w:szCs w:val="12"/>
          <w:color w:val="auto"/>
        </w:rPr>
      </w:pPr>
    </w:p>
    <w:p>
      <w:pPr>
        <w:ind w:left="1120" w:right="859" w:firstLine="288"/>
        <w:spacing w:after="0" w:line="257" w:lineRule="auto"/>
        <w:tabs>
          <w:tab w:leader="none" w:pos="1572"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(on behalf of itself and its Subsidiaries) hereby (i) affirms that each of the Liens granted in or pursuant to the Security Documents are valid and subsisting, and (ii) agrees that this Consent, Waiver and Amendment and all documents executed in connection herewith shall in no manner impair or otherwise adversely affect any of the Liens granted in or pursuant to the Security Documents and such Liens continue unimpaired with the same priority to secure repayment of all Obligations in accordance with the Transaction Documents, whether heretofore or hereafter incurred.</w:t>
      </w:r>
    </w:p>
    <w:p>
      <w:pPr>
        <w:spacing w:after="0" w:line="125"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Condition Subsequent</w:t>
      </w:r>
      <w:r>
        <w:rPr>
          <w:rFonts w:ascii="Times New Roman" w:cs="Times New Roman" w:eastAsia="Times New Roman" w:hAnsi="Times New Roman"/>
          <w:sz w:val="12"/>
          <w:szCs w:val="12"/>
          <w:color w:val="auto"/>
        </w:rPr>
        <w:t>. The Company hereby covenants and agrees that no later than April 16, 2025 (or such later date as agreed to by the Agent in writing), the Agent shall have received reimbursement or payment in full of all actual reasonable and documented fees and expenses of Pryor Cashman LLP, as counsel for the Agent, to the extent invoiced on or prior to the Consent, Waiver and Amendment Effective Date.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59" w:firstLine="288"/>
        <w:spacing w:after="0" w:line="255" w:lineRule="auto"/>
        <w:tabs>
          <w:tab w:leader="none" w:pos="1565"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to the Holder that: (a) nothing in this Consent, Waiver and Amendment, including, without limitation, the transactions contemplated hereby, constitutes material non-public information and (b) as of the time of execution of this Consent, the Holder is not in possession of any material, nonpublic information received from the Company or any of its Subsidiaries or any of their respective officers, directors, employees, affiliates or agents, that has not been publicly disclosed. Further, the Company expressly acknowledges and agrees that, as of the date hereof, the Holder shall not have, any duty of confidentiality with respect to, or a duty not to trade on the basis of, any material, non-public information regarding the Company or any of its Subsidiaries. The Company understands and confirms that the Holder will rely on the foregoing representations in effecting transactions in securities of the Company.</w:t>
      </w:r>
    </w:p>
    <w:p>
      <w:pPr>
        <w:spacing w:after="0" w:line="53" w:lineRule="exact"/>
        <w:rPr>
          <w:rFonts w:ascii="Times New Roman" w:cs="Times New Roman" w:eastAsia="Times New Roman" w:hAnsi="Times New Roman"/>
          <w:sz w:val="12"/>
          <w:szCs w:val="12"/>
          <w:color w:val="auto"/>
        </w:rPr>
      </w:pPr>
    </w:p>
    <w:p>
      <w:pPr>
        <w:ind w:left="1120" w:right="839" w:firstLine="288"/>
        <w:spacing w:after="0" w:line="265" w:lineRule="auto"/>
        <w:tabs>
          <w:tab w:leader="none" w:pos="1572"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set forth in this Section 7(b), this Consent, Waiver and Amendment shall be effective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upon the later of (i) the time of due execution and delivery by the Company and the Holder of this Consent, Waiver and Amendment, and (ii) the time of due execution and delivery by the Company and each Other Holder of the Other Consents.</w:t>
      </w:r>
    </w:p>
    <w:p>
      <w:pPr>
        <w:spacing w:after="0" w:line="46" w:lineRule="exact"/>
        <w:rPr>
          <w:rFonts w:ascii="Times New Roman" w:cs="Times New Roman" w:eastAsia="Times New Roman" w:hAnsi="Times New Roman"/>
          <w:sz w:val="12"/>
          <w:szCs w:val="12"/>
          <w:color w:val="auto"/>
        </w:rPr>
      </w:pPr>
    </w:p>
    <w:p>
      <w:pPr>
        <w:ind w:left="1120" w:right="959" w:firstLine="288"/>
        <w:spacing w:after="0" w:line="257" w:lineRule="auto"/>
        <w:tabs>
          <w:tab w:leader="none" w:pos="1565"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the Holder under this Consent, Waiver and Amendment are several and not joint with the obligations of any Other Holder, and the Holder shall not be responsible in any way for the performance of the obligations of any Other Holder under any Other Consent. Nothing contained herein or in any Other Consent, and no action taken by the Holder pursuant hereto, shall be deemed to constitute the Holder and Other Holders as a partnership, an association, a joint venture or any other kind of entity, or create a presumption that the Holder and Other Holders are in any way acting in concert or as a group with respect to such obligations or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371" w:name="page372"/>
    <w:bookmarkEnd w:id="371"/>
    <w:p>
      <w:pPr>
        <w:ind w:left="1120" w:right="89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transactions contemplated by this Consent, Waiver and Amendment or any Other Consent and the Company acknowledges that, to the best of its knowledge, the Holder and the Other Holders are not acting in concert or as a group with respect to such obligations or the transactions contemplated by this Consent, Waiver and Amendment or any Other Consent.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spacing w:after="0" w:line="53" w:lineRule="exact"/>
        <w:rPr>
          <w:sz w:val="20"/>
          <w:szCs w:val="20"/>
          <w:color w:val="auto"/>
        </w:rPr>
      </w:pPr>
    </w:p>
    <w:p>
      <w:pPr>
        <w:ind w:left="1120" w:right="879" w:firstLine="288"/>
        <w:spacing w:after="0" w:line="254" w:lineRule="auto"/>
        <w:tabs>
          <w:tab w:leader="none" w:pos="1572" w:val="left"/>
        </w:tabs>
        <w:numPr>
          <w:ilvl w:val="1"/>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as of the date hereof and covenants and agrees from and after the date hereof that none of the terms offered to any Person (as defined in the SPA) with respect to any consent, release, amendment, settlement or waiver relating to this consents, waivers or amendments provided herein (each, a “</w:t>
      </w:r>
      <w:r>
        <w:rPr>
          <w:rFonts w:ascii="Times New Roman" w:cs="Times New Roman" w:eastAsia="Times New Roman" w:hAnsi="Times New Roman"/>
          <w:sz w:val="12"/>
          <w:szCs w:val="12"/>
          <w:u w:val="single" w:color="auto"/>
          <w:color w:val="auto"/>
        </w:rPr>
        <w:t>Specified Consent Document</w:t>
      </w:r>
      <w:r>
        <w:rPr>
          <w:rFonts w:ascii="Times New Roman" w:cs="Times New Roman" w:eastAsia="Times New Roman" w:hAnsi="Times New Roman"/>
          <w:sz w:val="12"/>
          <w:szCs w:val="12"/>
          <w:color w:val="auto"/>
        </w:rPr>
        <w:t>”), is or will be more favorable to such Person than those provided to the Holder under this Consent, Waiver and Amendment. If, and whenever on or after the date hereof, the Company enters into a Specified Consent Document, then (i) the Company shall provide notice thereof to the Holder immediately following the occurrence thereof and</w:t>
      </w:r>
    </w:p>
    <w:p>
      <w:pPr>
        <w:ind w:left="1120" w:right="839" w:firstLine="6"/>
        <w:spacing w:after="0" w:line="252" w:lineRule="auto"/>
        <w:tabs>
          <w:tab w:leader="none" w:pos="1297"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conditions of this Consent, Waiver and Amendment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Specified Consent Document, provided that upon written notice to the Company at any time the Holder may elect not to accept the benefit of any such amended or modified term or condition, in which event the term or condition contained in this Consent shall apply to the Holder as it was in effect immediately prior to such amendment or modification as if such amendment or modification never occurred with respect to the Holder. The provisions of this Section 7(d) shall apply similarly and equally to each Specified Consent Document.</w:t>
      </w:r>
    </w:p>
    <w:p>
      <w:pPr>
        <w:spacing w:after="0" w:line="54" w:lineRule="exact"/>
        <w:rPr>
          <w:rFonts w:ascii="Times New Roman" w:cs="Times New Roman" w:eastAsia="Times New Roman" w:hAnsi="Times New Roman"/>
          <w:sz w:val="12"/>
          <w:szCs w:val="12"/>
          <w:color w:val="auto"/>
        </w:rPr>
      </w:pPr>
    </w:p>
    <w:p>
      <w:pPr>
        <w:ind w:left="1120" w:right="919" w:firstLine="288"/>
        <w:spacing w:after="0" w:line="279" w:lineRule="auto"/>
        <w:tabs>
          <w:tab w:leader="none" w:pos="1565"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headings in this Consent, Waiver and Amendment are included herein for convenience of reference only and shall not constitute a part of this Consent, Waiver and Amendment for any other purposes.</w:t>
      </w:r>
    </w:p>
    <w:p>
      <w:pPr>
        <w:spacing w:after="0" w:line="39" w:lineRule="exact"/>
        <w:rPr>
          <w:rFonts w:ascii="Times New Roman" w:cs="Times New Roman" w:eastAsia="Times New Roman" w:hAnsi="Times New Roman"/>
          <w:sz w:val="12"/>
          <w:szCs w:val="12"/>
          <w:color w:val="auto"/>
        </w:rPr>
      </w:pPr>
    </w:p>
    <w:p>
      <w:pPr>
        <w:ind w:left="1120" w:right="1019" w:firstLine="288"/>
        <w:spacing w:after="0" w:line="257" w:lineRule="auto"/>
        <w:tabs>
          <w:tab w:leader="none" w:pos="1552"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Consent, Waiver and Amendment may be executed with counterpart signature pages or in any number of counterparts, each of which shall be deemed to be an original, but all such separate counterparts shall together constitute but one and the same agreement. In proving this Consent, Waiver and Amendment or any other Transaction Document in any judicial proceedings, it shall not be necessary to produce or account for more than one such counterpart signed by the party against whom such enforcement is sought. Any signatures hereto delivered by electronic transmission shall be deemed an original signature hereto.</w:t>
      </w:r>
    </w:p>
    <w:p>
      <w:pPr>
        <w:spacing w:after="0" w:line="53" w:lineRule="exact"/>
        <w:rPr>
          <w:rFonts w:ascii="Times New Roman" w:cs="Times New Roman" w:eastAsia="Times New Roman" w:hAnsi="Times New Roman"/>
          <w:sz w:val="12"/>
          <w:szCs w:val="12"/>
          <w:color w:val="auto"/>
        </w:rPr>
      </w:pPr>
    </w:p>
    <w:p>
      <w:pPr>
        <w:ind w:left="1120" w:right="939" w:firstLine="288"/>
        <w:spacing w:after="0" w:line="279" w:lineRule="auto"/>
        <w:tabs>
          <w:tab w:leader="none" w:pos="1572"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waiver or modification hereof or of any agreement referred to herein shall be binding or enforceable unless in writing and signed by all of the parties hereto or thereto.</w:t>
      </w:r>
    </w:p>
    <w:p>
      <w:pPr>
        <w:spacing w:after="0" w:line="39" w:lineRule="exact"/>
        <w:rPr>
          <w:rFonts w:ascii="Times New Roman" w:cs="Times New Roman" w:eastAsia="Times New Roman" w:hAnsi="Times New Roman"/>
          <w:sz w:val="12"/>
          <w:szCs w:val="12"/>
          <w:color w:val="auto"/>
        </w:rPr>
      </w:pPr>
    </w:p>
    <w:p>
      <w:pPr>
        <w:jc w:val="both"/>
        <w:ind w:left="1120" w:right="859" w:firstLine="288"/>
        <w:spacing w:after="0" w:line="265" w:lineRule="auto"/>
        <w:tabs>
          <w:tab w:leader="none" w:pos="1572"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date on which this Consent, Waiver and Amendment shall be effective, the term “Transaction Documents” in the Note and the other Note Documents shall include, without limitation, this Consent, Waiver and Amendment and any agreements, instruments and other documents executed and/or delivered in connection herewith.</w:t>
      </w:r>
    </w:p>
    <w:p>
      <w:pPr>
        <w:spacing w:after="0" w:line="46" w:lineRule="exact"/>
        <w:rPr>
          <w:rFonts w:ascii="Times New Roman" w:cs="Times New Roman" w:eastAsia="Times New Roman" w:hAnsi="Times New Roman"/>
          <w:sz w:val="12"/>
          <w:szCs w:val="12"/>
          <w:color w:val="auto"/>
        </w:rPr>
      </w:pPr>
    </w:p>
    <w:p>
      <w:pPr>
        <w:jc w:val="both"/>
        <w:ind w:left="1120" w:right="1239" w:firstLine="288"/>
        <w:spacing w:after="0" w:line="265" w:lineRule="auto"/>
        <w:tabs>
          <w:tab w:leader="none" w:pos="1545"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PROVISIONS OF SECTION 31 (GOVERNING LAW) OF THE NOTE ARE HEREBY INCORPORATED HEREIN BY REFERENCE AND SHALL APPLY TO THIS CONSENT, WAIVER AND AMENDMENT MUTATIS MUTANDIS AS IF FULLY SET FORTH HEREIN.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372" w:name="page373"/>
    <w:bookmarkEnd w:id="372"/>
    <w:p>
      <w:pPr>
        <w:ind w:left="1120" w:right="919" w:firstLine="288"/>
        <w:spacing w:after="0" w:line="256" w:lineRule="auto"/>
        <w:tabs>
          <w:tab w:leader="none" w:pos="1545"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anything to the contrary set forth in any Transaction Document, the parties agree that each party hereto (including each Holder and Agent) is responsible for paying for their own fees, costs and expenses, including legal fees incurred in connection with this Consent, Waiver and Amendment except that, so long as Company has received an invoice for such amounts on or prior to the date hereof, within 5 Business Days following the date of this Consent, Waiver and Amendment, the Company agrees to reimburse actual, reasonable and documented legal fees incurred by the Holders of Tranche B Notes, the Tranche A Holder, and/or the Agent (including those incurred in connection with any other consent delivered in connection with the Tranche B Notes or the Tranche A Note).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373" w:name="page374"/>
    <w:bookmarkEnd w:id="373"/>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NOMIS BAY LTD</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James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72">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James Keyes</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74" w:name="page375"/>
    <w:bookmarkEnd w:id="374"/>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BPY LIMITED</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James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4">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James Keyes</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75" w:name="page376"/>
    <w:bookmarkEnd w:id="375"/>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ACQUIOM AGENCY SERVICES LLC, as Agent</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Beth Cesari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6">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Beth Cesari</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Exec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76" w:name="page377"/>
    <w:bookmarkEnd w:id="376"/>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8">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Jaisim Shah</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Chief Executive Officer and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77" w:name="page378"/>
    <w:bookmarkEnd w:id="377"/>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10.77</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April 16, 2025</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Scilex Holding Company</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960 San Antonio Rd.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Palo Alto, CA 94303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Attn: Stephen Ma</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VIA EMAIL</w:t>
      </w:r>
    </w:p>
    <w:p>
      <w:pPr>
        <w:spacing w:after="0" w:line="172" w:lineRule="exact"/>
        <w:rPr>
          <w:sz w:val="20"/>
          <w:szCs w:val="20"/>
          <w:color w:val="auto"/>
        </w:rPr>
      </w:pPr>
    </w:p>
    <w:p>
      <w:pPr>
        <w:ind w:left="1120" w:right="919" w:hanging="279"/>
        <w:spacing w:after="0" w:line="279" w:lineRule="auto"/>
        <w:tabs>
          <w:tab w:leader="none" w:pos="1100" w:val="left"/>
        </w:tabs>
        <w:rPr>
          <w:sz w:val="20"/>
          <w:szCs w:val="20"/>
          <w:color w:val="auto"/>
        </w:rPr>
      </w:pPr>
      <w:r>
        <w:rPr>
          <w:rFonts w:ascii="Times New Roman" w:cs="Times New Roman" w:eastAsia="Times New Roman" w:hAnsi="Times New Roman"/>
          <w:sz w:val="12"/>
          <w:szCs w:val="12"/>
          <w:color w:val="auto"/>
        </w:rPr>
        <w:t>RE:</w:t>
        <w:tab/>
        <w:t>Consent, Waiver and Amendment re Tranche B Senior Secured Convertible Note and Related Transaction Documents (this “</w:t>
      </w:r>
      <w:r>
        <w:rPr>
          <w:rFonts w:ascii="Times New Roman" w:cs="Times New Roman" w:eastAsia="Times New Roman" w:hAnsi="Times New Roman"/>
          <w:sz w:val="12"/>
          <w:szCs w:val="12"/>
          <w:u w:val="single" w:color="auto"/>
          <w:color w:val="auto"/>
        </w:rPr>
        <w:t>Consent, Waiver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78" w:lineRule="exact"/>
        <w:rPr>
          <w:sz w:val="20"/>
          <w:szCs w:val="20"/>
          <w:color w:val="auto"/>
        </w:rPr>
      </w:pPr>
    </w:p>
    <w:p>
      <w:pPr>
        <w:ind w:left="840" w:right="839" w:firstLine="294"/>
        <w:spacing w:after="0" w:line="252" w:lineRule="auto"/>
        <w:rPr>
          <w:sz w:val="20"/>
          <w:szCs w:val="20"/>
          <w:color w:val="auto"/>
        </w:rPr>
      </w:pPr>
      <w:r>
        <w:rPr>
          <w:rFonts w:ascii="Times New Roman" w:cs="Times New Roman" w:eastAsia="Times New Roman" w:hAnsi="Times New Roman"/>
          <w:sz w:val="12"/>
          <w:szCs w:val="12"/>
          <w:color w:val="auto"/>
        </w:rPr>
        <w:t>Reference is made to (i) that certain Securities Purchase Agreement, dated as of October 7, 2024 (the “</w:t>
      </w:r>
      <w:r>
        <w:rPr>
          <w:rFonts w:ascii="Times New Roman" w:cs="Times New Roman" w:eastAsia="Times New Roman" w:hAnsi="Times New Roman"/>
          <w:sz w:val="12"/>
          <w:szCs w:val="12"/>
          <w:u w:val="single" w:color="auto"/>
          <w:color w:val="auto"/>
        </w:rPr>
        <w:t>SPA</w:t>
      </w:r>
      <w:r>
        <w:rPr>
          <w:rFonts w:ascii="Times New Roman" w:cs="Times New Roman" w:eastAsia="Times New Roman" w:hAnsi="Times New Roman"/>
          <w:sz w:val="12"/>
          <w:szCs w:val="12"/>
          <w:color w:val="auto"/>
        </w:rPr>
        <w:t>”), between Scilex Holding Company,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each investor listed on the Schedule of Buyers attached thereto, (the “</w:t>
      </w:r>
      <w:r>
        <w:rPr>
          <w:rFonts w:ascii="Times New Roman" w:cs="Times New Roman" w:eastAsia="Times New Roman" w:hAnsi="Times New Roman"/>
          <w:sz w:val="12"/>
          <w:szCs w:val="12"/>
          <w:u w:val="single" w:color="auto"/>
          <w:color w:val="auto"/>
        </w:rPr>
        <w:t>Buyers</w:t>
      </w:r>
      <w:r>
        <w:rPr>
          <w:rFonts w:ascii="Times New Roman" w:cs="Times New Roman" w:eastAsia="Times New Roman" w:hAnsi="Times New Roman"/>
          <w:sz w:val="12"/>
          <w:szCs w:val="12"/>
          <w:color w:val="auto"/>
        </w:rPr>
        <w:t>”) and Acquiom Agency Services LLC, a Colorado limited liability company (“</w:t>
      </w:r>
      <w:r>
        <w:rPr>
          <w:rFonts w:ascii="Times New Roman" w:cs="Times New Roman" w:eastAsia="Times New Roman" w:hAnsi="Times New Roman"/>
          <w:sz w:val="12"/>
          <w:szCs w:val="12"/>
          <w:u w:val="single" w:color="auto"/>
          <w:color w:val="auto"/>
        </w:rPr>
        <w:t>Acquiom</w:t>
      </w:r>
      <w:r>
        <w:rPr>
          <w:rFonts w:ascii="Times New Roman" w:cs="Times New Roman" w:eastAsia="Times New Roman" w:hAnsi="Times New Roman"/>
          <w:sz w:val="12"/>
          <w:szCs w:val="12"/>
          <w:color w:val="auto"/>
        </w:rPr>
        <w:t>”), as collateral agent, (ii) that certain Tranche B Senior Secured Convertible Note, dated as of October 8, 2024 (as amended, supplemented or modified from time to time, the “</w:t>
      </w:r>
      <w:r>
        <w:rPr>
          <w:rFonts w:ascii="Times New Roman" w:cs="Times New Roman" w:eastAsia="Times New Roman" w:hAnsi="Times New Roman"/>
          <w:sz w:val="12"/>
          <w:szCs w:val="12"/>
          <w:u w:val="single" w:color="auto"/>
          <w:color w:val="auto"/>
        </w:rPr>
        <w:t>Note</w:t>
      </w:r>
      <w:r>
        <w:rPr>
          <w:rFonts w:ascii="Times New Roman" w:cs="Times New Roman" w:eastAsia="Times New Roman" w:hAnsi="Times New Roman"/>
          <w:sz w:val="12"/>
          <w:szCs w:val="12"/>
          <w:color w:val="auto"/>
        </w:rPr>
        <w:t>”, and together with the Tranche B Senior Secured Convertible Notes, dated as of such date and held by each other holder thereof, as amended, supplemented or modified from time to time, the “</w:t>
      </w:r>
      <w:r>
        <w:rPr>
          <w:rFonts w:ascii="Times New Roman" w:cs="Times New Roman" w:eastAsia="Times New Roman" w:hAnsi="Times New Roman"/>
          <w:sz w:val="12"/>
          <w:szCs w:val="12"/>
          <w:u w:val="single" w:color="auto"/>
          <w:color w:val="auto"/>
        </w:rPr>
        <w:t>Tranche B Notes</w:t>
      </w:r>
      <w:r>
        <w:rPr>
          <w:rFonts w:ascii="Times New Roman" w:cs="Times New Roman" w:eastAsia="Times New Roman" w:hAnsi="Times New Roman"/>
          <w:sz w:val="12"/>
          <w:szCs w:val="12"/>
          <w:color w:val="auto"/>
        </w:rPr>
        <w:t>”), issued by the Company to the undersigned, as Holder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(iii) that certain Amended and Restated Security Agreement, dated as of October 8, 2024 (the “</w:t>
      </w:r>
      <w:r>
        <w:rPr>
          <w:rFonts w:ascii="Times New Roman" w:cs="Times New Roman" w:eastAsia="Times New Roman" w:hAnsi="Times New Roman"/>
          <w:sz w:val="12"/>
          <w:szCs w:val="12"/>
          <w:u w:val="single" w:color="auto"/>
          <w:color w:val="auto"/>
        </w:rPr>
        <w:t>Security Agreement</w:t>
      </w:r>
      <w:r>
        <w:rPr>
          <w:rFonts w:ascii="Times New Roman" w:cs="Times New Roman" w:eastAsia="Times New Roman" w:hAnsi="Times New Roman"/>
          <w:sz w:val="12"/>
          <w:szCs w:val="12"/>
          <w:color w:val="auto"/>
        </w:rPr>
        <w:t xml:space="preserve">”), among,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the Company, and the subsidiaries of the Company party thereto and Acquiom, as the collateral agent (the “</w:t>
      </w:r>
      <w:r>
        <w:rPr>
          <w:rFonts w:ascii="Times New Roman" w:cs="Times New Roman" w:eastAsia="Times New Roman" w:hAnsi="Times New Roman"/>
          <w:sz w:val="12"/>
          <w:szCs w:val="12"/>
          <w:u w:val="single" w:color="auto"/>
          <w:color w:val="auto"/>
        </w:rPr>
        <w:t>Agent</w:t>
      </w:r>
      <w:r>
        <w:rPr>
          <w:rFonts w:ascii="Times New Roman" w:cs="Times New Roman" w:eastAsia="Times New Roman" w:hAnsi="Times New Roman"/>
          <w:sz w:val="12"/>
          <w:szCs w:val="12"/>
          <w:color w:val="auto"/>
        </w:rPr>
        <w:t>”) for (x) the holders of the Note and all Other Notes (as defined in the Note) and (y) the holders of Tranche A Notes (as defined in the Security Agreement) (collectively, the Holder, holders of the Other Notes and the holders of Tranche A Notes (as defined in the Security Agreement),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their endorsees, transferees and assigns (collectively with the Agent, the “</w:t>
      </w:r>
      <w:r>
        <w:rPr>
          <w:rFonts w:ascii="Times New Roman" w:cs="Times New Roman" w:eastAsia="Times New Roman" w:hAnsi="Times New Roman"/>
          <w:sz w:val="12"/>
          <w:szCs w:val="12"/>
          <w:u w:val="single" w:color="auto"/>
          <w:color w:val="auto"/>
        </w:rPr>
        <w:t>Secured Parties</w:t>
      </w:r>
      <w:r>
        <w:rPr>
          <w:rFonts w:ascii="Times New Roman" w:cs="Times New Roman" w:eastAsia="Times New Roman" w:hAnsi="Times New Roman"/>
          <w:sz w:val="12"/>
          <w:szCs w:val="12"/>
          <w:color w:val="auto"/>
        </w:rPr>
        <w:t>”) and as collateral agent for the holders of certain Tranche A Notes (as defined therein), (iv) that certain Senior Secured Promissory Note, dated as of September 21, 2023 (the “</w:t>
      </w:r>
      <w:r>
        <w:rPr>
          <w:rFonts w:ascii="Times New Roman" w:cs="Times New Roman" w:eastAsia="Times New Roman" w:hAnsi="Times New Roman"/>
          <w:sz w:val="12"/>
          <w:szCs w:val="12"/>
          <w:u w:val="single" w:color="auto"/>
          <w:color w:val="auto"/>
        </w:rPr>
        <w:t>Tranche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 Note</w:t>
      </w:r>
      <w:r>
        <w:rPr>
          <w:rFonts w:ascii="Times New Roman" w:cs="Times New Roman" w:eastAsia="Times New Roman" w:hAnsi="Times New Roman"/>
          <w:sz w:val="12"/>
          <w:szCs w:val="12"/>
          <w:color w:val="auto"/>
        </w:rPr>
        <w:t>”), issued by Scilex to Oramed Pharmaceuticals Inc., as holder (the “</w:t>
      </w:r>
      <w:r>
        <w:rPr>
          <w:rFonts w:ascii="Times New Roman" w:cs="Times New Roman" w:eastAsia="Times New Roman" w:hAnsi="Times New Roman"/>
          <w:sz w:val="12"/>
          <w:szCs w:val="12"/>
          <w:u w:val="single" w:color="auto"/>
          <w:color w:val="auto"/>
        </w:rPr>
        <w:t>Tranche A Holder</w:t>
      </w:r>
      <w:r>
        <w:rPr>
          <w:rFonts w:ascii="Times New Roman" w:cs="Times New Roman" w:eastAsia="Times New Roman" w:hAnsi="Times New Roman"/>
          <w:sz w:val="12"/>
          <w:szCs w:val="12"/>
          <w:color w:val="auto"/>
        </w:rPr>
        <w:t>”), (v) that certain Intercompany Indebtedness Subordination Agreement, dated as of September 29, 2023, among the Company, the other Subordinated Lenders (as defined therein) party thereto, Subordinated Debtors (as defined therein) and the Agent (as amended, restated, amended and restated, supplemented or otherwise modified from time to time) (the “</w:t>
      </w:r>
      <w:r>
        <w:rPr>
          <w:rFonts w:ascii="Times New Roman" w:cs="Times New Roman" w:eastAsia="Times New Roman" w:hAnsi="Times New Roman"/>
          <w:sz w:val="12"/>
          <w:szCs w:val="12"/>
          <w:u w:val="single" w:color="auto"/>
          <w:color w:val="auto"/>
        </w:rPr>
        <w:t>Intercompany Subordination Agreement</w:t>
      </w:r>
      <w:r>
        <w:rPr>
          <w:rFonts w:ascii="Times New Roman" w:cs="Times New Roman" w:eastAsia="Times New Roman" w:hAnsi="Times New Roman"/>
          <w:sz w:val="12"/>
          <w:szCs w:val="12"/>
          <w:color w:val="auto"/>
        </w:rPr>
        <w:t>”), and (vi) all related Transaction Documents, as defined in the SPA.</w:t>
      </w:r>
    </w:p>
    <w:p>
      <w:pPr>
        <w:spacing w:after="0" w:line="131" w:lineRule="exact"/>
        <w:rPr>
          <w:sz w:val="20"/>
          <w:szCs w:val="20"/>
          <w:color w:val="auto"/>
        </w:rPr>
      </w:pPr>
    </w:p>
    <w:p>
      <w:pPr>
        <w:ind w:left="840" w:right="137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used but not defined herein are used with the respective meanings assigned to them in the SPA, the Note, the Security Agreement or the Intercompany Subordination Agreement, as applicable.</w:t>
      </w:r>
    </w:p>
    <w:p>
      <w:pPr>
        <w:spacing w:after="0" w:line="107" w:lineRule="exact"/>
        <w:rPr>
          <w:sz w:val="20"/>
          <w:szCs w:val="20"/>
          <w:color w:val="auto"/>
        </w:rPr>
      </w:pPr>
    </w:p>
    <w:p>
      <w:pPr>
        <w:ind w:left="840" w:right="10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form an entity in a joint venture with a third party whereby such entity shall be named Scilex Bio, Inc.,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Delaware corporation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left="840" w:right="99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document the formation of Bio JV (“</w:t>
      </w:r>
      <w:r>
        <w:rPr>
          <w:rFonts w:ascii="Times New Roman" w:cs="Times New Roman" w:eastAsia="Times New Roman" w:hAnsi="Times New Roman"/>
          <w:sz w:val="12"/>
          <w:szCs w:val="12"/>
          <w:u w:val="single" w:color="auto"/>
          <w:color w:val="auto"/>
        </w:rPr>
        <w:t>Bio JV Formation</w:t>
      </w:r>
      <w:r>
        <w:rPr>
          <w:rFonts w:ascii="Times New Roman" w:cs="Times New Roman" w:eastAsia="Times New Roman" w:hAnsi="Times New Roman"/>
          <w:sz w:val="12"/>
          <w:szCs w:val="12"/>
          <w:color w:val="auto"/>
        </w:rPr>
        <w:t>”) pursuant to customary corporate documentation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but not limited to a certificate of formation, bylaws and any related corporate documents entered into in connection therewith (the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Formation Documents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40" w:right="91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that the Agent and Holder waive all requirements under the applicable Transaction Documents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require Bio JV to become party to any such Transaction Documents in any capacity, including, but not limited to, in the capacity as a Subsidiary, Grantor, Debtor or any other related capacities described in greater detail below;</w:t>
      </w:r>
    </w:p>
    <w:p>
      <w:pPr>
        <w:sectPr>
          <w:pgSz w:w="11900" w:h="16838" w:orient="portrait"/>
          <w:cols w:equalWidth="0" w:num="1">
            <w:col w:w="9019"/>
          </w:cols>
          <w:pgMar w:left="1440" w:top="125" w:right="1440" w:bottom="1440" w:gutter="0" w:footer="0" w:header="0"/>
        </w:sectPr>
      </w:pPr>
    </w:p>
    <w:bookmarkStart w:id="378" w:name="page379"/>
    <w:bookmarkEnd w:id="378"/>
    <w:p>
      <w:pPr>
        <w:ind w:left="840" w:right="9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w:t>
      </w:r>
      <w:r>
        <w:rPr>
          <w:rFonts w:ascii="Times New Roman" w:cs="Times New Roman" w:eastAsia="Times New Roman" w:hAnsi="Times New Roman"/>
          <w:sz w:val="12"/>
          <w:szCs w:val="12"/>
          <w:color w:val="auto"/>
        </w:rPr>
        <w:t>, the Company has requested that the Agent and Holder make certain amendments to the SPA, the Note, the Security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Perfection Certificate and the Intercompany Subordination Agreement;</w:t>
      </w:r>
    </w:p>
    <w:p>
      <w:pPr>
        <w:spacing w:after="0" w:line="103" w:lineRule="exact"/>
        <w:rPr>
          <w:sz w:val="20"/>
          <w:szCs w:val="20"/>
          <w:color w:val="auto"/>
        </w:rPr>
      </w:pPr>
    </w:p>
    <w:p>
      <w:pPr>
        <w:ind w:left="840" w:right="959" w:firstLine="294"/>
        <w:spacing w:after="0" w:line="254"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or after the date hereof, the Company, Bio JV, and the other parties thereto shall enter into (i) the Contribution Agreement,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substantially the form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Contribution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Contribution Documents</w:t>
      </w:r>
      <w:r>
        <w:rPr>
          <w:rFonts w:ascii="Times New Roman" w:cs="Times New Roman" w:eastAsia="Times New Roman" w:hAnsi="Times New Roman"/>
          <w:sz w:val="12"/>
          <w:szCs w:val="12"/>
          <w:color w:val="auto"/>
        </w:rPr>
        <w:t xml:space="preserve">”), pursuant to which, among other things, the Company will contribute to Bio JV the Contributed Securities (as defined in the Contribution Agreement) and (ii) the KDS2010 Assignment and License Agreement, substantially in the form attached hereto as </w:t>
      </w:r>
      <w:r>
        <w:rPr>
          <w:rFonts w:ascii="Times New Roman" w:cs="Times New Roman" w:eastAsia="Times New Roman" w:hAnsi="Times New Roman"/>
          <w:sz w:val="12"/>
          <w:szCs w:val="12"/>
          <w:u w:val="single" w:color="auto"/>
          <w:color w:val="auto"/>
        </w:rPr>
        <w:t>Annex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License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License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Documents</w:t>
      </w:r>
      <w:r>
        <w:rPr>
          <w:rFonts w:ascii="Times New Roman" w:cs="Times New Roman" w:eastAsia="Times New Roman" w:hAnsi="Times New Roman"/>
          <w:sz w:val="12"/>
          <w:szCs w:val="12"/>
          <w:color w:val="auto"/>
        </w:rPr>
        <w:t>”, and together with the Designated Contribution Documents and the Bio JV Formation Documents, each a “</w:t>
      </w:r>
      <w:r>
        <w:rPr>
          <w:rFonts w:ascii="Times New Roman" w:cs="Times New Roman" w:eastAsia="Times New Roman" w:hAnsi="Times New Roman"/>
          <w:sz w:val="12"/>
          <w:szCs w:val="12"/>
          <w:u w:val="single" w:color="auto"/>
          <w:color w:val="auto"/>
        </w:rPr>
        <w:t>Designated Transaction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Designated Transaction Documents</w:t>
      </w:r>
      <w:r>
        <w:rPr>
          <w:rFonts w:ascii="Times New Roman" w:cs="Times New Roman" w:eastAsia="Times New Roman" w:hAnsi="Times New Roman"/>
          <w:sz w:val="12"/>
          <w:szCs w:val="12"/>
          <w:color w:val="auto"/>
        </w:rPr>
        <w:t>”) (the transactions contemplated by the Designated Transaction Documents and Bio JV Formation, collectively, the “</w:t>
      </w:r>
      <w:r>
        <w:rPr>
          <w:rFonts w:ascii="Times New Roman" w:cs="Times New Roman" w:eastAsia="Times New Roman" w:hAnsi="Times New Roman"/>
          <w:sz w:val="12"/>
          <w:szCs w:val="12"/>
          <w:u w:val="single" w:color="auto"/>
          <w:color w:val="auto"/>
        </w:rPr>
        <w:t>Designated Transactions</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840" w:right="899" w:firstLine="294"/>
        <w:spacing w:after="0" w:line="25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and the Agent and the Holder agree pursuant to the terms set forth herein, to (i) consent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entry into and the consummation of the applicable Designated Transactions and the Designated Transaction Documents, (ii) make certain amendments to the SPA, the Note, the Security Agreement, the Perfection Certificate and the Intercompany Subordination Agreement, and (iii) waive any covenant or provision in any Transaction Document, including, but not limited to, the SPA, the Note, the Security Agreement and the Intercompany Subordination Agreement, that would require Bio JV to become party to any Transaction Document in any capacity;</w:t>
      </w:r>
    </w:p>
    <w:p>
      <w:pPr>
        <w:spacing w:after="0" w:line="119" w:lineRule="exact"/>
        <w:rPr>
          <w:sz w:val="20"/>
          <w:szCs w:val="20"/>
          <w:color w:val="auto"/>
        </w:rPr>
      </w:pPr>
    </w:p>
    <w:p>
      <w:pPr>
        <w:ind w:left="840" w:right="9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Agent, Holder and the Company have duly authorized the execution and delivery of this Consent, Waiver and Amendment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done all things necessary to make this Consent, Waiver and Amendment a valid and binding agreement in accordance with its terms; and</w:t>
      </w:r>
    </w:p>
    <w:p>
      <w:pPr>
        <w:spacing w:after="0" w:line="103" w:lineRule="exact"/>
        <w:rPr>
          <w:sz w:val="20"/>
          <w:szCs w:val="20"/>
          <w:color w:val="auto"/>
        </w:rPr>
      </w:pPr>
    </w:p>
    <w:p>
      <w:pPr>
        <w:ind w:left="840" w:right="103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concurrently herewith, the Company has also requested that each of the other Holders (the “</w:t>
      </w:r>
      <w:r>
        <w:rPr>
          <w:rFonts w:ascii="Times New Roman" w:cs="Times New Roman" w:eastAsia="Times New Roman" w:hAnsi="Times New Roman"/>
          <w:sz w:val="12"/>
          <w:szCs w:val="12"/>
          <w:u w:val="single" w:color="auto"/>
          <w:color w:val="auto"/>
        </w:rPr>
        <w:t>Other Holders</w:t>
      </w:r>
      <w:r>
        <w:rPr>
          <w:rFonts w:ascii="Times New Roman" w:cs="Times New Roman" w:eastAsia="Times New Roman" w:hAnsi="Times New Roman"/>
          <w:sz w:val="12"/>
          <w:szCs w:val="12"/>
          <w:color w:val="auto"/>
        </w:rPr>
        <w:t>”) enter into a consent,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waiver and amendment in form and substance substantially similar to this Consent, Waiver and Amendment (the “</w:t>
      </w:r>
      <w:r>
        <w:rPr>
          <w:rFonts w:ascii="Times New Roman" w:cs="Times New Roman" w:eastAsia="Times New Roman" w:hAnsi="Times New Roman"/>
          <w:sz w:val="12"/>
          <w:szCs w:val="12"/>
          <w:u w:val="single" w:color="auto"/>
          <w:color w:val="auto"/>
        </w:rPr>
        <w:t>Other Consents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840" w:right="10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agreements herein contained and other good and valuable consideration, the receipt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sufficiency of which are hereby acknowledged, the following is agreed: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Consent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59" w:firstLine="288"/>
        <w:spacing w:after="0" w:line="260" w:lineRule="auto"/>
        <w:tabs>
          <w:tab w:leader="none" w:pos="1565"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Note, the SPA, the Security Agreement and the other Transaction Documents to the contrary notwithstanding, the undersigned Agent and Holder hereby consent as of the Effective Time (as defined below) to the execution of the Designated Transaction Documents, the consummation of the Designated Transactions in accordance with the terms of the Designated Transaction Documents and the performance by the Company of its obligations thereunder.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4" w:right="1440" w:bottom="1440" w:gutter="0" w:footer="0" w:header="0"/>
        </w:sectPr>
      </w:pPr>
    </w:p>
    <w:bookmarkStart w:id="379" w:name="page380"/>
    <w:bookmarkEnd w:id="379"/>
    <w:p>
      <w:pPr>
        <w:ind w:left="1120" w:right="859" w:firstLine="288"/>
        <w:spacing w:after="0" w:line="253" w:lineRule="auto"/>
        <w:tabs>
          <w:tab w:leader="none" w:pos="1572" w:val="left"/>
        </w:tabs>
        <w:numPr>
          <w:ilvl w:val="0"/>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The foregoing limited consents contained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 are each a one-time consent, (ii) are each expressly limited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(iii) shall not be deemed or otherwise construed to constitute a consent to any other transaction, whether or not similar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(iv) shall not operate as a waiver of any right, power or remedy of the Agent or any Holder under the Note, any other Transaction Document or any other document, instrument or agreement executed in connection therewith, nor constitute a waiver, release or modification of the Company’s or any Subsidiary’s obligations to comply with all terms and conditions of the Note and other Transaction Documents, in each case, except as expressly set forth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below. The Agent and the Holder have granted the limited consent set forth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in this particular instance and in light of the facts and circumstances that presently exist, and the grant of such consent shall not constitute a course of dealing or impair the Agent’s or any Holder’s right to withhold any similar consent or waiver in the future. For the avoidance of doubt, the Holder hereby consents to the Asset Sale (as defined in the Note) in accordance with the terms of the Contribution Agreement; provided that such consent shall not operate as the consent of the Holder to the transfer of any other assets or rights of the Company or any Subsidiary to Bio JV or any other Person, which remains restricted in accordance with Section 17(f) of the Note (as amended hereby).</w:t>
      </w:r>
    </w:p>
    <w:p>
      <w:pPr>
        <w:spacing w:after="0" w:line="126"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The provisions of the Security Agreement, the Intercompany Subordination Agreement, and the other Transaction Documents to the contrary notwithstanding, the undersigned Agent and Holder hereby waive as of the Effective Time hereof (i) the requirement set forth in Section 4(ii) of the Security Agreement, (ii) the requirement set forth in Section 18 of the Intercompany Subordination Agreement and (iii) any other term of any Transaction Document, in each case, which would require Bio JV to become party to the Security Agreement as an Additional Debtor (as defined in the Security Agreement) or become party to such agreement in any other capacity, become party to the Intercompany Subordination Agreement as a Subsidiary, a Qualified Subsidiary (as defined in the Intercompany Subordination Agreement), an obligor in respect of any Subordinated Intercompany Obligations (as defined in the Intercompany Subordination Agreement) or a Subordinated Debtor (as defined in the Intercompany Subordination Agreement), or become party to such agreement in any other capacity or become party to any other Transaction Document in any capacity. For the avoidance of doubt, under no circumstances shall Bio JV be required to join the Security Agreement, the Intercompany Subordination Agreement or any other Transaction Document in any capacity.</w:t>
      </w:r>
    </w:p>
    <w:p>
      <w:pPr>
        <w:spacing w:after="0" w:line="1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Amendments to Certain Transaction Documents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79" w:firstLine="288"/>
        <w:spacing w:after="0" w:line="260" w:lineRule="auto"/>
        <w:tabs>
          <w:tab w:leader="none" w:pos="1565" w:val="left"/>
        </w:tabs>
        <w:numPr>
          <w:ilvl w:val="0"/>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Effective as of the time of execution and delivery of this Consent, Waiver and Amendment, the undersigned Agent, Holder and the Company agree that (where applicable, language being inserted is evidenced by bold and underline formatting (indicated textually in the same manner as the following example: </w:t>
      </w:r>
      <w:r>
        <w:rPr>
          <w:rFonts w:ascii="Times New Roman" w:cs="Times New Roman" w:eastAsia="Times New Roman" w:hAnsi="Times New Roman"/>
          <w:sz w:val="12"/>
          <w:szCs w:val="12"/>
          <w:u w:val="single" w:color="auto"/>
          <w:color w:val="0000FF"/>
        </w:rPr>
        <w:t>bold and underline formatting</w:t>
      </w:r>
      <w:r>
        <w:rPr>
          <w:rFonts w:ascii="Times New Roman" w:cs="Times New Roman" w:eastAsia="Times New Roman" w:hAnsi="Times New Roman"/>
          <w:sz w:val="12"/>
          <w:szCs w:val="12"/>
          <w:color w:val="auto"/>
        </w:rPr>
        <w:t xml:space="preserve">) and language being deleted is evidenced by strike-through formatting (indicated textually in the same manner as the following example: </w:t>
      </w:r>
      <w:r>
        <w:rPr>
          <w:rFonts w:ascii="Times New Roman" w:cs="Times New Roman" w:eastAsia="Times New Roman" w:hAnsi="Times New Roman"/>
          <w:sz w:val="12"/>
          <w:szCs w:val="12"/>
          <w:color w:val="FF0000"/>
          <w:strike w:val="1"/>
        </w:rPr>
        <w:t>strike-through formatting</w:t>
      </w:r>
      <w:r>
        <w:rPr>
          <w:rFonts w:ascii="Times New Roman" w:cs="Times New Roman" w:eastAsia="Times New Roman" w:hAnsi="Times New Roman"/>
          <w:sz w:val="12"/>
          <w:szCs w:val="12"/>
          <w:color w:val="auto"/>
        </w:rPr>
        <w:t>)):</w:t>
      </w:r>
    </w:p>
    <w:p>
      <w:pPr>
        <w:spacing w:after="0" w:line="50" w:lineRule="exact"/>
        <w:rPr>
          <w:rFonts w:ascii="Times New Roman" w:cs="Times New Roman" w:eastAsia="Times New Roman" w:hAnsi="Times New Roman"/>
          <w:sz w:val="12"/>
          <w:szCs w:val="12"/>
          <w:color w:val="auto"/>
        </w:rPr>
      </w:pPr>
    </w:p>
    <w:p>
      <w:pPr>
        <w:ind w:left="1900" w:hanging="140"/>
        <w:spacing w:after="0"/>
        <w:tabs>
          <w:tab w:leader="none" w:pos="1900"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36(dd) of the Note is hereby amended by amending and restating the definition of “Excluded Subsidiary” in its entirety as</w:t>
      </w:r>
    </w:p>
    <w:p>
      <w:pPr>
        <w:spacing w:after="0" w:line="16" w:lineRule="exact"/>
        <w:rPr>
          <w:rFonts w:ascii="Times New Roman" w:cs="Times New Roman" w:eastAsia="Times New Roman" w:hAnsi="Times New Roman"/>
          <w:sz w:val="12"/>
          <w:szCs w:val="12"/>
          <w:color w:val="auto"/>
        </w:rPr>
      </w:pPr>
    </w:p>
    <w:p>
      <w:pPr>
        <w:ind w:left="15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-309880</wp:posOffset>
            </wp:positionV>
            <wp:extent cx="91440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81">
                      <a:extLst>
                        <a:ext uri="{28A0092B-C50C-407E-A947-70E740481C1C}"/>
                      </a:extLst>
                    </a:blip>
                    <a:srcRect/>
                    <a:stretch>
                      <a:fillRect/>
                    </a:stretch>
                  </pic:blipFill>
                  <pic:spPr bwMode="auto">
                    <a:xfrm>
                      <a:off x="0" y="0"/>
                      <a:ext cx="914400" cy="5715"/>
                    </a:xfrm>
                    <a:prstGeom prst="rect">
                      <a:avLst/>
                    </a:prstGeom>
                    <a:noFill/>
                  </pic:spPr>
                </pic:pic>
              </a:graphicData>
            </a:graphic>
          </wp:anchor>
        </w:drawing>
      </w:r>
    </w:p>
    <w:p>
      <w:pPr>
        <w:spacing w:after="0" w:line="43" w:lineRule="exact"/>
        <w:rPr>
          <w:sz w:val="20"/>
          <w:szCs w:val="20"/>
          <w:color w:val="auto"/>
        </w:rPr>
      </w:pPr>
    </w:p>
    <w:p>
      <w:pPr>
        <w:ind w:left="1780" w:right="939"/>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Excluded Subsidiary</w:t>
      </w:r>
      <w:r>
        <w:rPr>
          <w:rFonts w:ascii="Times New Roman" w:cs="Times New Roman" w:eastAsia="Times New Roman" w:hAnsi="Times New Roman"/>
          <w:sz w:val="12"/>
          <w:szCs w:val="12"/>
          <w:color w:val="auto"/>
        </w:rPr>
        <w:t xml:space="preserve">” means, (i) Semnur Pharmaceuticals, Inc.,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if the Semnur Merger Agreement shall be terminated without the consummation of the Semnur Merger, then Semnur Pharmaceuticals, Inc. shall thereafter cease to be an “Excluded Subsidiary”, </w:t>
      </w:r>
      <w:r>
        <w:rPr>
          <w:rFonts w:ascii="Times New Roman" w:cs="Times New Roman" w:eastAsia="Times New Roman" w:hAnsi="Times New Roman"/>
          <w:sz w:val="12"/>
          <w:szCs w:val="12"/>
          <w:color w:val="FF0000"/>
          <w:strike w:val="1"/>
        </w:rPr>
        <w:t>and,</w:t>
      </w:r>
      <w:r>
        <w:rPr>
          <w:rFonts w:ascii="Times New Roman" w:cs="Times New Roman" w:eastAsia="Times New Roman" w:hAnsi="Times New Roman"/>
          <w:sz w:val="12"/>
          <w:szCs w:val="12"/>
          <w:color w:val="auto"/>
        </w:rPr>
        <w:t xml:space="preserve"> (ii) from and after the consummation of the Semnur Merger, Denali Capital Acquisition Corp. and Denali Merger Sub </w:t>
      </w:r>
      <w:r>
        <w:rPr>
          <w:rFonts w:ascii="Times New Roman" w:cs="Times New Roman" w:eastAsia="Times New Roman" w:hAnsi="Times New Roman"/>
          <w:sz w:val="12"/>
          <w:szCs w:val="12"/>
          <w:u w:val="single" w:color="auto"/>
          <w:color w:val="0000FF"/>
        </w:rPr>
        <w:t>and (iii) Scilex Bio, Inc, a Delaware corporation and any of its subsidiaries. Notwithstanding anything to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contrary herein, any reference to “Subsidiary”, “subsidiary” or “Qualified Subsidiary” used herein or in any Transaction Document shall be deemed to expressly exclude Scilex Bio, Inc., a Delaware corporation and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-181610</wp:posOffset>
            </wp:positionV>
            <wp:extent cx="330327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82">
                      <a:extLst>
                        <a:ext uri="{28A0092B-C50C-407E-A947-70E740481C1C}"/>
                      </a:extLst>
                    </a:blip>
                    <a:srcRect/>
                    <a:stretch>
                      <a:fillRect/>
                    </a:stretch>
                  </pic:blipFill>
                  <pic:spPr bwMode="auto">
                    <a:xfrm>
                      <a:off x="0" y="0"/>
                      <a:ext cx="3303270"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-90170</wp:posOffset>
            </wp:positionV>
            <wp:extent cx="399478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83">
                      <a:extLst>
                        <a:ext uri="{28A0092B-C50C-407E-A947-70E740481C1C}"/>
                      </a:extLst>
                    </a:blip>
                    <a:srcRect/>
                    <a:stretch>
                      <a:fillRect/>
                    </a:stretch>
                  </pic:blipFill>
                  <pic:spPr bwMode="auto">
                    <a:xfrm>
                      <a:off x="0" y="0"/>
                      <a:ext cx="3994785" cy="5715"/>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635</wp:posOffset>
            </wp:positionV>
            <wp:extent cx="318897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84">
                      <a:extLst>
                        <a:ext uri="{28A0092B-C50C-407E-A947-70E740481C1C}"/>
                      </a:extLst>
                    </a:blip>
                    <a:srcRect/>
                    <a:stretch>
                      <a:fillRect/>
                    </a:stretch>
                  </pic:blipFill>
                  <pic:spPr bwMode="auto">
                    <a:xfrm>
                      <a:off x="0" y="0"/>
                      <a:ext cx="3188970" cy="571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380" w:name="page381"/>
    <w:bookmarkEnd w:id="380"/>
    <w:p>
      <w:pPr>
        <w:ind w:left="17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(ii) Section 17(f) of the Note is hereby amended by adding the following sentence to the end of Section 17(f):</w:t>
      </w:r>
    </w:p>
    <w:p>
      <w:pPr>
        <w:spacing w:after="0" w:line="78" w:lineRule="exact"/>
        <w:rPr>
          <w:sz w:val="20"/>
          <w:szCs w:val="20"/>
          <w:color w:val="auto"/>
        </w:rPr>
      </w:pPr>
    </w:p>
    <w:p>
      <w:pPr>
        <w:ind w:left="2160" w:right="1019"/>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For the avoidance of doubt, the Company shall not transfer any assets or rights of the Company or any Subsidiary to 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Excluded Subsidiary without the prior written consent of the Required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-99060</wp:posOffset>
            </wp:positionV>
            <wp:extent cx="366903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86">
                      <a:extLst>
                        <a:ext uri="{28A0092B-C50C-407E-A947-70E740481C1C}"/>
                      </a:extLst>
                    </a:blip>
                    <a:srcRect/>
                    <a:stretch>
                      <a:fillRect/>
                    </a:stretch>
                  </pic:blipFill>
                  <pic:spPr bwMode="auto">
                    <a:xfrm>
                      <a:off x="0" y="0"/>
                      <a:ext cx="36690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-7620</wp:posOffset>
            </wp:positionV>
            <wp:extent cx="245745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7">
                      <a:extLst>
                        <a:ext uri="{28A0092B-C50C-407E-A947-70E740481C1C}"/>
                      </a:extLst>
                    </a:blip>
                    <a:srcRect/>
                    <a:stretch>
                      <a:fillRect/>
                    </a:stretch>
                  </pic:blipFill>
                  <pic:spPr bwMode="auto">
                    <a:xfrm>
                      <a:off x="0" y="0"/>
                      <a:ext cx="2457450" cy="5715"/>
                    </a:xfrm>
                    <a:prstGeom prst="rect">
                      <a:avLst/>
                    </a:prstGeom>
                    <a:noFill/>
                  </pic:spPr>
                </pic:pic>
              </a:graphicData>
            </a:graphic>
          </wp:anchor>
        </w:drawing>
      </w:r>
    </w:p>
    <w:p>
      <w:pPr>
        <w:spacing w:after="0" w:line="1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(iii) Section 3(a) of the SPA is hereby amended by adding the following sentence to the end of Section 3(a):</w:t>
      </w:r>
    </w:p>
    <w:p>
      <w:pPr>
        <w:spacing w:after="0" w:line="78" w:lineRule="exact"/>
        <w:rPr>
          <w:sz w:val="20"/>
          <w:szCs w:val="20"/>
          <w:color w:val="auto"/>
        </w:rPr>
      </w:pPr>
    </w:p>
    <w:p>
      <w:pPr>
        <w:jc w:val="both"/>
        <w:ind w:left="2160" w:right="8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or in any Transaction Document shall be deemed to expressly exclude Scilex Bio, Inc., a Delaware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78333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88">
                      <a:extLst>
                        <a:ext uri="{28A0092B-C50C-407E-A947-70E740481C1C}"/>
                      </a:extLst>
                    </a:blip>
                    <a:srcRect/>
                    <a:stretch>
                      <a:fillRect/>
                    </a:stretch>
                  </pic:blipFill>
                  <pic:spPr bwMode="auto">
                    <a:xfrm>
                      <a:off x="0" y="0"/>
                      <a:ext cx="37833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0047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89">
                      <a:extLst>
                        <a:ext uri="{28A0092B-C50C-407E-A947-70E740481C1C}"/>
                      </a:extLst>
                    </a:blip>
                    <a:srcRect/>
                    <a:stretch>
                      <a:fillRect/>
                    </a:stretch>
                  </pic:blipFill>
                  <pic:spPr bwMode="auto">
                    <a:xfrm>
                      <a:off x="0" y="0"/>
                      <a:ext cx="380047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58293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90">
                      <a:extLst>
                        <a:ext uri="{28A0092B-C50C-407E-A947-70E740481C1C}"/>
                      </a:extLst>
                    </a:blip>
                    <a:srcRect/>
                    <a:stretch>
                      <a:fillRect/>
                    </a:stretch>
                  </pic:blipFill>
                  <pic:spPr bwMode="auto">
                    <a:xfrm>
                      <a:off x="0" y="0"/>
                      <a:ext cx="582930" cy="5715"/>
                    </a:xfrm>
                    <a:prstGeom prst="rect">
                      <a:avLst/>
                    </a:prstGeom>
                    <a:noFill/>
                  </pic:spPr>
                </pic:pic>
              </a:graphicData>
            </a:graphic>
          </wp:anchor>
        </w:drawing>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(iv) Section 22 of the Security Agreement is hereby amended by adding the following sentence to the end of Section 22:</w:t>
      </w:r>
    </w:p>
    <w:p>
      <w:pPr>
        <w:spacing w:after="0" w:line="78" w:lineRule="exact"/>
        <w:rPr>
          <w:sz w:val="20"/>
          <w:szCs w:val="20"/>
          <w:color w:val="auto"/>
        </w:rPr>
      </w:pPr>
    </w:p>
    <w:p>
      <w:pPr>
        <w:jc w:val="both"/>
        <w:ind w:left="2160" w:right="8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or in any Transaction Document shall be deemed to expressly exclude Scilex Bio, Inc., a Delaware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78333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91">
                      <a:extLst>
                        <a:ext uri="{28A0092B-C50C-407E-A947-70E740481C1C}"/>
                      </a:extLst>
                    </a:blip>
                    <a:srcRect/>
                    <a:stretch>
                      <a:fillRect/>
                    </a:stretch>
                  </pic:blipFill>
                  <pic:spPr bwMode="auto">
                    <a:xfrm>
                      <a:off x="0" y="0"/>
                      <a:ext cx="37833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0047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92">
                      <a:extLst>
                        <a:ext uri="{28A0092B-C50C-407E-A947-70E740481C1C}"/>
                      </a:extLst>
                    </a:blip>
                    <a:srcRect/>
                    <a:stretch>
                      <a:fillRect/>
                    </a:stretch>
                  </pic:blipFill>
                  <pic:spPr bwMode="auto">
                    <a:xfrm>
                      <a:off x="0" y="0"/>
                      <a:ext cx="380047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58293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93">
                      <a:extLst>
                        <a:ext uri="{28A0092B-C50C-407E-A947-70E740481C1C}"/>
                      </a:extLst>
                    </a:blip>
                    <a:srcRect/>
                    <a:stretch>
                      <a:fillRect/>
                    </a:stretch>
                  </pic:blipFill>
                  <pic:spPr bwMode="auto">
                    <a:xfrm>
                      <a:off x="0" y="0"/>
                      <a:ext cx="582930" cy="5715"/>
                    </a:xfrm>
                    <a:prstGeom prst="rect">
                      <a:avLst/>
                    </a:prstGeom>
                    <a:noFill/>
                  </pic:spPr>
                </pic:pic>
              </a:graphicData>
            </a:graphic>
          </wp:anchor>
        </w:drawing>
      </w:r>
    </w:p>
    <w:p>
      <w:pPr>
        <w:spacing w:after="0" w:line="27" w:lineRule="exact"/>
        <w:rPr>
          <w:sz w:val="20"/>
          <w:szCs w:val="20"/>
          <w:color w:val="auto"/>
        </w:rPr>
      </w:pPr>
    </w:p>
    <w:p>
      <w:pPr>
        <w:ind w:left="1500" w:right="1119" w:firstLine="260"/>
        <w:spacing w:after="0" w:line="279" w:lineRule="auto"/>
        <w:tabs>
          <w:tab w:leader="none" w:pos="1937"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18 of the Intercompany Subordination Agreement is hereby amended by adding the following sentence to the end of Section 18:</w:t>
      </w:r>
    </w:p>
    <w:p>
      <w:pPr>
        <w:spacing w:after="0" w:line="39" w:lineRule="exact"/>
        <w:rPr>
          <w:sz w:val="20"/>
          <w:szCs w:val="20"/>
          <w:color w:val="auto"/>
        </w:rPr>
      </w:pPr>
    </w:p>
    <w:p>
      <w:pPr>
        <w:ind w:left="2160" w:right="83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“Qualified Subsidiary”,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“Subordinated Debtor” or “obligor” used herein or in any Transaction Document shall be deemed to expressly exclude Scilex Bio, Inc., a Delaware corporation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58330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94">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23335"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95">
                      <a:extLst>
                        <a:ext uri="{28A0092B-C50C-407E-A947-70E740481C1C}"/>
                      </a:extLst>
                    </a:blip>
                    <a:srcRect/>
                    <a:stretch>
                      <a:fillRect/>
                    </a:stretch>
                  </pic:blipFill>
                  <pic:spPr bwMode="auto">
                    <a:xfrm>
                      <a:off x="0" y="0"/>
                      <a:ext cx="382333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1834515"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96">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27" w:lineRule="exact"/>
        <w:rPr>
          <w:sz w:val="20"/>
          <w:szCs w:val="20"/>
          <w:color w:val="auto"/>
        </w:rPr>
      </w:pPr>
    </w:p>
    <w:p>
      <w:pPr>
        <w:ind w:left="1960" w:hanging="200"/>
        <w:spacing w:after="0"/>
        <w:tabs>
          <w:tab w:leader="none" w:pos="196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Perfection Certificate is hereby amended as follows:</w:t>
      </w:r>
    </w:p>
    <w:p>
      <w:pPr>
        <w:spacing w:after="0" w:line="78"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32"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1(g) to the Perfection Certificate shall be amended and restated in the form of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25"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2(b) to the Perfection Certificate shall be amended and restated in the form of </w:t>
      </w:r>
      <w:r>
        <w:rPr>
          <w:rFonts w:ascii="Times New Roman" w:cs="Times New Roman" w:eastAsia="Times New Roman" w:hAnsi="Times New Roman"/>
          <w:sz w:val="12"/>
          <w:szCs w:val="12"/>
          <w:u w:val="single" w:color="auto"/>
          <w:color w:val="auto"/>
        </w:rPr>
        <w:t>Annex D</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3 to the Perfection Certificate shall be amended and restated in the form of </w:t>
      </w:r>
      <w:r>
        <w:rPr>
          <w:rFonts w:ascii="Times New Roman" w:cs="Times New Roman" w:eastAsia="Times New Roman" w:hAnsi="Times New Roman"/>
          <w:sz w:val="12"/>
          <w:szCs w:val="12"/>
          <w:u w:val="single" w:color="auto"/>
          <w:color w:val="auto"/>
        </w:rPr>
        <w:t>Annex E</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7 to the Perfection Certificate shall be amended and restated in the form of </w:t>
      </w:r>
      <w:r>
        <w:rPr>
          <w:rFonts w:ascii="Times New Roman" w:cs="Times New Roman" w:eastAsia="Times New Roman" w:hAnsi="Times New Roman"/>
          <w:sz w:val="12"/>
          <w:szCs w:val="12"/>
          <w:u w:val="single" w:color="auto"/>
          <w:color w:val="auto"/>
        </w:rPr>
        <w:t>Annex F</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20" w:hanging="178"/>
        <w:spacing w:after="0"/>
        <w:tabs>
          <w:tab w:leader="none" w:pos="2220"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8 to the Perfection Certificate shall be amended and restated in the form of </w:t>
      </w:r>
      <w:r>
        <w:rPr>
          <w:rFonts w:ascii="Times New Roman" w:cs="Times New Roman" w:eastAsia="Times New Roman" w:hAnsi="Times New Roman"/>
          <w:sz w:val="12"/>
          <w:szCs w:val="12"/>
          <w:u w:val="single" w:color="auto"/>
          <w:color w:val="auto"/>
        </w:rPr>
        <w:t>Annex G</w:t>
      </w:r>
      <w:r>
        <w:rPr>
          <w:rFonts w:ascii="Times New Roman" w:cs="Times New Roman" w:eastAsia="Times New Roman" w:hAnsi="Times New Roman"/>
          <w:sz w:val="12"/>
          <w:szCs w:val="12"/>
          <w:color w:val="auto"/>
        </w:rPr>
        <w:t xml:space="preserve"> attached hereto.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381" w:name="page382"/>
    <w:bookmarkEnd w:id="381"/>
    <w:p>
      <w:pPr>
        <w:ind w:left="2220" w:hanging="178"/>
        <w:spacing w:after="0"/>
        <w:tabs>
          <w:tab w:leader="none" w:pos="222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Schedule 9 to the Perfection Certificate shall be amended and restated in the form of </w:t>
      </w:r>
      <w:r>
        <w:rPr>
          <w:rFonts w:ascii="Times New Roman" w:cs="Times New Roman" w:eastAsia="Times New Roman" w:hAnsi="Times New Roman"/>
          <w:sz w:val="12"/>
          <w:szCs w:val="12"/>
          <w:u w:val="single" w:color="auto"/>
          <w:color w:val="auto"/>
        </w:rPr>
        <w:t>Annex H</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10 to the Perfection Certificate shall be amended and restated in the form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0"/>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11 to the Perfection Certificate shall be amended and restated in the form of </w:t>
      </w:r>
      <w:r>
        <w:rPr>
          <w:rFonts w:ascii="Times New Roman" w:cs="Times New Roman" w:eastAsia="Times New Roman" w:hAnsi="Times New Roman"/>
          <w:sz w:val="12"/>
          <w:szCs w:val="12"/>
          <w:u w:val="single" w:color="auto"/>
          <w:color w:val="auto"/>
        </w:rPr>
        <w:t>Annex J</w:t>
      </w:r>
      <w:r>
        <w:rPr>
          <w:rFonts w:ascii="Times New Roman" w:cs="Times New Roman" w:eastAsia="Times New Roman" w:hAnsi="Times New Roman"/>
          <w:sz w:val="12"/>
          <w:szCs w:val="12"/>
          <w:color w:val="auto"/>
        </w:rPr>
        <w:t xml:space="preserve"> attached hereto.</w:t>
      </w:r>
    </w:p>
    <w:p>
      <w:pPr>
        <w:spacing w:after="0" w:line="78"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Agent Direction</w:t>
      </w:r>
      <w:r>
        <w:rPr>
          <w:rFonts w:ascii="Times New Roman" w:cs="Times New Roman" w:eastAsia="Times New Roman" w:hAnsi="Times New Roman"/>
          <w:sz w:val="12"/>
          <w:szCs w:val="12"/>
          <w:color w:val="auto"/>
        </w:rPr>
        <w:t xml:space="preserve">. The Holder hereby authorizes and directs the Agent to execute this Consent, Waiver and Amendment and to enter into any documentation, including, but not limited to the Designated Transaction Documents, reasonably required by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above.</w:t>
      </w:r>
    </w:p>
    <w:p>
      <w:pPr>
        <w:spacing w:after="0" w:line="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In order to induce the Agent and the Holder to enter into this Consent, Waiver and Amendment,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 hereby represents and warrants as of the date hereof that:</w:t>
      </w:r>
    </w:p>
    <w:p>
      <w:pPr>
        <w:spacing w:after="0" w:line="67" w:lineRule="exact"/>
        <w:rPr>
          <w:sz w:val="20"/>
          <w:szCs w:val="20"/>
          <w:color w:val="auto"/>
        </w:rPr>
      </w:pPr>
    </w:p>
    <w:p>
      <w:pPr>
        <w:ind w:left="1120" w:right="859" w:firstLine="288"/>
        <w:spacing w:after="0" w:line="279" w:lineRule="auto"/>
        <w:tabs>
          <w:tab w:leader="none" w:pos="1565"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the full right, power and authority to enter into and execute this Consent, Waiver and Amendment and to perform all its obligations hereunder and under the Note and the Transaction Documents, as modified herein;</w:t>
      </w:r>
    </w:p>
    <w:p>
      <w:pPr>
        <w:spacing w:after="0" w:line="39" w:lineRule="exact"/>
        <w:rPr>
          <w:rFonts w:ascii="Times New Roman" w:cs="Times New Roman" w:eastAsia="Times New Roman" w:hAnsi="Times New Roman"/>
          <w:sz w:val="12"/>
          <w:szCs w:val="12"/>
          <w:color w:val="auto"/>
        </w:rPr>
      </w:pPr>
    </w:p>
    <w:p>
      <w:pPr>
        <w:ind w:left="1120" w:right="899" w:firstLine="288"/>
        <w:spacing w:after="0" w:line="257" w:lineRule="auto"/>
        <w:tabs>
          <w:tab w:leader="none" w:pos="1572"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Consent, Waiver and Amendment has been duly and validly authorized by all necessary action on the part of the Company, and shall constitute the legal, valid and binding obligations of the Company enforceable against the Company in accordance with the terms hereof,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53" w:lineRule="exact"/>
        <w:rPr>
          <w:rFonts w:ascii="Times New Roman" w:cs="Times New Roman" w:eastAsia="Times New Roman" w:hAnsi="Times New Roman"/>
          <w:sz w:val="12"/>
          <w:szCs w:val="12"/>
          <w:color w:val="auto"/>
        </w:rPr>
      </w:pPr>
    </w:p>
    <w:p>
      <w:pPr>
        <w:ind w:left="1120" w:right="899" w:firstLine="288"/>
        <w:spacing w:after="0" w:line="279" w:lineRule="auto"/>
        <w:tabs>
          <w:tab w:leader="none" w:pos="1565" w:val="left"/>
        </w:tabs>
        <w:numPr>
          <w:ilvl w:val="0"/>
          <w:numId w:val="19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neither the execution and delivery of this Consent, Waiver and Amendment, nor the taking of any actions contemplated hereby and the performance of the obligations hereunder or the Designated Transactions by the Company or any other Subsidiary, does or will, with or without the giving of notice, lapse of time or both, (i) violate or constitute a default, event of default, or event creating a right of acceleration, termination or cancellation of any obligation under any term or provision of any agreement, credit facility, debt or other instrument evidencing Company or Subsidiary Indebtedness (after giving effect to any prior or concurrent consents or waivers under any such agreement, credit facility, debt or other instrument to which the Company or such Subsidiary is a party or otherwise subject, copies of which consents or waivers have been furnished by the Company to the Agent prior to the execution of this Consent, Waiver and Amendment); or (ii) violate any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w:t>
      </w:r>
    </w:p>
    <w:p>
      <w:pPr>
        <w:spacing w:after="0" w:line="44" w:lineRule="exact"/>
        <w:rPr>
          <w:rFonts w:ascii="Times New Roman" w:cs="Times New Roman" w:eastAsia="Times New Roman" w:hAnsi="Times New Roman"/>
          <w:sz w:val="11"/>
          <w:szCs w:val="11"/>
          <w:color w:val="auto"/>
        </w:rPr>
      </w:pPr>
    </w:p>
    <w:p>
      <w:pPr>
        <w:ind w:left="1120" w:right="1159" w:firstLine="288"/>
        <w:spacing w:after="0" w:line="265" w:lineRule="auto"/>
        <w:tabs>
          <w:tab w:leader="none" w:pos="1572"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authorization, consent, approval, license, exemption of or filing or registration with any governmental authority, is or will be necessary for the execution, delivery and performance by the Company of its obligations under this Consent, Waiver and Amendment or the performance by the Company of the Designated Transactions; and</w:t>
      </w:r>
    </w:p>
    <w:p>
      <w:pPr>
        <w:spacing w:after="0" w:line="46" w:lineRule="exact"/>
        <w:rPr>
          <w:rFonts w:ascii="Times New Roman" w:cs="Times New Roman" w:eastAsia="Times New Roman" w:hAnsi="Times New Roman"/>
          <w:sz w:val="12"/>
          <w:szCs w:val="12"/>
          <w:color w:val="auto"/>
        </w:rPr>
      </w:pPr>
    </w:p>
    <w:p>
      <w:pPr>
        <w:ind w:left="1120" w:right="1059" w:firstLine="288"/>
        <w:spacing w:after="0" w:line="265" w:lineRule="auto"/>
        <w:tabs>
          <w:tab w:leader="none" w:pos="1565" w:val="left"/>
        </w:tabs>
        <w:numPr>
          <w:ilvl w:val="0"/>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and after giving effect to this Consent, Waiver and Amendment, no Default or Event of Default exists and is continuing on the date hereof and no Default or Event of Default could reasonably be expected to occur as a result of the consummation of the Designated Transactions.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382" w:name="page383"/>
    <w:bookmarkEnd w:id="382"/>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 </w:t>
      </w:r>
      <w:r>
        <w:rPr>
          <w:rFonts w:ascii="Times New Roman" w:cs="Times New Roman" w:eastAsia="Times New Roman" w:hAnsi="Times New Roman"/>
          <w:sz w:val="12"/>
          <w:szCs w:val="12"/>
          <w:u w:val="single" w:color="auto"/>
          <w:color w:val="auto"/>
        </w:rPr>
        <w:t>Affirmation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39" w:firstLine="288"/>
        <w:spacing w:after="0" w:line="260" w:lineRule="auto"/>
        <w:tabs>
          <w:tab w:leader="none" w:pos="1565"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expressly consented to pursuant to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hereof, the Company hereby expressly reaffirms, as of the date hereof, all its covenants and agreements contained in the Note and each Transaction Document (in each case, as amended hereby) and agrees that none of its covenants and agreements set forth in the Note or any other Transaction Document (in each case, as amended hereby) shall be reduced or limited by the execution and delivery of this Consent, Waiver and Amendment except as expressly set forth herein.</w:t>
      </w:r>
    </w:p>
    <w:p>
      <w:pPr>
        <w:spacing w:after="0" w:line="50" w:lineRule="exact"/>
        <w:rPr>
          <w:rFonts w:ascii="Times New Roman" w:cs="Times New Roman" w:eastAsia="Times New Roman" w:hAnsi="Times New Roman"/>
          <w:sz w:val="12"/>
          <w:szCs w:val="12"/>
          <w:color w:val="auto"/>
        </w:rPr>
      </w:pPr>
    </w:p>
    <w:p>
      <w:pPr>
        <w:ind w:left="1120" w:right="859" w:firstLine="288"/>
        <w:spacing w:after="0" w:line="257" w:lineRule="auto"/>
        <w:tabs>
          <w:tab w:leader="none" w:pos="1572" w:val="left"/>
        </w:tabs>
        <w:numPr>
          <w:ilvl w:val="0"/>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(on behalf of itself and its Subsidiaries) hereby (i) affirms that each of the Liens granted in or pursuant to the Security Documents are valid and subsisting, and (ii) agrees that this Consent, Waiver and Amendment and all documents executed in connection herewith shall in no manner impair or otherwise adversely affect any of the Liens granted in or pursuant to the Security Documents and such Liens continue unimpaired with the same priority to secure repayment of all Obligations in accordance with the Transaction Documents, whether heretofore or hereafter incurred.</w:t>
      </w:r>
    </w:p>
    <w:p>
      <w:pPr>
        <w:spacing w:after="0" w:line="53"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Condition Subsequent</w:t>
      </w:r>
      <w:r>
        <w:rPr>
          <w:rFonts w:ascii="Times New Roman" w:cs="Times New Roman" w:eastAsia="Times New Roman" w:hAnsi="Times New Roman"/>
          <w:sz w:val="12"/>
          <w:szCs w:val="12"/>
          <w:color w:val="auto"/>
        </w:rPr>
        <w:t>. The Company hereby covenants and agrees that no later than April 16, 2025 (or such later date as agreed to by the Agent in writing), the Agent shall have received reimbursement or payment in full of all actual reasonable and documented fees and expenses of Pryor Cashman LLP, as counsel for the Agent, to the extent invoiced on or prior to the Consent, Waiver and Amendment Effective Date.</w:t>
      </w:r>
    </w:p>
    <w:p>
      <w:pPr>
        <w:spacing w:after="0" w:line="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59" w:firstLine="288"/>
        <w:spacing w:after="0" w:line="255" w:lineRule="auto"/>
        <w:tabs>
          <w:tab w:leader="none" w:pos="1565"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to the Holder that: (a) nothing in this Consent, Waiver and Amendment, including, without limitation, the transactions contemplated hereby, constitutes material non-public information and (b) as of the time of execution of this Consent, the Holder is not in possession of any material, nonpublic information received from the Company or any of its Subsidiaries or any of their respective officers, directors, employees, affiliates or agents, that has not been publicly disclosed. Further, the Company expressly acknowledges and agrees that, as of the date hereof, the Holder shall not have, any duty of confidentiality with respect to, or a duty not to trade on the basis of, any material, non-public information regarding the Company or any of its Subsidiaries. The Company understands and confirms that the Holder will rely on the foregoing representations in effecting transactions in securities of the Company.</w:t>
      </w:r>
    </w:p>
    <w:p>
      <w:pPr>
        <w:spacing w:after="0" w:line="53" w:lineRule="exact"/>
        <w:rPr>
          <w:rFonts w:ascii="Times New Roman" w:cs="Times New Roman" w:eastAsia="Times New Roman" w:hAnsi="Times New Roman"/>
          <w:sz w:val="12"/>
          <w:szCs w:val="12"/>
          <w:color w:val="auto"/>
        </w:rPr>
      </w:pPr>
    </w:p>
    <w:p>
      <w:pPr>
        <w:ind w:left="1120" w:right="839" w:firstLine="288"/>
        <w:spacing w:after="0" w:line="265" w:lineRule="auto"/>
        <w:tabs>
          <w:tab w:leader="none" w:pos="1572"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set forth in this Section 7(b), this Consent, Waiver and Amendment shall be effective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upon the later of (i) the time of due execution and delivery by the Company and the Holder of this Consent, Waiver and Amendment, and (ii) the time of due execution and delivery by the Company and each Other Holder of the Other Consents.</w:t>
      </w:r>
    </w:p>
    <w:p>
      <w:pPr>
        <w:spacing w:after="0" w:line="46" w:lineRule="exact"/>
        <w:rPr>
          <w:rFonts w:ascii="Times New Roman" w:cs="Times New Roman" w:eastAsia="Times New Roman" w:hAnsi="Times New Roman"/>
          <w:sz w:val="12"/>
          <w:szCs w:val="12"/>
          <w:color w:val="auto"/>
        </w:rPr>
      </w:pPr>
    </w:p>
    <w:p>
      <w:pPr>
        <w:ind w:left="1120" w:right="959" w:firstLine="288"/>
        <w:spacing w:after="0" w:line="257" w:lineRule="auto"/>
        <w:tabs>
          <w:tab w:leader="none" w:pos="1565"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the Holder under this Consent, Waiver and Amendment are several and not joint with the obligations of any Other Holder, and the Holder shall not be responsible in any way for the performance of the obligations of any Other Holder under any Other Consent. Nothing contained herein or in any Other Consent, and no action taken by the Holder pursuant hereto, shall be deemed to constitute the Holder and Other Holders as a partnership, an association, a joint venture or any other kind of entity, or create a presumption that the Holder and Other Holders are in any way acting in concert or as a group with respect to such obligations or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383" w:name="page384"/>
    <w:bookmarkEnd w:id="383"/>
    <w:p>
      <w:pPr>
        <w:ind w:left="1120" w:right="89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transactions contemplated by this Consent, Waiver and Amendment or any Other Consent and the Company acknowledges that, to the best of its knowledge, the Holder and the Other Holders are not acting in concert or as a group with respect to such obligations or the transactions contemplated by this Consent, Waiver and Amendment or any Other Consent.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spacing w:after="0" w:line="53" w:lineRule="exact"/>
        <w:rPr>
          <w:sz w:val="20"/>
          <w:szCs w:val="20"/>
          <w:color w:val="auto"/>
        </w:rPr>
      </w:pPr>
    </w:p>
    <w:p>
      <w:pPr>
        <w:ind w:left="1120" w:right="879" w:firstLine="288"/>
        <w:spacing w:after="0" w:line="254" w:lineRule="auto"/>
        <w:tabs>
          <w:tab w:leader="none" w:pos="1572"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as of the date hereof and covenants and agrees from and after the date hereof that none of the terms offered to any Person (as defined in the SPA) with respect to any consent, release, amendment, settlement or waiver relating to this consents, waivers or amendments provided herein (each, a “</w:t>
      </w:r>
      <w:r>
        <w:rPr>
          <w:rFonts w:ascii="Times New Roman" w:cs="Times New Roman" w:eastAsia="Times New Roman" w:hAnsi="Times New Roman"/>
          <w:sz w:val="12"/>
          <w:szCs w:val="12"/>
          <w:u w:val="single" w:color="auto"/>
          <w:color w:val="auto"/>
        </w:rPr>
        <w:t>Specified Consent Document</w:t>
      </w:r>
      <w:r>
        <w:rPr>
          <w:rFonts w:ascii="Times New Roman" w:cs="Times New Roman" w:eastAsia="Times New Roman" w:hAnsi="Times New Roman"/>
          <w:sz w:val="12"/>
          <w:szCs w:val="12"/>
          <w:color w:val="auto"/>
        </w:rPr>
        <w:t>”), is or will be more favorable to such Person than those provided to the Holder under this Consent, Waiver and Amendment. If, and whenever on or after the date hereof, the Company enters into a Specified Consent Document, then (i) the Company shall provide notice thereof to the Holder immediately following the occurrence thereof and</w:t>
      </w:r>
    </w:p>
    <w:p>
      <w:pPr>
        <w:ind w:left="1120" w:right="839" w:firstLine="6"/>
        <w:spacing w:after="0" w:line="252" w:lineRule="auto"/>
        <w:tabs>
          <w:tab w:leader="none" w:pos="1297" w:val="left"/>
        </w:tabs>
        <w:numPr>
          <w:ilvl w:val="0"/>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conditions of this Consent, Waiver and Amendment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Specified Consent Document, provided that upon written notice to the Company at any time the Holder may elect not to accept the benefit of any such amended or modified term or condition, in which event the term or condition contained in this Consent shall apply to the Holder as it was in effect immediately prior to such amendment or modification as if such amendment or modification never occurred with respect to the Holder. The provisions of this Section 7(d) shall apply similarly and equally to each Specified Consent Document.</w:t>
      </w:r>
    </w:p>
    <w:p>
      <w:pPr>
        <w:spacing w:after="0" w:line="54" w:lineRule="exact"/>
        <w:rPr>
          <w:rFonts w:ascii="Times New Roman" w:cs="Times New Roman" w:eastAsia="Times New Roman" w:hAnsi="Times New Roman"/>
          <w:sz w:val="12"/>
          <w:szCs w:val="12"/>
          <w:color w:val="auto"/>
        </w:rPr>
      </w:pPr>
    </w:p>
    <w:p>
      <w:pPr>
        <w:ind w:left="1120" w:right="919" w:firstLine="288"/>
        <w:spacing w:after="0" w:line="279" w:lineRule="auto"/>
        <w:tabs>
          <w:tab w:leader="none" w:pos="1565"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headings in this Consent, Waiver and Amendment are included herein for convenience of reference only and shall not constitute a part of this Consent, Waiver and Amendment for any other purposes.</w:t>
      </w:r>
    </w:p>
    <w:p>
      <w:pPr>
        <w:spacing w:after="0" w:line="39" w:lineRule="exact"/>
        <w:rPr>
          <w:rFonts w:ascii="Times New Roman" w:cs="Times New Roman" w:eastAsia="Times New Roman" w:hAnsi="Times New Roman"/>
          <w:sz w:val="12"/>
          <w:szCs w:val="12"/>
          <w:color w:val="auto"/>
        </w:rPr>
      </w:pPr>
    </w:p>
    <w:p>
      <w:pPr>
        <w:ind w:left="1120" w:right="1019" w:firstLine="288"/>
        <w:spacing w:after="0" w:line="257" w:lineRule="auto"/>
        <w:tabs>
          <w:tab w:leader="none" w:pos="1552"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Consent, Waiver and Amendment may be executed with counterpart signature pages or in any number of counterparts, each of which shall be deemed to be an original, but all such separate counterparts shall together constitute but one and the same agreement. In proving this Consent, Waiver and Amendment or any other Transaction Document in any judicial proceedings, it shall not be necessary to produce or account for more than one such counterpart signed by the party against whom such enforcement is sought. Any signatures hereto delivered by electronic transmission shall be deemed an original signature hereto.</w:t>
      </w:r>
    </w:p>
    <w:p>
      <w:pPr>
        <w:spacing w:after="0" w:line="53" w:lineRule="exact"/>
        <w:rPr>
          <w:rFonts w:ascii="Times New Roman" w:cs="Times New Roman" w:eastAsia="Times New Roman" w:hAnsi="Times New Roman"/>
          <w:sz w:val="12"/>
          <w:szCs w:val="12"/>
          <w:color w:val="auto"/>
        </w:rPr>
      </w:pPr>
    </w:p>
    <w:p>
      <w:pPr>
        <w:ind w:left="1120" w:right="939" w:firstLine="288"/>
        <w:spacing w:after="0" w:line="279" w:lineRule="auto"/>
        <w:tabs>
          <w:tab w:leader="none" w:pos="1572"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waiver or modification hereof or of any agreement referred to herein shall be binding or enforceable unless in writing and signed by all of the parties hereto or thereto.</w:t>
      </w:r>
    </w:p>
    <w:p>
      <w:pPr>
        <w:spacing w:after="0" w:line="39" w:lineRule="exact"/>
        <w:rPr>
          <w:rFonts w:ascii="Times New Roman" w:cs="Times New Roman" w:eastAsia="Times New Roman" w:hAnsi="Times New Roman"/>
          <w:sz w:val="12"/>
          <w:szCs w:val="12"/>
          <w:color w:val="auto"/>
        </w:rPr>
      </w:pPr>
    </w:p>
    <w:p>
      <w:pPr>
        <w:jc w:val="both"/>
        <w:ind w:left="1120" w:right="859" w:firstLine="288"/>
        <w:spacing w:after="0" w:line="265" w:lineRule="auto"/>
        <w:tabs>
          <w:tab w:leader="none" w:pos="1572"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date on which this Consent, Waiver and Amendment shall be effective, the term “Transaction Documents” in the Note and the other Note Documents shall include, without limitation, this Consent, Waiver and Amendment and any agreements, instruments and other documents executed and/or delivered in connection herewith.</w:t>
      </w:r>
    </w:p>
    <w:p>
      <w:pPr>
        <w:spacing w:after="0" w:line="46" w:lineRule="exact"/>
        <w:rPr>
          <w:rFonts w:ascii="Times New Roman" w:cs="Times New Roman" w:eastAsia="Times New Roman" w:hAnsi="Times New Roman"/>
          <w:sz w:val="12"/>
          <w:szCs w:val="12"/>
          <w:color w:val="auto"/>
        </w:rPr>
      </w:pPr>
    </w:p>
    <w:p>
      <w:pPr>
        <w:jc w:val="both"/>
        <w:ind w:left="1120" w:right="1239" w:firstLine="288"/>
        <w:spacing w:after="0" w:line="265" w:lineRule="auto"/>
        <w:tabs>
          <w:tab w:leader="none" w:pos="1545" w:val="left"/>
        </w:tabs>
        <w:numPr>
          <w:ilvl w:val="1"/>
          <w:numId w:val="1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PROVISIONS OF SECTION 31 (GOVERNING LAW) OF THE NOTE ARE HEREBY INCORPORATED HEREIN BY REFERENCE AND SHALL APPLY TO THIS CONSENT, WAIVER AND AMENDMENT MUTATIS MUTANDIS AS IF FULLY SET FORTH HEREIN.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384" w:name="page385"/>
    <w:bookmarkEnd w:id="384"/>
    <w:p>
      <w:pPr>
        <w:ind w:left="1120" w:right="919" w:firstLine="288"/>
        <w:spacing w:after="0" w:line="256" w:lineRule="auto"/>
        <w:tabs>
          <w:tab w:leader="none" w:pos="1545" w:val="left"/>
        </w:tabs>
        <w:numPr>
          <w:ilvl w:val="0"/>
          <w:numId w:val="1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6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anything to the contrary set forth in any Transaction Document, the parties agree that each party hereto (including each Holder and Agent) is responsible for paying for their own fees, costs and expenses, including legal fees incurred in connection with this Consent, Waiver and Amendment except that, so long as Company has received an invoice for such amounts on or prior to the date hereof, within 5 Business Days following the date of this Consent, Waiver and Amendment, the Company agrees to reimburse actual, reasonable and documented legal fees incurred by the Holders of Tranche B Notes, the Tranche A Holder, and/or the Agent (including those incurred in connection with any other consent delivered in connection with the Tranche B Notes or the Tranche A Note).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385" w:name="page386"/>
    <w:bookmarkEnd w:id="385"/>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6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ORAMED PHARMACEUITCALS INC.</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Avi Gabay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602">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Avi Gabay</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CFO</w:t>
      </w:r>
    </w:p>
    <w:p>
      <w:pPr>
        <w:spacing w:after="0" w:line="9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86" w:name="page387"/>
    <w:bookmarkEnd w:id="386"/>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6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ACQUIOM AGENCY SERVICES LLC, as Agent</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Beth Cesari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04">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Beth Cesari</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Exec Director</w:t>
      </w:r>
    </w:p>
    <w:p>
      <w:pPr>
        <w:spacing w:after="0" w:line="9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87" w:name="page388"/>
    <w:bookmarkEnd w:id="387"/>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06">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Jaisim Shah</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Chief Executive Officer and President</w:t>
      </w:r>
    </w:p>
    <w:p>
      <w:pPr>
        <w:spacing w:after="0" w:line="9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88" w:name="page389"/>
    <w:bookmarkEnd w:id="388"/>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10.78</w:t>
      </w:r>
    </w:p>
    <w:p>
      <w:pPr>
        <w:spacing w:after="0" w:line="1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April 16, 2025</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Scilex Holding Company</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960 San Antonio Rd.</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Palo Alto, CA 94303</w:t>
      </w:r>
    </w:p>
    <w:p>
      <w:pPr>
        <w:spacing w:after="0" w:line="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Attn: Stephen Ma</w:t>
      </w:r>
    </w:p>
    <w:p>
      <w:pPr>
        <w:spacing w:after="0" w:line="13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u w:val="single" w:color="auto"/>
          <w:color w:val="auto"/>
        </w:rPr>
        <w:t>VIA EMAIL</w:t>
      </w:r>
    </w:p>
    <w:p>
      <w:pPr>
        <w:spacing w:after="0" w:line="172" w:lineRule="exact"/>
        <w:rPr>
          <w:sz w:val="20"/>
          <w:szCs w:val="20"/>
          <w:color w:val="auto"/>
        </w:rPr>
      </w:pPr>
    </w:p>
    <w:p>
      <w:pPr>
        <w:ind w:left="1120" w:right="919" w:hanging="279"/>
        <w:spacing w:after="0" w:line="279" w:lineRule="auto"/>
        <w:tabs>
          <w:tab w:leader="none" w:pos="1100" w:val="left"/>
        </w:tabs>
        <w:rPr>
          <w:sz w:val="20"/>
          <w:szCs w:val="20"/>
          <w:color w:val="auto"/>
        </w:rPr>
      </w:pPr>
      <w:r>
        <w:rPr>
          <w:rFonts w:ascii="Times New Roman" w:cs="Times New Roman" w:eastAsia="Times New Roman" w:hAnsi="Times New Roman"/>
          <w:sz w:val="12"/>
          <w:szCs w:val="12"/>
          <w:color w:val="auto"/>
        </w:rPr>
        <w:t>RE:</w:t>
        <w:tab/>
        <w:t>Consent, Waiver and Amendment re Tranche B Senior Secured Convertible Note and Related Transaction Documents (this “</w:t>
      </w:r>
      <w:r>
        <w:rPr>
          <w:rFonts w:ascii="Times New Roman" w:cs="Times New Roman" w:eastAsia="Times New Roman" w:hAnsi="Times New Roman"/>
          <w:sz w:val="12"/>
          <w:szCs w:val="12"/>
          <w:u w:val="single" w:color="auto"/>
          <w:color w:val="auto"/>
        </w:rPr>
        <w:t>Consent, Waiver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78" w:lineRule="exact"/>
        <w:rPr>
          <w:sz w:val="20"/>
          <w:szCs w:val="20"/>
          <w:color w:val="auto"/>
        </w:rPr>
      </w:pPr>
    </w:p>
    <w:p>
      <w:pPr>
        <w:ind w:left="840" w:right="839" w:firstLine="294"/>
        <w:spacing w:after="0" w:line="252" w:lineRule="auto"/>
        <w:rPr>
          <w:sz w:val="20"/>
          <w:szCs w:val="20"/>
          <w:color w:val="auto"/>
        </w:rPr>
      </w:pPr>
      <w:r>
        <w:rPr>
          <w:rFonts w:ascii="Times New Roman" w:cs="Times New Roman" w:eastAsia="Times New Roman" w:hAnsi="Times New Roman"/>
          <w:sz w:val="12"/>
          <w:szCs w:val="12"/>
          <w:color w:val="auto"/>
        </w:rPr>
        <w:t>Reference is made to (i) that certain Securities Purchase Agreement, dated as of October 7, 2024 (the “</w:t>
      </w:r>
      <w:r>
        <w:rPr>
          <w:rFonts w:ascii="Times New Roman" w:cs="Times New Roman" w:eastAsia="Times New Roman" w:hAnsi="Times New Roman"/>
          <w:sz w:val="12"/>
          <w:szCs w:val="12"/>
          <w:u w:val="single" w:color="auto"/>
          <w:color w:val="auto"/>
        </w:rPr>
        <w:t>SPA</w:t>
      </w:r>
      <w:r>
        <w:rPr>
          <w:rFonts w:ascii="Times New Roman" w:cs="Times New Roman" w:eastAsia="Times New Roman" w:hAnsi="Times New Roman"/>
          <w:sz w:val="12"/>
          <w:szCs w:val="12"/>
          <w:color w:val="auto"/>
        </w:rPr>
        <w:t>”), between Scilex Holding Company,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each investor listed on the Schedule of Buyers attached thereto, (the “</w:t>
      </w:r>
      <w:r>
        <w:rPr>
          <w:rFonts w:ascii="Times New Roman" w:cs="Times New Roman" w:eastAsia="Times New Roman" w:hAnsi="Times New Roman"/>
          <w:sz w:val="12"/>
          <w:szCs w:val="12"/>
          <w:u w:val="single" w:color="auto"/>
          <w:color w:val="auto"/>
        </w:rPr>
        <w:t>Buyers</w:t>
      </w:r>
      <w:r>
        <w:rPr>
          <w:rFonts w:ascii="Times New Roman" w:cs="Times New Roman" w:eastAsia="Times New Roman" w:hAnsi="Times New Roman"/>
          <w:sz w:val="12"/>
          <w:szCs w:val="12"/>
          <w:color w:val="auto"/>
        </w:rPr>
        <w:t>”) and Acquiom Agency Services LLC, a Colorado limited liability company (“</w:t>
      </w:r>
      <w:r>
        <w:rPr>
          <w:rFonts w:ascii="Times New Roman" w:cs="Times New Roman" w:eastAsia="Times New Roman" w:hAnsi="Times New Roman"/>
          <w:sz w:val="12"/>
          <w:szCs w:val="12"/>
          <w:u w:val="single" w:color="auto"/>
          <w:color w:val="auto"/>
        </w:rPr>
        <w:t>Acquiom</w:t>
      </w:r>
      <w:r>
        <w:rPr>
          <w:rFonts w:ascii="Times New Roman" w:cs="Times New Roman" w:eastAsia="Times New Roman" w:hAnsi="Times New Roman"/>
          <w:sz w:val="12"/>
          <w:szCs w:val="12"/>
          <w:color w:val="auto"/>
        </w:rPr>
        <w:t>”), as collateral agent, (ii) that certain Tranche B Senior Secured Convertible Note, dated as of October 8, 2024 (as amended, supplemented or modified from time to time, the “</w:t>
      </w:r>
      <w:r>
        <w:rPr>
          <w:rFonts w:ascii="Times New Roman" w:cs="Times New Roman" w:eastAsia="Times New Roman" w:hAnsi="Times New Roman"/>
          <w:sz w:val="12"/>
          <w:szCs w:val="12"/>
          <w:u w:val="single" w:color="auto"/>
          <w:color w:val="auto"/>
        </w:rPr>
        <w:t>Note</w:t>
      </w:r>
      <w:r>
        <w:rPr>
          <w:rFonts w:ascii="Times New Roman" w:cs="Times New Roman" w:eastAsia="Times New Roman" w:hAnsi="Times New Roman"/>
          <w:sz w:val="12"/>
          <w:szCs w:val="12"/>
          <w:color w:val="auto"/>
        </w:rPr>
        <w:t>”, and together with the Tranche B Senior Secured Convertible Notes, dated as of such date and held by each other holder thereof, as amended, supplemented or modified from time to time, the “</w:t>
      </w:r>
      <w:r>
        <w:rPr>
          <w:rFonts w:ascii="Times New Roman" w:cs="Times New Roman" w:eastAsia="Times New Roman" w:hAnsi="Times New Roman"/>
          <w:sz w:val="12"/>
          <w:szCs w:val="12"/>
          <w:u w:val="single" w:color="auto"/>
          <w:color w:val="auto"/>
        </w:rPr>
        <w:t>Tranche B Notes</w:t>
      </w:r>
      <w:r>
        <w:rPr>
          <w:rFonts w:ascii="Times New Roman" w:cs="Times New Roman" w:eastAsia="Times New Roman" w:hAnsi="Times New Roman"/>
          <w:sz w:val="12"/>
          <w:szCs w:val="12"/>
          <w:color w:val="auto"/>
        </w:rPr>
        <w:t>”), issued by the Company to the undersigned, as Holder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(iii) that certain Amended and Restated Security Agreement, dated as of October 8, 2024 (the “</w:t>
      </w:r>
      <w:r>
        <w:rPr>
          <w:rFonts w:ascii="Times New Roman" w:cs="Times New Roman" w:eastAsia="Times New Roman" w:hAnsi="Times New Roman"/>
          <w:sz w:val="12"/>
          <w:szCs w:val="12"/>
          <w:u w:val="single" w:color="auto"/>
          <w:color w:val="auto"/>
        </w:rPr>
        <w:t>Security Agreement</w:t>
      </w:r>
      <w:r>
        <w:rPr>
          <w:rFonts w:ascii="Times New Roman" w:cs="Times New Roman" w:eastAsia="Times New Roman" w:hAnsi="Times New Roman"/>
          <w:sz w:val="12"/>
          <w:szCs w:val="12"/>
          <w:color w:val="auto"/>
        </w:rPr>
        <w:t xml:space="preserve">”), among,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the Company, and the subsidiaries of the Company party thereto and Acquiom, as the collateral agent (the “</w:t>
      </w:r>
      <w:r>
        <w:rPr>
          <w:rFonts w:ascii="Times New Roman" w:cs="Times New Roman" w:eastAsia="Times New Roman" w:hAnsi="Times New Roman"/>
          <w:sz w:val="12"/>
          <w:szCs w:val="12"/>
          <w:u w:val="single" w:color="auto"/>
          <w:color w:val="auto"/>
        </w:rPr>
        <w:t>Agent</w:t>
      </w:r>
      <w:r>
        <w:rPr>
          <w:rFonts w:ascii="Times New Roman" w:cs="Times New Roman" w:eastAsia="Times New Roman" w:hAnsi="Times New Roman"/>
          <w:sz w:val="12"/>
          <w:szCs w:val="12"/>
          <w:color w:val="auto"/>
        </w:rPr>
        <w:t>”) for (x) the holders of the Note and all Other Notes (as defined in the Note) and (y) the holders of Tranche A Notes (as defined in the Security Agreement) (collectively, the Holder, holders of the Other Notes and the holders of Tranche A Notes (as defined in the Security Agreement), the “</w:t>
      </w:r>
      <w:r>
        <w:rPr>
          <w:rFonts w:ascii="Times New Roman" w:cs="Times New Roman" w:eastAsia="Times New Roman" w:hAnsi="Times New Roman"/>
          <w:sz w:val="12"/>
          <w:szCs w:val="12"/>
          <w:u w:val="single" w:color="auto"/>
          <w:color w:val="auto"/>
        </w:rPr>
        <w:t>Holders</w:t>
      </w:r>
      <w:r>
        <w:rPr>
          <w:rFonts w:ascii="Times New Roman" w:cs="Times New Roman" w:eastAsia="Times New Roman" w:hAnsi="Times New Roman"/>
          <w:sz w:val="12"/>
          <w:szCs w:val="12"/>
          <w:color w:val="auto"/>
        </w:rPr>
        <w:t>”), their endorsees, transferees and assigns (collectively with the Agent, the “</w:t>
      </w:r>
      <w:r>
        <w:rPr>
          <w:rFonts w:ascii="Times New Roman" w:cs="Times New Roman" w:eastAsia="Times New Roman" w:hAnsi="Times New Roman"/>
          <w:sz w:val="12"/>
          <w:szCs w:val="12"/>
          <w:u w:val="single" w:color="auto"/>
          <w:color w:val="auto"/>
        </w:rPr>
        <w:t>Secured Parties</w:t>
      </w:r>
      <w:r>
        <w:rPr>
          <w:rFonts w:ascii="Times New Roman" w:cs="Times New Roman" w:eastAsia="Times New Roman" w:hAnsi="Times New Roman"/>
          <w:sz w:val="12"/>
          <w:szCs w:val="12"/>
          <w:color w:val="auto"/>
        </w:rPr>
        <w:t>”) and as collateral agent for the holders of certain Tranche A Notes (as defined therein), (iv) that certain Senior Secured Promissory Note, dated as of September 21, 2023 (the “</w:t>
      </w:r>
      <w:r>
        <w:rPr>
          <w:rFonts w:ascii="Times New Roman" w:cs="Times New Roman" w:eastAsia="Times New Roman" w:hAnsi="Times New Roman"/>
          <w:sz w:val="12"/>
          <w:szCs w:val="12"/>
          <w:u w:val="single" w:color="auto"/>
          <w:color w:val="auto"/>
        </w:rPr>
        <w:t>Tranche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 Note</w:t>
      </w:r>
      <w:r>
        <w:rPr>
          <w:rFonts w:ascii="Times New Roman" w:cs="Times New Roman" w:eastAsia="Times New Roman" w:hAnsi="Times New Roman"/>
          <w:sz w:val="12"/>
          <w:szCs w:val="12"/>
          <w:color w:val="auto"/>
        </w:rPr>
        <w:t>”), issued by Scilex to Oramed Pharmaceuticals Inc., as holder (the “</w:t>
      </w:r>
      <w:r>
        <w:rPr>
          <w:rFonts w:ascii="Times New Roman" w:cs="Times New Roman" w:eastAsia="Times New Roman" w:hAnsi="Times New Roman"/>
          <w:sz w:val="12"/>
          <w:szCs w:val="12"/>
          <w:u w:val="single" w:color="auto"/>
          <w:color w:val="auto"/>
        </w:rPr>
        <w:t>Tranche A Holder</w:t>
      </w:r>
      <w:r>
        <w:rPr>
          <w:rFonts w:ascii="Times New Roman" w:cs="Times New Roman" w:eastAsia="Times New Roman" w:hAnsi="Times New Roman"/>
          <w:sz w:val="12"/>
          <w:szCs w:val="12"/>
          <w:color w:val="auto"/>
        </w:rPr>
        <w:t>”), (v) that certain Intercompany Indebtedness Subordination Agreement, dated as of September 29, 2023, among the Company, the other Subordinated Lenders (as defined therein) party thereto, Subordinated Debtors (as defined therein) and the Agent (as amended, restated, amended and restated, supplemented or otherwise modified from time to time) (the “</w:t>
      </w:r>
      <w:r>
        <w:rPr>
          <w:rFonts w:ascii="Times New Roman" w:cs="Times New Roman" w:eastAsia="Times New Roman" w:hAnsi="Times New Roman"/>
          <w:sz w:val="12"/>
          <w:szCs w:val="12"/>
          <w:u w:val="single" w:color="auto"/>
          <w:color w:val="auto"/>
        </w:rPr>
        <w:t>Intercompany Subordination Agreement</w:t>
      </w:r>
      <w:r>
        <w:rPr>
          <w:rFonts w:ascii="Times New Roman" w:cs="Times New Roman" w:eastAsia="Times New Roman" w:hAnsi="Times New Roman"/>
          <w:sz w:val="12"/>
          <w:szCs w:val="12"/>
          <w:color w:val="auto"/>
        </w:rPr>
        <w:t>”), and (vi) all related Transaction Documents, as defined in the SPA.</w:t>
      </w:r>
    </w:p>
    <w:p>
      <w:pPr>
        <w:spacing w:after="0" w:line="131" w:lineRule="exact"/>
        <w:rPr>
          <w:sz w:val="20"/>
          <w:szCs w:val="20"/>
          <w:color w:val="auto"/>
        </w:rPr>
      </w:pPr>
    </w:p>
    <w:p>
      <w:pPr>
        <w:ind w:left="840" w:right="1379" w:firstLine="294"/>
        <w:spacing w:after="0" w:line="279" w:lineRule="auto"/>
        <w:rPr>
          <w:sz w:val="20"/>
          <w:szCs w:val="20"/>
          <w:color w:val="auto"/>
        </w:rPr>
      </w:pPr>
      <w:r>
        <w:rPr>
          <w:rFonts w:ascii="Times New Roman" w:cs="Times New Roman" w:eastAsia="Times New Roman" w:hAnsi="Times New Roman"/>
          <w:sz w:val="12"/>
          <w:szCs w:val="12"/>
          <w:color w:val="auto"/>
        </w:rPr>
        <w:t>Capitalized terms used but not defined herein are used with the respective meanings assigned to them in the SPA, the Note, the Security Agreement or the Intercompany Subordination Agreement, as applicable.</w:t>
      </w:r>
    </w:p>
    <w:p>
      <w:pPr>
        <w:spacing w:after="0" w:line="107" w:lineRule="exact"/>
        <w:rPr>
          <w:sz w:val="20"/>
          <w:szCs w:val="20"/>
          <w:color w:val="auto"/>
        </w:rPr>
      </w:pPr>
    </w:p>
    <w:p>
      <w:pPr>
        <w:ind w:left="840" w:right="10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form an entity in a joint venture with a third party whereby such entity shall be named Scilex Bio, Inc.,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Delaware corporation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left="840" w:right="99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intends to document the formation of Bio JV (“</w:t>
      </w:r>
      <w:r>
        <w:rPr>
          <w:rFonts w:ascii="Times New Roman" w:cs="Times New Roman" w:eastAsia="Times New Roman" w:hAnsi="Times New Roman"/>
          <w:sz w:val="12"/>
          <w:szCs w:val="12"/>
          <w:u w:val="single" w:color="auto"/>
          <w:color w:val="auto"/>
        </w:rPr>
        <w:t>Bio JV Formation</w:t>
      </w:r>
      <w:r>
        <w:rPr>
          <w:rFonts w:ascii="Times New Roman" w:cs="Times New Roman" w:eastAsia="Times New Roman" w:hAnsi="Times New Roman"/>
          <w:sz w:val="12"/>
          <w:szCs w:val="12"/>
          <w:color w:val="auto"/>
        </w:rPr>
        <w:t>”) pursuant to customary corporate documentation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but not limited to a certificate of formation, bylaws and any related corporate documents entered into in connection therewith (the “</w:t>
      </w:r>
      <w:r>
        <w:rPr>
          <w:rFonts w:ascii="Times New Roman" w:cs="Times New Roman" w:eastAsia="Times New Roman" w:hAnsi="Times New Roman"/>
          <w:sz w:val="12"/>
          <w:szCs w:val="12"/>
          <w:u w:val="single" w:color="auto"/>
          <w:color w:val="auto"/>
        </w:rPr>
        <w:t>Bio JV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Formation Documents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40" w:right="919" w:firstLine="294"/>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that the Agent and Holder waive all requirements under the applicable Transaction Documents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would require Bio JV to become party to any such Transaction Documents in any capacity, including, but not limited to, in the capacity as a Subsidiary, Grantor, Debtor or any other related capacities described in greater detail below;</w:t>
      </w:r>
    </w:p>
    <w:p>
      <w:pPr>
        <w:sectPr>
          <w:pgSz w:w="11900" w:h="16838" w:orient="portrait"/>
          <w:cols w:equalWidth="0" w:num="1">
            <w:col w:w="9019"/>
          </w:cols>
          <w:pgMar w:left="1440" w:top="125" w:right="1440" w:bottom="1440" w:gutter="0" w:footer="0" w:header="0"/>
        </w:sectPr>
      </w:pPr>
    </w:p>
    <w:bookmarkStart w:id="389" w:name="page390"/>
    <w:bookmarkEnd w:id="389"/>
    <w:p>
      <w:pPr>
        <w:ind w:left="840" w:right="91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WHEREAS</w:t>
      </w:r>
      <w:r>
        <w:rPr>
          <w:rFonts w:ascii="Times New Roman" w:cs="Times New Roman" w:eastAsia="Times New Roman" w:hAnsi="Times New Roman"/>
          <w:sz w:val="12"/>
          <w:szCs w:val="12"/>
          <w:color w:val="auto"/>
        </w:rPr>
        <w:t>, the Company has requested that the Agent and Holder make certain amendments to the SPA, the Note, the Security Agreement,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Perfection Certificate and the Intercompany Subordination Agreement;</w:t>
      </w:r>
    </w:p>
    <w:p>
      <w:pPr>
        <w:spacing w:after="0" w:line="103" w:lineRule="exact"/>
        <w:rPr>
          <w:sz w:val="20"/>
          <w:szCs w:val="20"/>
          <w:color w:val="auto"/>
        </w:rPr>
      </w:pPr>
    </w:p>
    <w:p>
      <w:pPr>
        <w:ind w:left="840" w:right="959" w:firstLine="294"/>
        <w:spacing w:after="0" w:line="254"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on or after the date hereof, the Company, Bio JV, and the other parties thereto shall enter into (i) the Contribution Agreement,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substantially the form attached hereto as </w:t>
      </w:r>
      <w:r>
        <w:rPr>
          <w:rFonts w:ascii="Times New Roman" w:cs="Times New Roman" w:eastAsia="Times New Roman" w:hAnsi="Times New Roman"/>
          <w:sz w:val="12"/>
          <w:szCs w:val="12"/>
          <w:u w:val="single" w:color="auto"/>
          <w:color w:val="auto"/>
        </w:rPr>
        <w:t>Annex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Contribution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Contribution Documents</w:t>
      </w:r>
      <w:r>
        <w:rPr>
          <w:rFonts w:ascii="Times New Roman" w:cs="Times New Roman" w:eastAsia="Times New Roman" w:hAnsi="Times New Roman"/>
          <w:sz w:val="12"/>
          <w:szCs w:val="12"/>
          <w:color w:val="auto"/>
        </w:rPr>
        <w:t xml:space="preserve">”), pursuant to which, among other things, the Company will contribute to Bio JV the Contributed Securities (as defined in the Contribution Agreement) and (ii) the KDS2010 Assignment and License Agreement, substantially in the form attached hereto as </w:t>
      </w:r>
      <w:r>
        <w:rPr>
          <w:rFonts w:ascii="Times New Roman" w:cs="Times New Roman" w:eastAsia="Times New Roman" w:hAnsi="Times New Roman"/>
          <w:sz w:val="12"/>
          <w:szCs w:val="12"/>
          <w:u w:val="single" w:color="auto"/>
          <w:color w:val="auto"/>
        </w:rPr>
        <w:t>Annex B</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License Agreement</w:t>
      </w:r>
      <w:r>
        <w:rPr>
          <w:rFonts w:ascii="Times New Roman" w:cs="Times New Roman" w:eastAsia="Times New Roman" w:hAnsi="Times New Roman"/>
          <w:sz w:val="12"/>
          <w:szCs w:val="12"/>
          <w:color w:val="auto"/>
        </w:rPr>
        <w:t>”, and together with the other documents, instruments and agreements executed and delivered in connection therewith or otherwise relating thereto, the “</w:t>
      </w:r>
      <w:r>
        <w:rPr>
          <w:rFonts w:ascii="Times New Roman" w:cs="Times New Roman" w:eastAsia="Times New Roman" w:hAnsi="Times New Roman"/>
          <w:sz w:val="12"/>
          <w:szCs w:val="12"/>
          <w:u w:val="single" w:color="auto"/>
          <w:color w:val="auto"/>
        </w:rPr>
        <w:t>Designated License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Documents</w:t>
      </w:r>
      <w:r>
        <w:rPr>
          <w:rFonts w:ascii="Times New Roman" w:cs="Times New Roman" w:eastAsia="Times New Roman" w:hAnsi="Times New Roman"/>
          <w:sz w:val="12"/>
          <w:szCs w:val="12"/>
          <w:color w:val="auto"/>
        </w:rPr>
        <w:t>”, and together with the Designated Contribution Documents and the Bio JV Formation Documents, each a “</w:t>
      </w:r>
      <w:r>
        <w:rPr>
          <w:rFonts w:ascii="Times New Roman" w:cs="Times New Roman" w:eastAsia="Times New Roman" w:hAnsi="Times New Roman"/>
          <w:sz w:val="12"/>
          <w:szCs w:val="12"/>
          <w:u w:val="single" w:color="auto"/>
          <w:color w:val="auto"/>
        </w:rPr>
        <w:t>Designated Transaction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Document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Designated Transaction Documents</w:t>
      </w:r>
      <w:r>
        <w:rPr>
          <w:rFonts w:ascii="Times New Roman" w:cs="Times New Roman" w:eastAsia="Times New Roman" w:hAnsi="Times New Roman"/>
          <w:sz w:val="12"/>
          <w:szCs w:val="12"/>
          <w:color w:val="auto"/>
        </w:rPr>
        <w:t>”) (the transactions contemplated by the Designated Transaction Documents and Bio JV Formation, collectively, the “</w:t>
      </w:r>
      <w:r>
        <w:rPr>
          <w:rFonts w:ascii="Times New Roman" w:cs="Times New Roman" w:eastAsia="Times New Roman" w:hAnsi="Times New Roman"/>
          <w:sz w:val="12"/>
          <w:szCs w:val="12"/>
          <w:u w:val="single" w:color="auto"/>
          <w:color w:val="auto"/>
        </w:rPr>
        <w:t>Designated Transactions</w:t>
      </w:r>
      <w:r>
        <w:rPr>
          <w:rFonts w:ascii="Times New Roman" w:cs="Times New Roman" w:eastAsia="Times New Roman" w:hAnsi="Times New Roman"/>
          <w:sz w:val="12"/>
          <w:szCs w:val="12"/>
          <w:color w:val="auto"/>
        </w:rPr>
        <w:t>”);</w:t>
      </w:r>
    </w:p>
    <w:p>
      <w:pPr>
        <w:spacing w:after="0" w:line="126" w:lineRule="exact"/>
        <w:rPr>
          <w:sz w:val="20"/>
          <w:szCs w:val="20"/>
          <w:color w:val="auto"/>
        </w:rPr>
      </w:pPr>
    </w:p>
    <w:p>
      <w:pPr>
        <w:ind w:left="840" w:right="899" w:firstLine="294"/>
        <w:spacing w:after="0" w:line="25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has requested and the Agent and the Holder agree pursuant to the terms set forth herein, to (i) consent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Company’s entry into and the consummation of the applicable Designated Transactions and the Designated Transaction Documents, (ii) make certain amendments to the SPA, the Note, the Security Agreement, the Perfection Certificate and the Intercompany Subordination Agreement, and (iii) waive any covenant or provision in any Transaction Document, including, but not limited to, the SPA, the Note, the Security Agreement and the Intercompany Subordination Agreement, that would require Bio JV to become party to any Transaction Document in any capacity;</w:t>
      </w:r>
    </w:p>
    <w:p>
      <w:pPr>
        <w:spacing w:after="0" w:line="119" w:lineRule="exact"/>
        <w:rPr>
          <w:sz w:val="20"/>
          <w:szCs w:val="20"/>
          <w:color w:val="auto"/>
        </w:rPr>
      </w:pPr>
    </w:p>
    <w:p>
      <w:pPr>
        <w:ind w:left="840" w:right="9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Agent, Holder and the Company have duly authorized the execution and delivery of this Consent, Waiver and Amendment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done all things necessary to make this Consent, Waiver and Amendment a valid and binding agreement in accordance with its terms; and</w:t>
      </w:r>
    </w:p>
    <w:p>
      <w:pPr>
        <w:spacing w:after="0" w:line="103" w:lineRule="exact"/>
        <w:rPr>
          <w:sz w:val="20"/>
          <w:szCs w:val="20"/>
          <w:color w:val="auto"/>
        </w:rPr>
      </w:pPr>
    </w:p>
    <w:p>
      <w:pPr>
        <w:ind w:left="840" w:right="103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concurrently herewith, the Company has also requested that each of the other Holders (the “</w:t>
      </w:r>
      <w:r>
        <w:rPr>
          <w:rFonts w:ascii="Times New Roman" w:cs="Times New Roman" w:eastAsia="Times New Roman" w:hAnsi="Times New Roman"/>
          <w:sz w:val="12"/>
          <w:szCs w:val="12"/>
          <w:u w:val="single" w:color="auto"/>
          <w:color w:val="auto"/>
        </w:rPr>
        <w:t>Other Holders</w:t>
      </w:r>
      <w:r>
        <w:rPr>
          <w:rFonts w:ascii="Times New Roman" w:cs="Times New Roman" w:eastAsia="Times New Roman" w:hAnsi="Times New Roman"/>
          <w:sz w:val="12"/>
          <w:szCs w:val="12"/>
          <w:color w:val="auto"/>
        </w:rPr>
        <w:t>”) enter into a consent,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waiver and amendment in form and substance substantially similar to this Consent, Waiver and Amendment (the “</w:t>
      </w:r>
      <w:r>
        <w:rPr>
          <w:rFonts w:ascii="Times New Roman" w:cs="Times New Roman" w:eastAsia="Times New Roman" w:hAnsi="Times New Roman"/>
          <w:sz w:val="12"/>
          <w:szCs w:val="12"/>
          <w:u w:val="single" w:color="auto"/>
          <w:color w:val="auto"/>
        </w:rPr>
        <w:t>Other Consents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840" w:right="105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mutual agreements herein contained and other good and valuable consideration, the receipt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sufficiency of which are hereby acknowledged, the following is agreed: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1 </w:t>
      </w:r>
      <w:r>
        <w:rPr>
          <w:rFonts w:ascii="Times New Roman" w:cs="Times New Roman" w:eastAsia="Times New Roman" w:hAnsi="Times New Roman"/>
          <w:sz w:val="12"/>
          <w:szCs w:val="12"/>
          <w:u w:val="single" w:color="auto"/>
          <w:color w:val="auto"/>
        </w:rPr>
        <w:t>Consent</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59" w:firstLine="288"/>
        <w:spacing w:after="0" w:line="260" w:lineRule="auto"/>
        <w:tabs>
          <w:tab w:leader="none" w:pos="1565"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Note, the SPA, the Security Agreement and the other Transaction Documents to the contrary notwithstanding, the undersigned Agent and Holder hereby consent as of the Effective Time (as defined below) to the execution of the Designated Transaction Documents, the consummation of the Designated Transactions in accordance with the terms of the Designated Transaction Documents and the performance by the Company of its obligations thereunder.</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9019"/>
          </w:cols>
          <w:pgMar w:left="1440" w:top="224" w:right="1440" w:bottom="1440" w:gutter="0" w:footer="0" w:header="0"/>
        </w:sectPr>
      </w:pPr>
    </w:p>
    <w:bookmarkStart w:id="390" w:name="page391"/>
    <w:bookmarkEnd w:id="390"/>
    <w:p>
      <w:pPr>
        <w:ind w:left="1120" w:right="859" w:firstLine="288"/>
        <w:spacing w:after="0" w:line="253" w:lineRule="auto"/>
        <w:tabs>
          <w:tab w:leader="none" w:pos="1572"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The foregoing limited consents contained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 are each a one-time consent, (ii) are each expressly limited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(iii) shall not be deemed or otherwise construed to constitute a consent to any other transaction, whether or not similar to the consents described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(iv) shall not operate as a waiver of any right, power or remedy of the Agent or any Holder under the Note, any other Transaction Document or any other document, instrument or agreement executed in connection therewith, nor constitute a waiver, release or modification of the Company’s or any Subsidiary’s obligations to comply with all terms and conditions of the Note and other Transaction Documents, in each case, except as expressly set forth above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below. The Agent and the Holder have granted the limited consent set forth in </w:t>
      </w:r>
      <w:r>
        <w:rPr>
          <w:rFonts w:ascii="Times New Roman" w:cs="Times New Roman" w:eastAsia="Times New Roman" w:hAnsi="Times New Roman"/>
          <w:sz w:val="12"/>
          <w:szCs w:val="12"/>
          <w:u w:val="single" w:color="auto"/>
          <w:color w:val="auto"/>
        </w:rPr>
        <w:t>Section 1(a)</w:t>
      </w:r>
      <w:r>
        <w:rPr>
          <w:rFonts w:ascii="Times New Roman" w:cs="Times New Roman" w:eastAsia="Times New Roman" w:hAnsi="Times New Roman"/>
          <w:sz w:val="12"/>
          <w:szCs w:val="12"/>
          <w:color w:val="auto"/>
        </w:rPr>
        <w:t xml:space="preserve"> in this particular instance and in light of the facts and circumstances that presently exist, and the grant of such consent shall not constitute a course of dealing or impair the Agent’s or any Holder’s right to withhold any similar consent or waiver in the future. For the avoidance of doubt, the Holder hereby consents to the Asset Sale (as defined in the Note) in accordance with the terms of the Contribution Agreement; provided that such consent shall not operate as the consent of the Holder to the transfer of any other assets or rights of the Company or any Subsidiary to Bio JV or any other Person, which remains restricted in accordance with Section 17(f) of the Note (as amended hereby).</w:t>
      </w:r>
    </w:p>
    <w:p>
      <w:pPr>
        <w:spacing w:after="0" w:line="54" w:lineRule="exact"/>
        <w:rPr>
          <w:sz w:val="20"/>
          <w:szCs w:val="20"/>
          <w:color w:val="auto"/>
        </w:rPr>
      </w:pPr>
    </w:p>
    <w:p>
      <w:pPr>
        <w:ind w:left="840" w:right="859" w:firstLine="294"/>
        <w:spacing w:after="0" w:line="253" w:lineRule="auto"/>
        <w:rPr>
          <w:sz w:val="20"/>
          <w:szCs w:val="20"/>
          <w:color w:val="auto"/>
        </w:rPr>
      </w:pPr>
      <w:r>
        <w:rPr>
          <w:rFonts w:ascii="Times New Roman" w:cs="Times New Roman" w:eastAsia="Times New Roman" w:hAnsi="Times New Roman"/>
          <w:sz w:val="12"/>
          <w:szCs w:val="12"/>
          <w:color w:val="auto"/>
        </w:rPr>
        <w:t xml:space="preserve">Section 2 </w:t>
      </w:r>
      <w:r>
        <w:rPr>
          <w:rFonts w:ascii="Times New Roman" w:cs="Times New Roman" w:eastAsia="Times New Roman" w:hAnsi="Times New Roman"/>
          <w:sz w:val="12"/>
          <w:szCs w:val="12"/>
          <w:u w:val="single" w:color="auto"/>
          <w:color w:val="auto"/>
        </w:rPr>
        <w:t>Waiver</w:t>
      </w:r>
      <w:r>
        <w:rPr>
          <w:rFonts w:ascii="Times New Roman" w:cs="Times New Roman" w:eastAsia="Times New Roman" w:hAnsi="Times New Roman"/>
          <w:sz w:val="12"/>
          <w:szCs w:val="12"/>
          <w:color w:val="auto"/>
        </w:rPr>
        <w:t>. The provisions of the Security Agreement, the Intercompany Subordination Agreement, and the other Transaction Documents to the contrary notwithstanding, the undersigned Agent and Holder hereby waive as of the Effective Time hereof (i) the requirement set forth in Section 4(ii) of the Security Agreement, (ii) the requirement set forth in Section 18 of the Intercompany Subordination Agreement and (iii) any other term of any Transaction Document, in each case, which would require Bio JV to become party to the Security Agreement as an Additional Debtor (as defined in the Security Agreement) or become party to such agreement in any other capacity, become party to the Intercompany Subordination Agreement as a Subsidiary, a Qualified Subsidiary (as defined in the Intercompany Subordination Agreement), an obligor in respect of any Subordinated Intercompany Obligations (as defined in the Intercompany Subordination Agreement) or a Subordinated Debtor (as defined in the Intercompany Subordination Agreement), or become party to such agreement in any other capacity or become party to any other Transaction Document in any capacity. For the avoidance of doubt, under no circumstances shall Bio JV be required to join the Security Agreement, the Intercompany Subordination Agreement or any other Transaction Document in any capacity.</w:t>
      </w:r>
    </w:p>
    <w:p>
      <w:pPr>
        <w:spacing w:after="0" w:line="12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3 </w:t>
      </w:r>
      <w:r>
        <w:rPr>
          <w:rFonts w:ascii="Times New Roman" w:cs="Times New Roman" w:eastAsia="Times New Roman" w:hAnsi="Times New Roman"/>
          <w:sz w:val="12"/>
          <w:szCs w:val="12"/>
          <w:u w:val="single" w:color="auto"/>
          <w:color w:val="auto"/>
        </w:rPr>
        <w:t>Amendments to Certain Transaction Documents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79" w:firstLine="288"/>
        <w:spacing w:after="0" w:line="260" w:lineRule="auto"/>
        <w:tabs>
          <w:tab w:leader="none" w:pos="1565" w:val="left"/>
        </w:tabs>
        <w:numPr>
          <w:ilvl w:val="0"/>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Effective as of the time of execution and delivery of this Consent, Waiver and Amendment, the undersigned Agent, Holder and the Company agree that (where applicable, language being inserted is evidenced by bold and underline formatting (indicated textually in the same manner as the following example: </w:t>
      </w:r>
      <w:r>
        <w:rPr>
          <w:rFonts w:ascii="Times New Roman" w:cs="Times New Roman" w:eastAsia="Times New Roman" w:hAnsi="Times New Roman"/>
          <w:sz w:val="12"/>
          <w:szCs w:val="12"/>
          <w:u w:val="single" w:color="auto"/>
          <w:color w:val="0000FF"/>
        </w:rPr>
        <w:t>bold and underline formatting</w:t>
      </w:r>
      <w:r>
        <w:rPr>
          <w:rFonts w:ascii="Times New Roman" w:cs="Times New Roman" w:eastAsia="Times New Roman" w:hAnsi="Times New Roman"/>
          <w:sz w:val="12"/>
          <w:szCs w:val="12"/>
          <w:color w:val="auto"/>
        </w:rPr>
        <w:t xml:space="preserve">) and language being deleted is evidenced by strike-through formatting (indicated textually in the same manner as the following example: </w:t>
      </w:r>
      <w:r>
        <w:rPr>
          <w:rFonts w:ascii="Times New Roman" w:cs="Times New Roman" w:eastAsia="Times New Roman" w:hAnsi="Times New Roman"/>
          <w:sz w:val="12"/>
          <w:szCs w:val="12"/>
          <w:color w:val="FF0000"/>
          <w:strike w:val="1"/>
        </w:rPr>
        <w:t>strike-through formatting</w:t>
      </w:r>
      <w:r>
        <w:rPr>
          <w:rFonts w:ascii="Times New Roman" w:cs="Times New Roman" w:eastAsia="Times New Roman" w:hAnsi="Times New Roman"/>
          <w:sz w:val="12"/>
          <w:szCs w:val="12"/>
          <w:color w:val="auto"/>
        </w:rPr>
        <w:t>)):</w:t>
      </w:r>
    </w:p>
    <w:p>
      <w:pPr>
        <w:spacing w:after="0" w:line="50" w:lineRule="exact"/>
        <w:rPr>
          <w:rFonts w:ascii="Times New Roman" w:cs="Times New Roman" w:eastAsia="Times New Roman" w:hAnsi="Times New Roman"/>
          <w:sz w:val="12"/>
          <w:szCs w:val="12"/>
          <w:color w:val="auto"/>
        </w:rPr>
      </w:pPr>
    </w:p>
    <w:p>
      <w:pPr>
        <w:ind w:left="1900" w:hanging="140"/>
        <w:spacing w:after="0"/>
        <w:tabs>
          <w:tab w:leader="none" w:pos="1900" w:val="left"/>
        </w:tabs>
        <w:numPr>
          <w:ilvl w:val="1"/>
          <w:numId w:val="2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36(dd) of the Note is hereby amended by amending and restating the definition of “Excluded Subsidiary” in its entirety as</w:t>
      </w:r>
    </w:p>
    <w:p>
      <w:pPr>
        <w:spacing w:after="0" w:line="16" w:lineRule="exact"/>
        <w:rPr>
          <w:rFonts w:ascii="Times New Roman" w:cs="Times New Roman" w:eastAsia="Times New Roman" w:hAnsi="Times New Roman"/>
          <w:sz w:val="12"/>
          <w:szCs w:val="12"/>
          <w:color w:val="auto"/>
        </w:rPr>
      </w:pPr>
    </w:p>
    <w:p>
      <w:pPr>
        <w:ind w:left="15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-309880</wp:posOffset>
            </wp:positionV>
            <wp:extent cx="91440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09">
                      <a:extLst>
                        <a:ext uri="{28A0092B-C50C-407E-A947-70E740481C1C}"/>
                      </a:extLst>
                    </a:blip>
                    <a:srcRect/>
                    <a:stretch>
                      <a:fillRect/>
                    </a:stretch>
                  </pic:blipFill>
                  <pic:spPr bwMode="auto">
                    <a:xfrm>
                      <a:off x="0" y="0"/>
                      <a:ext cx="914400" cy="5715"/>
                    </a:xfrm>
                    <a:prstGeom prst="rect">
                      <a:avLst/>
                    </a:prstGeom>
                    <a:noFill/>
                  </pic:spPr>
                </pic:pic>
              </a:graphicData>
            </a:graphic>
          </wp:anchor>
        </w:drawing>
      </w:r>
    </w:p>
    <w:p>
      <w:pPr>
        <w:spacing w:after="0" w:line="43" w:lineRule="exact"/>
        <w:rPr>
          <w:sz w:val="20"/>
          <w:szCs w:val="20"/>
          <w:color w:val="auto"/>
        </w:rPr>
      </w:pPr>
    </w:p>
    <w:p>
      <w:pPr>
        <w:ind w:left="2160" w:right="919"/>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Excluded Subsidiary</w:t>
      </w:r>
      <w:r>
        <w:rPr>
          <w:rFonts w:ascii="Times New Roman" w:cs="Times New Roman" w:eastAsia="Times New Roman" w:hAnsi="Times New Roman"/>
          <w:sz w:val="12"/>
          <w:szCs w:val="12"/>
          <w:color w:val="auto"/>
        </w:rPr>
        <w:t xml:space="preserve">” means, (i) Semnur Pharmaceuticals, Inc.,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if the Semnur Merger Agreement shall be terminated without the consummation of the Semnur Merger, then Semnur Pharmaceuticals, Inc. shall thereafter cease to be an “Excluded Subsidiary”, </w:t>
      </w:r>
      <w:r>
        <w:rPr>
          <w:rFonts w:ascii="Times New Roman" w:cs="Times New Roman" w:eastAsia="Times New Roman" w:hAnsi="Times New Roman"/>
          <w:sz w:val="12"/>
          <w:szCs w:val="12"/>
          <w:color w:val="FF0000"/>
          <w:strike w:val="1"/>
        </w:rPr>
        <w:t>and,</w:t>
      </w:r>
      <w:r>
        <w:rPr>
          <w:rFonts w:ascii="Times New Roman" w:cs="Times New Roman" w:eastAsia="Times New Roman" w:hAnsi="Times New Roman"/>
          <w:sz w:val="12"/>
          <w:szCs w:val="12"/>
          <w:color w:val="auto"/>
        </w:rPr>
        <w:t xml:space="preserve"> (ii) from and after the consummation of the Semnur Merger, Denali Capital Acquisition Corp. and Denali Merger Sub </w:t>
      </w:r>
      <w:r>
        <w:rPr>
          <w:rFonts w:ascii="Times New Roman" w:cs="Times New Roman" w:eastAsia="Times New Roman" w:hAnsi="Times New Roman"/>
          <w:sz w:val="12"/>
          <w:szCs w:val="12"/>
          <w:u w:val="single" w:color="auto"/>
          <w:color w:val="0000FF"/>
        </w:rPr>
        <w:t>and (iii) Scilex Bio, Inc, a Delaware corporation and any of its subsidiaries. Notwithstanding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anything to the contrary herein, any reference to “Subsidiary”, “subsidiary” or “Qualified Subsidiary” used herein or in any Transaction Document shall be deemed to expressly exclude Scilex Bio, Inc., a Delaware corporation and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-272415</wp:posOffset>
            </wp:positionV>
            <wp:extent cx="2828925"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10">
                      <a:extLst>
                        <a:ext uri="{28A0092B-C50C-407E-A947-70E740481C1C}"/>
                      </a:extLst>
                    </a:blip>
                    <a:srcRect/>
                    <a:stretch>
                      <a:fillRect/>
                    </a:stretch>
                  </pic:blipFill>
                  <pic:spPr bwMode="auto">
                    <a:xfrm>
                      <a:off x="0" y="0"/>
                      <a:ext cx="282892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-180975</wp:posOffset>
            </wp:positionV>
            <wp:extent cx="376047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11">
                      <a:extLst>
                        <a:ext uri="{28A0092B-C50C-407E-A947-70E740481C1C}"/>
                      </a:extLst>
                    </a:blip>
                    <a:srcRect/>
                    <a:stretch>
                      <a:fillRect/>
                    </a:stretch>
                  </pic:blipFill>
                  <pic:spPr bwMode="auto">
                    <a:xfrm>
                      <a:off x="0" y="0"/>
                      <a:ext cx="376047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-89535</wp:posOffset>
            </wp:positionV>
            <wp:extent cx="352044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12">
                      <a:extLst>
                        <a:ext uri="{28A0092B-C50C-407E-A947-70E740481C1C}"/>
                      </a:extLst>
                    </a:blip>
                    <a:srcRect/>
                    <a:stretch>
                      <a:fillRect/>
                    </a:stretch>
                  </pic:blipFill>
                  <pic:spPr bwMode="auto">
                    <a:xfrm>
                      <a:off x="0" y="0"/>
                      <a:ext cx="352044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1270</wp:posOffset>
            </wp:positionV>
            <wp:extent cx="36004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13">
                      <a:extLst>
                        <a:ext uri="{28A0092B-C50C-407E-A947-70E740481C1C}"/>
                      </a:extLst>
                    </a:blip>
                    <a:srcRect/>
                    <a:stretch>
                      <a:fillRect/>
                    </a:stretch>
                  </pic:blipFill>
                  <pic:spPr bwMode="auto">
                    <a:xfrm>
                      <a:off x="0" y="0"/>
                      <a:ext cx="360045" cy="5715"/>
                    </a:xfrm>
                    <a:prstGeom prst="rect">
                      <a:avLst/>
                    </a:prstGeom>
                    <a:noFill/>
                  </pic:spPr>
                </pic:pic>
              </a:graphicData>
            </a:graphic>
          </wp:anchor>
        </w:drawing>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9019"/>
          </w:cols>
          <w:pgMar w:left="1440" w:top="228" w:right="1440" w:bottom="1440" w:gutter="0" w:footer="0" w:header="0"/>
        </w:sectPr>
      </w:pPr>
    </w:p>
    <w:bookmarkStart w:id="391" w:name="page392"/>
    <w:bookmarkEnd w:id="391"/>
    <w:p>
      <w:pPr>
        <w:ind w:left="176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(ii) Section 17(f) of the Note is hereby amended by adding the following sentence to the end of Section 17(f):</w:t>
      </w:r>
    </w:p>
    <w:p>
      <w:pPr>
        <w:spacing w:after="0" w:line="78" w:lineRule="exact"/>
        <w:rPr>
          <w:sz w:val="20"/>
          <w:szCs w:val="20"/>
          <w:color w:val="auto"/>
        </w:rPr>
      </w:pPr>
    </w:p>
    <w:p>
      <w:pPr>
        <w:ind w:left="2160" w:right="1019"/>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For the avoidance of doubt, the Company shall not transfer any assets or rights of the Company or any Subsidiary to 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Excluded Subsidiary without the prior written consent of the Required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-99060</wp:posOffset>
            </wp:positionV>
            <wp:extent cx="366903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15">
                      <a:extLst>
                        <a:ext uri="{28A0092B-C50C-407E-A947-70E740481C1C}"/>
                      </a:extLst>
                    </a:blip>
                    <a:srcRect/>
                    <a:stretch>
                      <a:fillRect/>
                    </a:stretch>
                  </pic:blipFill>
                  <pic:spPr bwMode="auto">
                    <a:xfrm>
                      <a:off x="0" y="0"/>
                      <a:ext cx="36690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-7620</wp:posOffset>
            </wp:positionV>
            <wp:extent cx="245745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16">
                      <a:extLst>
                        <a:ext uri="{28A0092B-C50C-407E-A947-70E740481C1C}"/>
                      </a:extLst>
                    </a:blip>
                    <a:srcRect/>
                    <a:stretch>
                      <a:fillRect/>
                    </a:stretch>
                  </pic:blipFill>
                  <pic:spPr bwMode="auto">
                    <a:xfrm>
                      <a:off x="0" y="0"/>
                      <a:ext cx="2457450" cy="5715"/>
                    </a:xfrm>
                    <a:prstGeom prst="rect">
                      <a:avLst/>
                    </a:prstGeom>
                    <a:noFill/>
                  </pic:spPr>
                </pic:pic>
              </a:graphicData>
            </a:graphic>
          </wp:anchor>
        </w:drawing>
      </w:r>
    </w:p>
    <w:p>
      <w:pPr>
        <w:spacing w:after="0" w:line="1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(iii) Section 3(a) of the SPA is hereby amended by adding the following sentence to the end of Section 3(a):</w:t>
      </w:r>
    </w:p>
    <w:p>
      <w:pPr>
        <w:spacing w:after="0" w:line="78" w:lineRule="exact"/>
        <w:rPr>
          <w:sz w:val="20"/>
          <w:szCs w:val="20"/>
          <w:color w:val="auto"/>
        </w:rPr>
      </w:pPr>
    </w:p>
    <w:p>
      <w:pPr>
        <w:jc w:val="both"/>
        <w:ind w:left="2160" w:right="8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78333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7">
                      <a:extLst>
                        <a:ext uri="{28A0092B-C50C-407E-A947-70E740481C1C}"/>
                      </a:extLst>
                    </a:blip>
                    <a:srcRect/>
                    <a:stretch>
                      <a:fillRect/>
                    </a:stretch>
                  </pic:blipFill>
                  <pic:spPr bwMode="auto">
                    <a:xfrm>
                      <a:off x="0" y="0"/>
                      <a:ext cx="37833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0047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18">
                      <a:extLst>
                        <a:ext uri="{28A0092B-C50C-407E-A947-70E740481C1C}"/>
                      </a:extLst>
                    </a:blip>
                    <a:srcRect/>
                    <a:stretch>
                      <a:fillRect/>
                    </a:stretch>
                  </pic:blipFill>
                  <pic:spPr bwMode="auto">
                    <a:xfrm>
                      <a:off x="0" y="0"/>
                      <a:ext cx="380047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531495"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19">
                      <a:extLst>
                        <a:ext uri="{28A0092B-C50C-407E-A947-70E740481C1C}"/>
                      </a:extLst>
                    </a:blip>
                    <a:srcRect/>
                    <a:stretch>
                      <a:fillRect/>
                    </a:stretch>
                  </pic:blipFill>
                  <pic:spPr bwMode="auto">
                    <a:xfrm>
                      <a:off x="0" y="0"/>
                      <a:ext cx="531495" cy="5715"/>
                    </a:xfrm>
                    <a:prstGeom prst="rect">
                      <a:avLst/>
                    </a:prstGeom>
                    <a:noFill/>
                  </pic:spPr>
                </pic:pic>
              </a:graphicData>
            </a:graphic>
          </wp:anchor>
        </w:drawing>
      </w:r>
    </w:p>
    <w:p>
      <w:pPr>
        <w:spacing w:after="0" w:line="2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2"/>
          <w:szCs w:val="12"/>
          <w:color w:val="auto"/>
        </w:rPr>
        <w:t>(iv) Section 22 of the Security Agreement is hereby amended by adding the following sentence to the end of Section 22:</w:t>
      </w:r>
    </w:p>
    <w:p>
      <w:pPr>
        <w:spacing w:after="0" w:line="78" w:lineRule="exact"/>
        <w:rPr>
          <w:sz w:val="20"/>
          <w:szCs w:val="20"/>
          <w:color w:val="auto"/>
        </w:rPr>
      </w:pPr>
    </w:p>
    <w:p>
      <w:pPr>
        <w:jc w:val="both"/>
        <w:ind w:left="2160" w:right="85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or “Qualified Subsidiary” used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78333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20">
                      <a:extLst>
                        <a:ext uri="{28A0092B-C50C-407E-A947-70E740481C1C}"/>
                      </a:extLst>
                    </a:blip>
                    <a:srcRect/>
                    <a:stretch>
                      <a:fillRect/>
                    </a:stretch>
                  </pic:blipFill>
                  <pic:spPr bwMode="auto">
                    <a:xfrm>
                      <a:off x="0" y="0"/>
                      <a:ext cx="3783330"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0047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21">
                      <a:extLst>
                        <a:ext uri="{28A0092B-C50C-407E-A947-70E740481C1C}"/>
                      </a:extLst>
                    </a:blip>
                    <a:srcRect/>
                    <a:stretch>
                      <a:fillRect/>
                    </a:stretch>
                  </pic:blipFill>
                  <pic:spPr bwMode="auto">
                    <a:xfrm>
                      <a:off x="0" y="0"/>
                      <a:ext cx="380047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531495"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22">
                      <a:extLst>
                        <a:ext uri="{28A0092B-C50C-407E-A947-70E740481C1C}"/>
                      </a:extLst>
                    </a:blip>
                    <a:srcRect/>
                    <a:stretch>
                      <a:fillRect/>
                    </a:stretch>
                  </pic:blipFill>
                  <pic:spPr bwMode="auto">
                    <a:xfrm>
                      <a:off x="0" y="0"/>
                      <a:ext cx="531495" cy="5715"/>
                    </a:xfrm>
                    <a:prstGeom prst="rect">
                      <a:avLst/>
                    </a:prstGeom>
                    <a:noFill/>
                  </pic:spPr>
                </pic:pic>
              </a:graphicData>
            </a:graphic>
          </wp:anchor>
        </w:drawing>
      </w:r>
    </w:p>
    <w:p>
      <w:pPr>
        <w:spacing w:after="0" w:line="27" w:lineRule="exact"/>
        <w:rPr>
          <w:sz w:val="20"/>
          <w:szCs w:val="20"/>
          <w:color w:val="auto"/>
        </w:rPr>
      </w:pPr>
    </w:p>
    <w:p>
      <w:pPr>
        <w:ind w:left="1500" w:right="1119" w:firstLine="260"/>
        <w:spacing w:after="0" w:line="279" w:lineRule="auto"/>
        <w:tabs>
          <w:tab w:leader="none" w:pos="1937" w:val="left"/>
        </w:tabs>
        <w:numPr>
          <w:ilvl w:val="0"/>
          <w:numId w:val="2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18 of the Intercompany Subordination Agreement is hereby amended by adding the following sentence to the end of Section 18:</w:t>
      </w:r>
    </w:p>
    <w:p>
      <w:pPr>
        <w:spacing w:after="0" w:line="39" w:lineRule="exact"/>
        <w:rPr>
          <w:sz w:val="20"/>
          <w:szCs w:val="20"/>
          <w:color w:val="auto"/>
        </w:rPr>
      </w:pPr>
    </w:p>
    <w:p>
      <w:pPr>
        <w:ind w:left="2160" w:right="839"/>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0000FF"/>
        </w:rPr>
        <w:t>Notwithstanding anything to the contrary herein, any reference to “Subsidiary”, “subsidiary”, “Qualified Subsidiary”,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“Subordinated Debtor” or “obligor” used herein or in any Transaction Document shall be deemed to expressly exclude Scilex Bio, Inc., a Delaware corporation or any of its subsidiaries.</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-185420</wp:posOffset>
            </wp:positionV>
            <wp:extent cx="358330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23">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-93980</wp:posOffset>
            </wp:positionV>
            <wp:extent cx="382333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24">
                      <a:extLst>
                        <a:ext uri="{28A0092B-C50C-407E-A947-70E740481C1C}"/>
                      </a:extLst>
                    </a:blip>
                    <a:srcRect/>
                    <a:stretch>
                      <a:fillRect/>
                    </a:stretch>
                  </pic:blipFill>
                  <pic:spPr bwMode="auto">
                    <a:xfrm>
                      <a:off x="0" y="0"/>
                      <a:ext cx="3823335" cy="571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-2540</wp:posOffset>
            </wp:positionV>
            <wp:extent cx="180022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25">
                      <a:extLst>
                        <a:ext uri="{28A0092B-C50C-407E-A947-70E740481C1C}"/>
                      </a:extLst>
                    </a:blip>
                    <a:srcRect/>
                    <a:stretch>
                      <a:fillRect/>
                    </a:stretch>
                  </pic:blipFill>
                  <pic:spPr bwMode="auto">
                    <a:xfrm>
                      <a:off x="0" y="0"/>
                      <a:ext cx="1800225" cy="5715"/>
                    </a:xfrm>
                    <a:prstGeom prst="rect">
                      <a:avLst/>
                    </a:prstGeom>
                    <a:noFill/>
                  </pic:spPr>
                </pic:pic>
              </a:graphicData>
            </a:graphic>
          </wp:anchor>
        </w:drawing>
      </w:r>
    </w:p>
    <w:p>
      <w:pPr>
        <w:spacing w:after="0" w:line="27" w:lineRule="exact"/>
        <w:rPr>
          <w:sz w:val="20"/>
          <w:szCs w:val="20"/>
          <w:color w:val="auto"/>
        </w:rPr>
      </w:pPr>
    </w:p>
    <w:p>
      <w:pPr>
        <w:ind w:left="1960" w:hanging="200"/>
        <w:spacing w:after="0"/>
        <w:tabs>
          <w:tab w:leader="none" w:pos="1960" w:val="left"/>
        </w:tabs>
        <w:numPr>
          <w:ilvl w:val="0"/>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Perfection Certificate is hereby amended as follows:</w:t>
      </w:r>
    </w:p>
    <w:p>
      <w:pPr>
        <w:spacing w:after="0" w:line="78"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32"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1(g) to the Perfection Certificate shall be amended and restated in the form of </w:t>
      </w:r>
      <w:r>
        <w:rPr>
          <w:rFonts w:ascii="Times New Roman" w:cs="Times New Roman" w:eastAsia="Times New Roman" w:hAnsi="Times New Roman"/>
          <w:sz w:val="12"/>
          <w:szCs w:val="12"/>
          <w:u w:val="single" w:color="auto"/>
          <w:color w:val="auto"/>
        </w:rPr>
        <w:t>Annex C</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1780" w:right="859" w:firstLine="262"/>
        <w:spacing w:after="0" w:line="279" w:lineRule="auto"/>
        <w:tabs>
          <w:tab w:leader="none" w:pos="2225"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disclosures set forth on Section 2(b) to the Perfection Certificate shall be amended and restated in the form of </w:t>
      </w:r>
      <w:r>
        <w:rPr>
          <w:rFonts w:ascii="Times New Roman" w:cs="Times New Roman" w:eastAsia="Times New Roman" w:hAnsi="Times New Roman"/>
          <w:sz w:val="12"/>
          <w:szCs w:val="12"/>
          <w:u w:val="single" w:color="auto"/>
          <w:color w:val="auto"/>
        </w:rPr>
        <w:t>Annex D</w:t>
      </w:r>
      <w:r>
        <w:rPr>
          <w:rFonts w:ascii="Times New Roman" w:cs="Times New Roman" w:eastAsia="Times New Roman" w:hAnsi="Times New Roman"/>
          <w:sz w:val="12"/>
          <w:szCs w:val="12"/>
          <w:color w:val="auto"/>
        </w:rPr>
        <w:t xml:space="preserve"> attached hereto.</w:t>
      </w:r>
    </w:p>
    <w:p>
      <w:pPr>
        <w:spacing w:after="0" w:line="39"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3 to the Perfection Certificate shall be amended and restated in the form of </w:t>
      </w:r>
      <w:r>
        <w:rPr>
          <w:rFonts w:ascii="Times New Roman" w:cs="Times New Roman" w:eastAsia="Times New Roman" w:hAnsi="Times New Roman"/>
          <w:sz w:val="12"/>
          <w:szCs w:val="12"/>
          <w:u w:val="single" w:color="auto"/>
          <w:color w:val="auto"/>
        </w:rPr>
        <w:t>Annex E</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7 to the Perfection Certificate shall be amended and restated in the form of </w:t>
      </w:r>
      <w:r>
        <w:rPr>
          <w:rFonts w:ascii="Times New Roman" w:cs="Times New Roman" w:eastAsia="Times New Roman" w:hAnsi="Times New Roman"/>
          <w:sz w:val="12"/>
          <w:szCs w:val="12"/>
          <w:u w:val="single" w:color="auto"/>
          <w:color w:val="auto"/>
        </w:rPr>
        <w:t>Annex F</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20" w:hanging="178"/>
        <w:spacing w:after="0"/>
        <w:tabs>
          <w:tab w:leader="none" w:pos="2220" w:val="left"/>
        </w:tabs>
        <w:numPr>
          <w:ilvl w:val="1"/>
          <w:numId w:val="2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8 to the Perfection Certificate shall be amended and restated in the form of </w:t>
      </w:r>
      <w:r>
        <w:rPr>
          <w:rFonts w:ascii="Times New Roman" w:cs="Times New Roman" w:eastAsia="Times New Roman" w:hAnsi="Times New Roman"/>
          <w:sz w:val="12"/>
          <w:szCs w:val="12"/>
          <w:u w:val="single" w:color="auto"/>
          <w:color w:val="auto"/>
        </w:rPr>
        <w:t>Annex G</w:t>
      </w:r>
      <w:r>
        <w:rPr>
          <w:rFonts w:ascii="Times New Roman" w:cs="Times New Roman" w:eastAsia="Times New Roman" w:hAnsi="Times New Roman"/>
          <w:sz w:val="12"/>
          <w:szCs w:val="12"/>
          <w:color w:val="auto"/>
        </w:rPr>
        <w:t xml:space="preserve"> attached hereto.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9019"/>
          </w:cols>
          <w:pgMar w:left="1440" w:top="228" w:right="1440" w:bottom="1440" w:gutter="0" w:footer="0" w:header="0"/>
        </w:sectPr>
      </w:pPr>
    </w:p>
    <w:bookmarkStart w:id="392" w:name="page393"/>
    <w:bookmarkEnd w:id="392"/>
    <w:p>
      <w:pPr>
        <w:ind w:left="2220" w:hanging="178"/>
        <w:spacing w:after="0"/>
        <w:tabs>
          <w:tab w:leader="none" w:pos="222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Schedule 9 to the Perfection Certificate shall be amended and restated in the form of </w:t>
      </w:r>
      <w:r>
        <w:rPr>
          <w:rFonts w:ascii="Times New Roman" w:cs="Times New Roman" w:eastAsia="Times New Roman" w:hAnsi="Times New Roman"/>
          <w:sz w:val="12"/>
          <w:szCs w:val="12"/>
          <w:u w:val="single" w:color="auto"/>
          <w:color w:val="auto"/>
        </w:rPr>
        <w:t>Annex H</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10 to the Perfection Certificate shall be amended and restated in the form of </w:t>
      </w:r>
      <w:r>
        <w:rPr>
          <w:rFonts w:ascii="Times New Roman" w:cs="Times New Roman" w:eastAsia="Times New Roman" w:hAnsi="Times New Roman"/>
          <w:sz w:val="12"/>
          <w:szCs w:val="12"/>
          <w:u w:val="single" w:color="auto"/>
          <w:color w:val="auto"/>
        </w:rPr>
        <w:t>Annex I</w:t>
      </w:r>
      <w:r>
        <w:rPr>
          <w:rFonts w:ascii="Times New Roman" w:cs="Times New Roman" w:eastAsia="Times New Roman" w:hAnsi="Times New Roman"/>
          <w:sz w:val="12"/>
          <w:szCs w:val="12"/>
          <w:color w:val="auto"/>
        </w:rPr>
        <w:t xml:space="preserve"> attached hereto.</w:t>
      </w:r>
    </w:p>
    <w:p>
      <w:pPr>
        <w:spacing w:after="0" w:line="78" w:lineRule="exact"/>
        <w:rPr>
          <w:rFonts w:ascii="Times New Roman" w:cs="Times New Roman" w:eastAsia="Times New Roman" w:hAnsi="Times New Roman"/>
          <w:sz w:val="12"/>
          <w:szCs w:val="12"/>
          <w:color w:val="auto"/>
        </w:rPr>
      </w:pPr>
    </w:p>
    <w:p>
      <w:pPr>
        <w:ind w:left="2240" w:hanging="198"/>
        <w:spacing w:after="0"/>
        <w:tabs>
          <w:tab w:leader="none" w:pos="2240" w:val="left"/>
        </w:tabs>
        <w:numPr>
          <w:ilvl w:val="0"/>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Schedule 11 to the Perfection Certificate shall be amended and restated in the form of </w:t>
      </w:r>
      <w:r>
        <w:rPr>
          <w:rFonts w:ascii="Times New Roman" w:cs="Times New Roman" w:eastAsia="Times New Roman" w:hAnsi="Times New Roman"/>
          <w:sz w:val="12"/>
          <w:szCs w:val="12"/>
          <w:u w:val="single" w:color="auto"/>
          <w:color w:val="auto"/>
        </w:rPr>
        <w:t>Annex J</w:t>
      </w:r>
      <w:r>
        <w:rPr>
          <w:rFonts w:ascii="Times New Roman" w:cs="Times New Roman" w:eastAsia="Times New Roman" w:hAnsi="Times New Roman"/>
          <w:sz w:val="12"/>
          <w:szCs w:val="12"/>
          <w:color w:val="auto"/>
        </w:rPr>
        <w:t xml:space="preserve"> attached hereto.</w:t>
      </w:r>
    </w:p>
    <w:p>
      <w:pPr>
        <w:spacing w:after="0" w:line="150" w:lineRule="exact"/>
        <w:rPr>
          <w:sz w:val="20"/>
          <w:szCs w:val="20"/>
          <w:color w:val="auto"/>
        </w:rPr>
      </w:pPr>
    </w:p>
    <w:p>
      <w:pPr>
        <w:ind w:left="840" w:right="899" w:firstLine="294"/>
        <w:spacing w:after="0" w:line="279" w:lineRule="auto"/>
        <w:rPr>
          <w:sz w:val="20"/>
          <w:szCs w:val="20"/>
          <w:color w:val="auto"/>
        </w:rPr>
      </w:pPr>
      <w:r>
        <w:rPr>
          <w:rFonts w:ascii="Times New Roman" w:cs="Times New Roman" w:eastAsia="Times New Roman" w:hAnsi="Times New Roman"/>
          <w:sz w:val="12"/>
          <w:szCs w:val="12"/>
          <w:color w:val="auto"/>
        </w:rPr>
        <w:t xml:space="preserve">Section 4 </w:t>
      </w:r>
      <w:r>
        <w:rPr>
          <w:rFonts w:ascii="Times New Roman" w:cs="Times New Roman" w:eastAsia="Times New Roman" w:hAnsi="Times New Roman"/>
          <w:sz w:val="12"/>
          <w:szCs w:val="12"/>
          <w:u w:val="single" w:color="auto"/>
          <w:color w:val="auto"/>
        </w:rPr>
        <w:t>Agent Direction</w:t>
      </w:r>
      <w:r>
        <w:rPr>
          <w:rFonts w:ascii="Times New Roman" w:cs="Times New Roman" w:eastAsia="Times New Roman" w:hAnsi="Times New Roman"/>
          <w:sz w:val="12"/>
          <w:szCs w:val="12"/>
          <w:color w:val="auto"/>
        </w:rPr>
        <w:t xml:space="preserve">. The Holder hereby authorizes and directs the Agent to execute this Consent, Waiver and Amendment and to enter into any documentation, including, but not limited to the Designated Transaction Documents, reasonably required by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above.</w:t>
      </w:r>
    </w:p>
    <w:p>
      <w:pPr>
        <w:spacing w:after="0" w:line="11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5 </w:t>
      </w: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In order to induce the Agent and the Holder to enter into this Consent, Waiver and Amendment, the</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Company hereby represents and warrants as of the date hereof that:</w:t>
      </w:r>
    </w:p>
    <w:p>
      <w:pPr>
        <w:spacing w:after="0" w:line="67" w:lineRule="exact"/>
        <w:rPr>
          <w:sz w:val="20"/>
          <w:szCs w:val="20"/>
          <w:color w:val="auto"/>
        </w:rPr>
      </w:pPr>
    </w:p>
    <w:p>
      <w:pPr>
        <w:ind w:left="1120" w:right="859" w:firstLine="288"/>
        <w:spacing w:after="0" w:line="279" w:lineRule="auto"/>
        <w:tabs>
          <w:tab w:leader="none" w:pos="1565"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the full right, power and authority to enter into and execute this Consent, Waiver and Amendment and to perform all its obligations hereunder and under the Note and the Transaction Documents, as modified herein;</w:t>
      </w:r>
    </w:p>
    <w:p>
      <w:pPr>
        <w:spacing w:after="0" w:line="39" w:lineRule="exact"/>
        <w:rPr>
          <w:rFonts w:ascii="Times New Roman" w:cs="Times New Roman" w:eastAsia="Times New Roman" w:hAnsi="Times New Roman"/>
          <w:sz w:val="12"/>
          <w:szCs w:val="12"/>
          <w:color w:val="auto"/>
        </w:rPr>
      </w:pPr>
    </w:p>
    <w:p>
      <w:pPr>
        <w:ind w:left="1120" w:right="899" w:firstLine="288"/>
        <w:spacing w:after="0" w:line="257" w:lineRule="auto"/>
        <w:tabs>
          <w:tab w:leader="none" w:pos="1572"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Consent, Waiver and Amendment has been duly and validly authorized by all necessary action on the part of the Company, and shall constitute the legal, valid and binding obligations of the Company enforceable against the Company in accordance with the terms hereof, except (i) as limited by general equitable principles and applicable bankruptcy, insolvency, reorganization, moratorium and other Laws of general application affecting enforcement of creditors’ rights generally; and (ii) as limited by Laws relating to the availability of specific performance, injunctive relief or other equitable remedies;</w:t>
      </w:r>
    </w:p>
    <w:p>
      <w:pPr>
        <w:spacing w:after="0" w:line="53" w:lineRule="exact"/>
        <w:rPr>
          <w:rFonts w:ascii="Times New Roman" w:cs="Times New Roman" w:eastAsia="Times New Roman" w:hAnsi="Times New Roman"/>
          <w:sz w:val="12"/>
          <w:szCs w:val="12"/>
          <w:color w:val="auto"/>
        </w:rPr>
      </w:pPr>
    </w:p>
    <w:p>
      <w:pPr>
        <w:ind w:left="1120" w:right="899" w:firstLine="288"/>
        <w:spacing w:after="0" w:line="279" w:lineRule="auto"/>
        <w:tabs>
          <w:tab w:leader="none" w:pos="1565" w:val="left"/>
        </w:tabs>
        <w:numPr>
          <w:ilvl w:val="0"/>
          <w:numId w:val="20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neither the execution and delivery of this Consent, Waiver and Amendment, nor the taking of any actions contemplated hereby and the performance of the obligations hereunder or the Designated Transactions by the Company or any other Subsidiary, does or will, with or without the giving of notice, lapse of time or both, (i) violate or constitute a default, event of default, or event creating a right of acceleration, termination or cancellation of any obligation under any term or provision of any agreement, credit facility, debt or other instrument evidencing Company or Subsidiary Indebtedness (after giving effect to any prior or concurrent consents or waivers under any such agreement, credit facility, debt or other instrument to which the Company or such Subsidiary is a party or otherwise subject, copies of which consents or waivers have been furnished by the Company to the Agent prior to the execution of this Consent, Waiver and Amendment); or (ii) violate any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w:t>
      </w:r>
    </w:p>
    <w:p>
      <w:pPr>
        <w:spacing w:after="0" w:line="44" w:lineRule="exact"/>
        <w:rPr>
          <w:rFonts w:ascii="Times New Roman" w:cs="Times New Roman" w:eastAsia="Times New Roman" w:hAnsi="Times New Roman"/>
          <w:sz w:val="11"/>
          <w:szCs w:val="11"/>
          <w:color w:val="auto"/>
        </w:rPr>
      </w:pPr>
    </w:p>
    <w:p>
      <w:pPr>
        <w:ind w:left="1120" w:right="1159" w:firstLine="288"/>
        <w:spacing w:after="0" w:line="265" w:lineRule="auto"/>
        <w:tabs>
          <w:tab w:leader="none" w:pos="1572"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authorization, consent, approval, license, exemption of or filing or registration with any governmental authority, is or will be necessary for the execution, delivery and performance by the Company of its obligations under this Consent, Waiver and Amendment or the performance by the Company of the Designated Transactions; and</w:t>
      </w:r>
    </w:p>
    <w:p>
      <w:pPr>
        <w:spacing w:after="0" w:line="46" w:lineRule="exact"/>
        <w:rPr>
          <w:rFonts w:ascii="Times New Roman" w:cs="Times New Roman" w:eastAsia="Times New Roman" w:hAnsi="Times New Roman"/>
          <w:sz w:val="12"/>
          <w:szCs w:val="12"/>
          <w:color w:val="auto"/>
        </w:rPr>
      </w:pPr>
    </w:p>
    <w:p>
      <w:pPr>
        <w:ind w:left="1120" w:right="1059" w:firstLine="288"/>
        <w:spacing w:after="0" w:line="265" w:lineRule="auto"/>
        <w:tabs>
          <w:tab w:leader="none" w:pos="1565"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and after giving effect to this Consent, Waiver and Amendment, no Default or Event of Default exists and is continuing on the date hereof and no Default or Event of Default could reasonably be expected to occur as a result of the consummation of the Designated Transactions.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9019"/>
          </w:cols>
          <w:pgMar w:left="1440" w:top="228" w:right="1440" w:bottom="1440" w:gutter="0" w:footer="0" w:header="0"/>
        </w:sectPr>
      </w:pPr>
    </w:p>
    <w:bookmarkStart w:id="393" w:name="page394"/>
    <w:bookmarkEnd w:id="393"/>
    <w:p>
      <w:pPr>
        <w:ind w:left="112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 </w:t>
      </w:r>
      <w:r>
        <w:rPr>
          <w:rFonts w:ascii="Times New Roman" w:cs="Times New Roman" w:eastAsia="Times New Roman" w:hAnsi="Times New Roman"/>
          <w:sz w:val="12"/>
          <w:szCs w:val="12"/>
          <w:u w:val="single" w:color="auto"/>
          <w:color w:val="auto"/>
        </w:rPr>
        <w:t>Affirmation</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939" w:firstLine="288"/>
        <w:spacing w:after="0" w:line="260" w:lineRule="auto"/>
        <w:tabs>
          <w:tab w:leader="none" w:pos="1565"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expressly consented to pursuant to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hereof, the Company hereby expressly reaffirms, as of the date hereof, all its covenants and agreements contained in the Note and each Transaction Document (in each case, as amended hereby) and agrees that none of its covenants and agreements set forth in the Note or any other Transaction Document (in each case, as amended hereby) shall be reduced or limited by the execution and delivery of this Consent, Waiver and Amendment except as expressly set forth herein.</w:t>
      </w:r>
    </w:p>
    <w:p>
      <w:pPr>
        <w:spacing w:after="0" w:line="50" w:lineRule="exact"/>
        <w:rPr>
          <w:rFonts w:ascii="Times New Roman" w:cs="Times New Roman" w:eastAsia="Times New Roman" w:hAnsi="Times New Roman"/>
          <w:sz w:val="12"/>
          <w:szCs w:val="12"/>
          <w:color w:val="auto"/>
        </w:rPr>
      </w:pPr>
    </w:p>
    <w:p>
      <w:pPr>
        <w:ind w:left="1120" w:right="859" w:firstLine="288"/>
        <w:spacing w:after="0" w:line="257" w:lineRule="auto"/>
        <w:tabs>
          <w:tab w:leader="none" w:pos="1572"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(on behalf of itself and its Subsidiaries) hereby (i) affirms that each of the Liens granted in or pursuant to the Security Documents are valid and subsisting, and (ii) agrees that this Consent, Waiver and Amendment and all documents executed in connection herewith shall in no manner impair or otherwise adversely affect any of the Liens granted in or pursuant to the Security Documents and such Liens continue unimpaired with the same priority to secure repayment of all Obligations in accordance with the Transaction Documents, whether heretofore or hereafter incurred.</w:t>
      </w:r>
    </w:p>
    <w:p>
      <w:pPr>
        <w:spacing w:after="0" w:line="125" w:lineRule="exact"/>
        <w:rPr>
          <w:sz w:val="20"/>
          <w:szCs w:val="20"/>
          <w:color w:val="auto"/>
        </w:rPr>
      </w:pPr>
    </w:p>
    <w:p>
      <w:pPr>
        <w:ind w:left="840" w:right="979" w:firstLine="294"/>
        <w:spacing w:after="0" w:line="265" w:lineRule="auto"/>
        <w:rPr>
          <w:sz w:val="20"/>
          <w:szCs w:val="20"/>
          <w:color w:val="auto"/>
        </w:rPr>
      </w:pPr>
      <w:r>
        <w:rPr>
          <w:rFonts w:ascii="Times New Roman" w:cs="Times New Roman" w:eastAsia="Times New Roman" w:hAnsi="Times New Roman"/>
          <w:sz w:val="12"/>
          <w:szCs w:val="12"/>
          <w:color w:val="auto"/>
        </w:rPr>
        <w:t xml:space="preserve">Section 7 </w:t>
      </w:r>
      <w:r>
        <w:rPr>
          <w:rFonts w:ascii="Times New Roman" w:cs="Times New Roman" w:eastAsia="Times New Roman" w:hAnsi="Times New Roman"/>
          <w:sz w:val="12"/>
          <w:szCs w:val="12"/>
          <w:u w:val="single" w:color="auto"/>
          <w:color w:val="auto"/>
        </w:rPr>
        <w:t>Condition Subsequent</w:t>
      </w:r>
      <w:r>
        <w:rPr>
          <w:rFonts w:ascii="Times New Roman" w:cs="Times New Roman" w:eastAsia="Times New Roman" w:hAnsi="Times New Roman"/>
          <w:sz w:val="12"/>
          <w:szCs w:val="12"/>
          <w:color w:val="auto"/>
        </w:rPr>
        <w:t>. The Company hereby covenants and agrees that no later than April 16, 2025 (or such later date as agreed to by the Agent in writing), the Agent shall have received reimbursement or payment in full of all actual reasonable and documented fees and expenses of Pryor Cashman LLP, as counsel for the Agent, to the extent invoiced on or prior to the Consent, Waiver and Amendment Effective Date.</w:t>
      </w:r>
    </w:p>
    <w:p>
      <w:pPr>
        <w:spacing w:after="0" w:line="1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2"/>
          <w:szCs w:val="12"/>
          <w:color w:val="auto"/>
        </w:rPr>
        <w:t xml:space="preserve">Section 8 </w:t>
      </w: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78" w:lineRule="exact"/>
        <w:rPr>
          <w:sz w:val="20"/>
          <w:szCs w:val="20"/>
          <w:color w:val="auto"/>
        </w:rPr>
      </w:pPr>
    </w:p>
    <w:p>
      <w:pPr>
        <w:ind w:left="1120" w:right="859" w:firstLine="288"/>
        <w:spacing w:after="0" w:line="255" w:lineRule="auto"/>
        <w:tabs>
          <w:tab w:leader="none" w:pos="1565"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to the Holder that: (a) nothing in this Consent, Waiver and Amendment, including, without limitation, the transactions contemplated hereby, constitutes material non-public information and (b) as of the time of execution of this Consent, the Holder is not in possession of any material, nonpublic information received from the Company or any of its Subsidiaries or any of their respective officers, directors, employees, affiliates or agents, that has not been publicly disclosed. Further, the Company expressly acknowledges and agrees that, as of the date hereof, the Holder shall not have, any duty of confidentiality with respect to, or a duty not to trade on the basis of, any material, non-public information regarding the Company or any of its Subsidiaries. The Company understands and confirms that the Holder will rely on the foregoing representations in effecting transactions in securities of the Company.</w:t>
      </w:r>
    </w:p>
    <w:p>
      <w:pPr>
        <w:spacing w:after="0" w:line="53" w:lineRule="exact"/>
        <w:rPr>
          <w:rFonts w:ascii="Times New Roman" w:cs="Times New Roman" w:eastAsia="Times New Roman" w:hAnsi="Times New Roman"/>
          <w:sz w:val="12"/>
          <w:szCs w:val="12"/>
          <w:color w:val="auto"/>
        </w:rPr>
      </w:pPr>
    </w:p>
    <w:p>
      <w:pPr>
        <w:ind w:left="1120" w:right="839" w:firstLine="288"/>
        <w:spacing w:after="0" w:line="265" w:lineRule="auto"/>
        <w:tabs>
          <w:tab w:leader="none" w:pos="1572"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set forth in this Section 7(b), this Consent, Waiver and Amendment shall be effective (the “</w:t>
      </w:r>
      <w:r>
        <w:rPr>
          <w:rFonts w:ascii="Times New Roman" w:cs="Times New Roman" w:eastAsia="Times New Roman" w:hAnsi="Times New Roman"/>
          <w:sz w:val="12"/>
          <w:szCs w:val="12"/>
          <w:u w:val="single" w:color="auto"/>
          <w:color w:val="auto"/>
        </w:rPr>
        <w:t>Effective Time</w:t>
      </w:r>
      <w:r>
        <w:rPr>
          <w:rFonts w:ascii="Times New Roman" w:cs="Times New Roman" w:eastAsia="Times New Roman" w:hAnsi="Times New Roman"/>
          <w:sz w:val="12"/>
          <w:szCs w:val="12"/>
          <w:color w:val="auto"/>
        </w:rPr>
        <w:t>”) upon the later of (i) the time of due execution and delivery by the Company and the Holder of this Consent, Waiver and Amendment, and (ii) the time of due execution and delivery by the Company and each Other Holder of the Other Consents.</w:t>
      </w:r>
    </w:p>
    <w:p>
      <w:pPr>
        <w:spacing w:after="0" w:line="46" w:lineRule="exact"/>
        <w:rPr>
          <w:rFonts w:ascii="Times New Roman" w:cs="Times New Roman" w:eastAsia="Times New Roman" w:hAnsi="Times New Roman"/>
          <w:sz w:val="12"/>
          <w:szCs w:val="12"/>
          <w:color w:val="auto"/>
        </w:rPr>
      </w:pPr>
    </w:p>
    <w:p>
      <w:pPr>
        <w:ind w:left="1120" w:right="959" w:firstLine="288"/>
        <w:spacing w:after="0" w:line="257" w:lineRule="auto"/>
        <w:tabs>
          <w:tab w:leader="none" w:pos="1565"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the Holder under this Consent, Waiver and Amendment are several and not joint with the obligations of any Other Holder, and the Holder shall not be responsible in any way for the performance of the obligations of any Other Holder under any Other Consent. Nothing contained herein or in any Other Consent, and no action taken by the Holder pursuant hereto, shall be deemed to constitute the Holder and Other Holders as a partnership, an association, a joint venture or any other kind of entity, or create a presumption that the Holder and Other Holders are in any way acting in concert or as a group with respect to such obligations or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9019"/>
          </w:cols>
          <w:pgMar w:left="1440" w:top="228" w:right="1440" w:bottom="1440" w:gutter="0" w:footer="0" w:header="0"/>
        </w:sectPr>
      </w:pPr>
    </w:p>
    <w:bookmarkStart w:id="394" w:name="page395"/>
    <w:bookmarkEnd w:id="394"/>
    <w:p>
      <w:pPr>
        <w:ind w:left="1120" w:right="899"/>
        <w:spacing w:after="0" w:line="25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transactions contemplated by this Consent, Waiver and Amendment or any Other Consent and the Company acknowledges that, to the best of its knowledge, the Holder and the Other Holders are not acting in concert or as a group with respect to such obligations or the transactions contemplated by this Consent, Waiver and Amendment or any Other Consent.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spacing w:after="0" w:line="53" w:lineRule="exact"/>
        <w:rPr>
          <w:sz w:val="20"/>
          <w:szCs w:val="20"/>
          <w:color w:val="auto"/>
        </w:rPr>
      </w:pPr>
    </w:p>
    <w:p>
      <w:pPr>
        <w:ind w:left="1120" w:right="879" w:firstLine="288"/>
        <w:spacing w:after="0" w:line="254" w:lineRule="auto"/>
        <w:tabs>
          <w:tab w:leader="none" w:pos="1572" w:val="left"/>
        </w:tabs>
        <w:numPr>
          <w:ilvl w:val="1"/>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hereby represents and warrants as of the date hereof and covenants and agrees from and after the date hereof that none of the terms offered to any Person (as defined in the SPA) with respect to any consent, release, amendment, settlement or waiver relating to this consents, waivers or amendments provided herein (each, a “</w:t>
      </w:r>
      <w:r>
        <w:rPr>
          <w:rFonts w:ascii="Times New Roman" w:cs="Times New Roman" w:eastAsia="Times New Roman" w:hAnsi="Times New Roman"/>
          <w:sz w:val="12"/>
          <w:szCs w:val="12"/>
          <w:u w:val="single" w:color="auto"/>
          <w:color w:val="auto"/>
        </w:rPr>
        <w:t>Specified Consent Document</w:t>
      </w:r>
      <w:r>
        <w:rPr>
          <w:rFonts w:ascii="Times New Roman" w:cs="Times New Roman" w:eastAsia="Times New Roman" w:hAnsi="Times New Roman"/>
          <w:sz w:val="12"/>
          <w:szCs w:val="12"/>
          <w:color w:val="auto"/>
        </w:rPr>
        <w:t>”), is or will be more favorable to such Person than those provided to the Holder under this Consent, Waiver and Amendment. If, and whenever on or after the date hereof, the Company enters into a Specified Consent Document, then (i) the Company shall provide notice thereof to the Holder immediately following the occurrence thereof and</w:t>
      </w:r>
    </w:p>
    <w:p>
      <w:pPr>
        <w:ind w:left="1120" w:right="839" w:firstLine="6"/>
        <w:spacing w:after="0" w:line="252" w:lineRule="auto"/>
        <w:tabs>
          <w:tab w:leader="none" w:pos="1297"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conditions of this Consent, Waiver and Amendment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Specified Consent Document, provided that upon written notice to the Company at any time the Holder may elect not to accept the benefit of any such amended or modified term or condition, in which event the term or condition contained in this Consent shall apply to the Holder as it was in effect immediately prior to such amendment or modification as if such amendment or modification never occurred with respect to the Holder. The provisions of this Section 7(d) shall apply similarly and equally to each Specified Consent Document.</w:t>
      </w:r>
    </w:p>
    <w:p>
      <w:pPr>
        <w:spacing w:after="0" w:line="54" w:lineRule="exact"/>
        <w:rPr>
          <w:rFonts w:ascii="Times New Roman" w:cs="Times New Roman" w:eastAsia="Times New Roman" w:hAnsi="Times New Roman"/>
          <w:sz w:val="12"/>
          <w:szCs w:val="12"/>
          <w:color w:val="auto"/>
        </w:rPr>
      </w:pPr>
    </w:p>
    <w:p>
      <w:pPr>
        <w:ind w:left="1120" w:right="919" w:firstLine="288"/>
        <w:spacing w:after="0" w:line="279" w:lineRule="auto"/>
        <w:tabs>
          <w:tab w:leader="none" w:pos="1565"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headings in this Consent, Waiver and Amendment are included herein for convenience of reference only and shall not constitute a part of this Consent, Waiver and Amendment for any other purposes.</w:t>
      </w:r>
    </w:p>
    <w:p>
      <w:pPr>
        <w:spacing w:after="0" w:line="39" w:lineRule="exact"/>
        <w:rPr>
          <w:rFonts w:ascii="Times New Roman" w:cs="Times New Roman" w:eastAsia="Times New Roman" w:hAnsi="Times New Roman"/>
          <w:sz w:val="12"/>
          <w:szCs w:val="12"/>
          <w:color w:val="auto"/>
        </w:rPr>
      </w:pPr>
    </w:p>
    <w:p>
      <w:pPr>
        <w:ind w:left="1120" w:right="1019" w:firstLine="288"/>
        <w:spacing w:after="0" w:line="257" w:lineRule="auto"/>
        <w:tabs>
          <w:tab w:leader="none" w:pos="1552"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Consent, Waiver and Amendment may be executed with counterpart signature pages or in any number of counterparts, each of which shall be deemed to be an original, but all such separate counterparts shall together constitute but one and the same agreement. In proving this Consent, Waiver and Amendment or any other Transaction Document in any judicial proceedings, it shall not be necessary to produce or account for more than one such counterpart signed by the party against whom such enforcement is sought. Any signatures hereto delivered by electronic transmission shall be deemed an original signature hereto.</w:t>
      </w:r>
    </w:p>
    <w:p>
      <w:pPr>
        <w:spacing w:after="0" w:line="53" w:lineRule="exact"/>
        <w:rPr>
          <w:rFonts w:ascii="Times New Roman" w:cs="Times New Roman" w:eastAsia="Times New Roman" w:hAnsi="Times New Roman"/>
          <w:sz w:val="12"/>
          <w:szCs w:val="12"/>
          <w:color w:val="auto"/>
        </w:rPr>
      </w:pPr>
    </w:p>
    <w:p>
      <w:pPr>
        <w:ind w:left="1120" w:right="939" w:firstLine="288"/>
        <w:spacing w:after="0" w:line="279" w:lineRule="auto"/>
        <w:tabs>
          <w:tab w:leader="none" w:pos="1572"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waiver or modification hereof or of any agreement referred to herein shall be binding or enforceable unless in writing and signed by all of the parties hereto or thereto.</w:t>
      </w:r>
    </w:p>
    <w:p>
      <w:pPr>
        <w:spacing w:after="0" w:line="39" w:lineRule="exact"/>
        <w:rPr>
          <w:rFonts w:ascii="Times New Roman" w:cs="Times New Roman" w:eastAsia="Times New Roman" w:hAnsi="Times New Roman"/>
          <w:sz w:val="12"/>
          <w:szCs w:val="12"/>
          <w:color w:val="auto"/>
        </w:rPr>
      </w:pPr>
    </w:p>
    <w:p>
      <w:pPr>
        <w:jc w:val="both"/>
        <w:ind w:left="1120" w:right="859" w:firstLine="288"/>
        <w:spacing w:after="0" w:line="265" w:lineRule="auto"/>
        <w:tabs>
          <w:tab w:leader="none" w:pos="1572"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date on which this Consent, Waiver and Amendment shall be effective, the term “Transaction Documents” in the Note and the other Note Documents shall include, without limitation, this Consent, Waiver and Amendment and any agreements, instruments and other documents executed and/or delivered in connection herewith.</w:t>
      </w:r>
    </w:p>
    <w:p>
      <w:pPr>
        <w:spacing w:after="0" w:line="46" w:lineRule="exact"/>
        <w:rPr>
          <w:rFonts w:ascii="Times New Roman" w:cs="Times New Roman" w:eastAsia="Times New Roman" w:hAnsi="Times New Roman"/>
          <w:sz w:val="12"/>
          <w:szCs w:val="12"/>
          <w:color w:val="auto"/>
        </w:rPr>
      </w:pPr>
    </w:p>
    <w:p>
      <w:pPr>
        <w:jc w:val="both"/>
        <w:ind w:left="1120" w:right="1239" w:firstLine="288"/>
        <w:spacing w:after="0" w:line="265" w:lineRule="auto"/>
        <w:tabs>
          <w:tab w:leader="none" w:pos="1545" w:val="left"/>
        </w:tabs>
        <w:numPr>
          <w:ilvl w:val="1"/>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AND PROVISIONS OF SECTION 31 (GOVERNING LAW) OF THE NOTE ARE HEREBY INCORPORATED HEREIN BY REFERENCE AND SHALL APPLY TO THIS CONSENT, WAIVER AND AMENDMENT MUTATIS MUTANDIS AS IF FULLY SET FORTH HEREIN.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9019"/>
          </w:cols>
          <w:pgMar w:left="1440" w:top="228" w:right="1440" w:bottom="1440" w:gutter="0" w:footer="0" w:header="0"/>
        </w:sectPr>
      </w:pPr>
    </w:p>
    <w:bookmarkStart w:id="395" w:name="page396"/>
    <w:bookmarkEnd w:id="395"/>
    <w:p>
      <w:pPr>
        <w:ind w:left="1120" w:right="919" w:firstLine="288"/>
        <w:spacing w:after="0" w:line="256" w:lineRule="auto"/>
        <w:tabs>
          <w:tab w:leader="none" w:pos="1545"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anything to the contrary set forth in any Transaction Document, the parties agree that each party hereto (including each Holder and Agent) is responsible for paying for their own fees, costs and expenses, including legal fees incurred in connection with this Consent, Waiver and Amendment except that, so long as Company has received an invoice for such amounts on or prior to the date hereof, within 5 Business Days following the date of this Consent, Waiver and Amendment, the Company agrees to reimburse actual, reasonable and documented legal fees incurred by the Holders of Tranche B Notes, the Tranche A Holder, and/or the Agent (including those incurred in connection with any other consent delivered in connection with the Tranche B Notes or the Tranche A Note).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[Remainder of Page Intentionally Left Blank]</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9019"/>
          </w:cols>
          <w:pgMar w:left="1440" w:top="228" w:right="1440" w:bottom="1440" w:gutter="0" w:footer="0" w:header="0"/>
        </w:sectPr>
      </w:pPr>
    </w:p>
    <w:bookmarkStart w:id="396" w:name="page397"/>
    <w:bookmarkEnd w:id="396"/>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3i, LP</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Maier J. Tarlow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31">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Maier J. Tarlow</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Manager on Behalf of the GP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97" w:name="page398"/>
    <w:bookmarkEnd w:id="397"/>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ACQUIOM AGENCY SERVICES LLC, as Agent</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Beth Cesari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33">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Beth Cesari</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Exec Director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98" w:name="page399"/>
    <w:bookmarkEnd w:id="398"/>
    <w:p>
      <w:pPr>
        <w:ind w:left="840" w:right="979" w:firstLine="294"/>
        <w:spacing w:after="0" w:line="286"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undersigned have caused their respective signature page to this Consent, Waiver and Amendment to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duly executed as of the date first written above.</w:t>
      </w:r>
    </w:p>
    <w:p>
      <w:pPr>
        <w:spacing w:after="0" w:line="1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SCILEX HOLDING COMPANY</w:t>
      </w:r>
    </w:p>
    <w:p>
      <w:pPr>
        <w:spacing w:after="0" w:line="15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Jaisim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10795</wp:posOffset>
            </wp:positionV>
            <wp:extent cx="161734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35">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Jaisim Shah</w:t>
      </w:r>
    </w:p>
    <w:p>
      <w:pPr>
        <w:spacing w:after="0" w:line="17"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2"/>
          <w:szCs w:val="12"/>
          <w:color w:val="auto"/>
        </w:rPr>
        <w:t>Title:</w:t>
        <w:tab/>
        <w:t>Chief Executive Officer and President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Tranche B Consent]</w:t>
      </w:r>
    </w:p>
    <w:p>
      <w:pPr>
        <w:sectPr>
          <w:pgSz w:w="11900" w:h="16838" w:orient="portrait"/>
          <w:cols w:equalWidth="0" w:num="1">
            <w:col w:w="9019"/>
          </w:cols>
          <w:pgMar w:left="1440" w:top="224" w:right="1440" w:bottom="1440" w:gutter="0" w:footer="0" w:header="0"/>
        </w:sectPr>
      </w:pPr>
    </w:p>
    <w:bookmarkStart w:id="399" w:name="page400"/>
    <w:bookmarkEnd w:id="399"/>
    <w:p>
      <w:pPr>
        <w:jc w:val="right"/>
        <w:ind w:right="839"/>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ind w:left="840" w:right="979"/>
        <w:spacing w:after="0" w:line="286" w:lineRule="auto"/>
        <w:rPr>
          <w:sz w:val="20"/>
          <w:szCs w:val="20"/>
          <w:color w:val="auto"/>
        </w:rPr>
      </w:pPr>
      <w:r>
        <w:rPr>
          <w:rFonts w:ascii="Times New Roman" w:cs="Times New Roman" w:eastAsia="Times New Roman" w:hAnsi="Times New Roman"/>
          <w:sz w:val="11"/>
          <w:szCs w:val="11"/>
          <w:color w:val="auto"/>
        </w:rPr>
        <w:t>We hereby consent to the use in this Post-Effective Amendment No. 1 to the Registration Statement on Form S-3 on Form S-1 (File No. 333-280882) and the related prospectus of Scilex Holding Company (the “Registration Statement”) of our report (which report includes an explanatory paragraph relating to Scilex Holding Company’s ability to continue as a going concern as described in Note 2 to the consolidated financial statements) dated March 31, 2025, relating to the consolidated financial statements of Scilex Holding Company as of and for the years ended December 31, 2024 and 2023, which appears in such Registration Statement. We also consent to the reference to us under the heading “Experts” in the Registration Statement.</w:t>
      </w:r>
    </w:p>
    <w:p>
      <w:pPr>
        <w:spacing w:after="0" w:line="1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/s/ BPM LLP</w:t>
      </w:r>
    </w:p>
    <w:p>
      <w:pPr>
        <w:spacing w:after="0" w:line="15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Walnut Creek, California</w:t>
      </w:r>
    </w:p>
    <w:p>
      <w:pPr>
        <w:spacing w:after="0" w:line="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May 7, 2025</w:t>
      </w:r>
    </w:p>
    <w:p>
      <w:pPr>
        <w:sectPr>
          <w:pgSz w:w="11900" w:h="16838" w:orient="portrait"/>
          <w:cols w:equalWidth="0" w:num="1">
            <w:col w:w="9019"/>
          </w:cols>
          <w:pgMar w:left="1440" w:top="125" w:right="1440" w:bottom="1440" w:gutter="0" w:footer="0" w:header="0"/>
        </w:sectPr>
      </w:pPr>
    </w:p>
    <w:bookmarkStart w:id="400" w:name="page401"/>
    <w:bookmarkEnd w:id="400"/>
    <w:p>
      <w:pPr>
        <w:ind w:left="7580"/>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Calculation of Filing Fee Tables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Form S-1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 Type)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Scilex Holding Company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Table 1: Newly Registered Securities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Table 2: Fee Offset Claims and Sources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N/A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u w:val="single" w:color="auto"/>
          <w:color w:val="auto"/>
        </w:rPr>
        <w:t>Table 3: Combined Prospectuses</w:t>
      </w:r>
    </w:p>
    <w:p>
      <w:pPr>
        <w:spacing w:after="0" w:line="148" w:lineRule="exact"/>
        <w:rPr>
          <w:sz w:val="20"/>
          <w:szCs w:val="20"/>
          <w:color w:val="auto"/>
        </w:rPr>
      </w:pPr>
    </w:p>
    <w:tbl>
      <w:tblPr>
        <w:tblLayout w:type="fixed"/>
        <w:tblInd w:w="850" w:type="dxa"/>
        <w:tblCellMar>
          <w:top w:w="0" w:type="dxa"/>
          <w:left w:w="0" w:type="dxa"/>
          <w:bottom w:w="0" w:type="dxa"/>
          <w:right w:w="0" w:type="dxa"/>
        </w:tblCellMar>
      </w:tblPr>
      <w:tr>
        <w:trPr>
          <w:trHeight w:val="94"/>
        </w:trPr>
        <w:tc>
          <w:tcPr>
            <w:tcW w:w="700" w:type="dxa"/>
            <w:vAlign w:val="bottom"/>
            <w:tcBorders>
              <w:top w:val="single" w:sz="8" w:color="auto"/>
              <w:left w:val="single" w:sz="8" w:color="auto"/>
              <w:right w:val="single" w:sz="8" w:color="auto"/>
            </w:tcBorders>
          </w:tcPr>
          <w:p>
            <w:pPr>
              <w:spacing w:after="0"/>
              <w:rPr>
                <w:sz w:val="8"/>
                <w:szCs w:val="8"/>
                <w:color w:val="auto"/>
              </w:rPr>
            </w:pPr>
          </w:p>
        </w:tc>
        <w:tc>
          <w:tcPr>
            <w:tcW w:w="1840" w:type="dxa"/>
            <w:vAlign w:val="bottom"/>
            <w:tcBorders>
              <w:top w:val="single" w:sz="8" w:color="auto"/>
              <w:right w:val="single" w:sz="8" w:color="auto"/>
            </w:tcBorders>
          </w:tcPr>
          <w:p>
            <w:pPr>
              <w:spacing w:after="0"/>
              <w:rPr>
                <w:sz w:val="8"/>
                <w:szCs w:val="8"/>
                <w:color w:val="auto"/>
              </w:rPr>
            </w:pPr>
          </w:p>
        </w:tc>
        <w:tc>
          <w:tcPr>
            <w:tcW w:w="1000" w:type="dxa"/>
            <w:vAlign w:val="bottom"/>
            <w:tcBorders>
              <w:top w:val="single" w:sz="8" w:color="auto"/>
              <w:right w:val="single" w:sz="8" w:color="auto"/>
            </w:tcBorders>
          </w:tcPr>
          <w:p>
            <w:pPr>
              <w:jc w:val="center"/>
              <w:ind w:left="10"/>
              <w:spacing w:after="0" w:line="94" w:lineRule="exact"/>
              <w:rPr>
                <w:sz w:val="20"/>
                <w:szCs w:val="20"/>
                <w:color w:val="auto"/>
              </w:rPr>
            </w:pPr>
            <w:r>
              <w:rPr>
                <w:rFonts w:ascii="Times New Roman" w:cs="Times New Roman" w:eastAsia="Times New Roman" w:hAnsi="Times New Roman"/>
                <w:sz w:val="10"/>
                <w:szCs w:val="10"/>
                <w:color w:val="auto"/>
                <w:w w:val="95"/>
              </w:rPr>
              <w:t>Amount of Securities</w:t>
            </w:r>
          </w:p>
        </w:tc>
        <w:tc>
          <w:tcPr>
            <w:tcW w:w="1380" w:type="dxa"/>
            <w:vAlign w:val="bottom"/>
            <w:tcBorders>
              <w:top w:val="single" w:sz="8" w:color="auto"/>
              <w:right w:val="single" w:sz="8" w:color="auto"/>
            </w:tcBorders>
          </w:tcPr>
          <w:p>
            <w:pPr>
              <w:jc w:val="center"/>
              <w:ind w:left="10"/>
              <w:spacing w:after="0" w:line="94" w:lineRule="exact"/>
              <w:rPr>
                <w:sz w:val="20"/>
                <w:szCs w:val="20"/>
                <w:color w:val="auto"/>
              </w:rPr>
            </w:pPr>
            <w:r>
              <w:rPr>
                <w:rFonts w:ascii="Times New Roman" w:cs="Times New Roman" w:eastAsia="Times New Roman" w:hAnsi="Times New Roman"/>
                <w:sz w:val="10"/>
                <w:szCs w:val="10"/>
                <w:color w:val="auto"/>
                <w:w w:val="94"/>
              </w:rPr>
              <w:t>Maximum Aggregate Offering</w:t>
            </w:r>
          </w:p>
        </w:tc>
        <w:tc>
          <w:tcPr>
            <w:tcW w:w="620" w:type="dxa"/>
            <w:vAlign w:val="bottom"/>
            <w:tcBorders>
              <w:top w:val="single" w:sz="8" w:color="auto"/>
              <w:right w:val="single" w:sz="8" w:color="auto"/>
            </w:tcBorders>
          </w:tcPr>
          <w:p>
            <w:pPr>
              <w:spacing w:after="0"/>
              <w:rPr>
                <w:sz w:val="8"/>
                <w:szCs w:val="8"/>
                <w:color w:val="auto"/>
              </w:rPr>
            </w:pPr>
          </w:p>
        </w:tc>
        <w:tc>
          <w:tcPr>
            <w:tcW w:w="800" w:type="dxa"/>
            <w:vAlign w:val="bottom"/>
            <w:tcBorders>
              <w:top w:val="single" w:sz="8" w:color="auto"/>
              <w:right w:val="single" w:sz="8" w:color="auto"/>
            </w:tcBorders>
          </w:tcPr>
          <w:p>
            <w:pPr>
              <w:spacing w:after="0"/>
              <w:rPr>
                <w:sz w:val="8"/>
                <w:szCs w:val="8"/>
                <w:color w:val="auto"/>
              </w:rPr>
            </w:pPr>
          </w:p>
        </w:tc>
        <w:tc>
          <w:tcPr>
            <w:tcW w:w="1020" w:type="dxa"/>
            <w:vAlign w:val="bottom"/>
            <w:tcBorders>
              <w:top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0"/>
                <w:szCs w:val="10"/>
                <w:color w:val="auto"/>
              </w:rPr>
              <w:t>Initial Effective</w:t>
            </w:r>
          </w:p>
        </w:tc>
        <w:tc>
          <w:tcPr>
            <w:tcW w:w="0" w:type="dxa"/>
            <w:vAlign w:val="bottom"/>
          </w:tcPr>
          <w:p>
            <w:pPr>
              <w:spacing w:after="0"/>
              <w:rPr>
                <w:sz w:val="1"/>
                <w:szCs w:val="1"/>
                <w:color w:val="auto"/>
              </w:rPr>
            </w:pPr>
          </w:p>
        </w:tc>
      </w:tr>
      <w:tr>
        <w:trPr>
          <w:trHeight w:val="95"/>
        </w:trPr>
        <w:tc>
          <w:tcPr>
            <w:tcW w:w="70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jc w:val="center"/>
              <w:ind w:left="10"/>
              <w:spacing w:after="0" w:line="96" w:lineRule="exact"/>
              <w:rPr>
                <w:sz w:val="20"/>
                <w:szCs w:val="20"/>
                <w:color w:val="auto"/>
              </w:rPr>
            </w:pPr>
            <w:r>
              <w:rPr>
                <w:rFonts w:ascii="Times New Roman" w:cs="Times New Roman" w:eastAsia="Times New Roman" w:hAnsi="Times New Roman"/>
                <w:sz w:val="10"/>
                <w:szCs w:val="10"/>
                <w:color w:val="auto"/>
                <w:w w:val="98"/>
              </w:rPr>
              <w:t>Previously</w:t>
            </w:r>
          </w:p>
        </w:tc>
        <w:tc>
          <w:tcPr>
            <w:tcW w:w="1380" w:type="dxa"/>
            <w:vAlign w:val="bottom"/>
            <w:tcBorders>
              <w:right w:val="single" w:sz="8" w:color="auto"/>
            </w:tcBorders>
          </w:tcPr>
          <w:p>
            <w:pPr>
              <w:jc w:val="center"/>
              <w:ind w:left="10"/>
              <w:spacing w:after="0" w:line="96" w:lineRule="exact"/>
              <w:rPr>
                <w:sz w:val="20"/>
                <w:szCs w:val="20"/>
                <w:color w:val="auto"/>
              </w:rPr>
            </w:pPr>
            <w:r>
              <w:rPr>
                <w:rFonts w:ascii="Times New Roman" w:cs="Times New Roman" w:eastAsia="Times New Roman" w:hAnsi="Times New Roman"/>
                <w:sz w:val="10"/>
                <w:szCs w:val="10"/>
                <w:color w:val="auto"/>
                <w:w w:val="94"/>
              </w:rPr>
              <w:t>Price of Securities Previously</w:t>
            </w:r>
          </w:p>
        </w:tc>
        <w:tc>
          <w:tcPr>
            <w:tcW w:w="6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0"/>
                <w:szCs w:val="10"/>
                <w:color w:val="auto"/>
                <w:w w:val="91"/>
              </w:rPr>
              <w:t>Security Type </w:t>
            </w:r>
          </w:p>
        </w:tc>
        <w:tc>
          <w:tcPr>
            <w:tcW w:w="184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0"/>
                <w:szCs w:val="10"/>
                <w:color w:val="auto"/>
              </w:rPr>
              <w:t>Security Class Title</w:t>
            </w:r>
          </w:p>
        </w:tc>
        <w:tc>
          <w:tcPr>
            <w:tcW w:w="1000" w:type="dxa"/>
            <w:vAlign w:val="bottom"/>
            <w:tcBorders>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0"/>
                <w:szCs w:val="10"/>
                <w:color w:val="auto"/>
              </w:rPr>
              <w:t>Registered</w:t>
            </w:r>
            <w:r>
              <w:rPr>
                <w:rFonts w:ascii="Times New Roman" w:cs="Times New Roman" w:eastAsia="Times New Roman" w:hAnsi="Times New Roman"/>
                <w:sz w:val="7"/>
                <w:szCs w:val="7"/>
                <w:color w:val="auto"/>
              </w:rPr>
              <w:t>(1)(2)</w:t>
            </w:r>
            <w:r>
              <w:rPr>
                <w:rFonts w:ascii="Times New Roman" w:cs="Times New Roman" w:eastAsia="Times New Roman" w:hAnsi="Times New Roman"/>
                <w:sz w:val="10"/>
                <w:szCs w:val="10"/>
                <w:color w:val="auto"/>
              </w:rPr>
              <w:t xml:space="preserve"> </w:t>
            </w:r>
          </w:p>
        </w:tc>
        <w:tc>
          <w:tcPr>
            <w:tcW w:w="138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0"/>
                <w:szCs w:val="10"/>
                <w:color w:val="auto"/>
              </w:rPr>
              <w:t>Registered</w:t>
            </w:r>
            <w:r>
              <w:rPr>
                <w:rFonts w:ascii="Times New Roman" w:cs="Times New Roman" w:eastAsia="Times New Roman" w:hAnsi="Times New Roman"/>
                <w:sz w:val="7"/>
                <w:szCs w:val="7"/>
                <w:color w:val="auto"/>
              </w:rPr>
              <w:t>(2)</w:t>
            </w:r>
            <w:r>
              <w:rPr>
                <w:rFonts w:ascii="Times New Roman" w:cs="Times New Roman" w:eastAsia="Times New Roman" w:hAnsi="Times New Roman"/>
                <w:sz w:val="10"/>
                <w:szCs w:val="10"/>
                <w:color w:val="auto"/>
              </w:rPr>
              <w:t xml:space="preserve"> </w:t>
            </w:r>
          </w:p>
        </w:tc>
        <w:tc>
          <w:tcPr>
            <w:tcW w:w="6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0"/>
                <w:szCs w:val="10"/>
                <w:color w:val="auto"/>
                <w:w w:val="92"/>
              </w:rPr>
              <w:t>Form Type </w:t>
            </w:r>
          </w:p>
        </w:tc>
        <w:tc>
          <w:tcPr>
            <w:tcW w:w="800" w:type="dxa"/>
            <w:vAlign w:val="bottom"/>
            <w:tcBorders>
              <w:bottom w:val="single" w:sz="8" w:color="auto"/>
              <w:right w:val="single" w:sz="8" w:color="auto"/>
            </w:tcBorders>
          </w:tcPr>
          <w:p>
            <w:pPr>
              <w:jc w:val="right"/>
              <w:ind w:right="61"/>
              <w:spacing w:after="0"/>
              <w:rPr>
                <w:sz w:val="20"/>
                <w:szCs w:val="20"/>
                <w:color w:val="auto"/>
              </w:rPr>
            </w:pPr>
            <w:r>
              <w:rPr>
                <w:rFonts w:ascii="Times New Roman" w:cs="Times New Roman" w:eastAsia="Times New Roman" w:hAnsi="Times New Roman"/>
                <w:sz w:val="10"/>
                <w:szCs w:val="10"/>
                <w:color w:val="auto"/>
              </w:rPr>
              <w:t>File Number</w:t>
            </w:r>
          </w:p>
        </w:tc>
        <w:tc>
          <w:tcPr>
            <w:tcW w:w="102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0"/>
                <w:szCs w:val="10"/>
                <w:color w:val="auto"/>
              </w:rPr>
              <w:t>Date</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3,250,000</w:t>
            </w:r>
            <w:r>
              <w:rPr>
                <w:rFonts w:ascii="Times New Roman" w:cs="Times New Roman" w:eastAsia="Times New Roman" w:hAnsi="Times New Roman"/>
                <w:sz w:val="14"/>
                <w:szCs w:val="14"/>
                <w:color w:val="auto"/>
                <w:vertAlign w:val="superscript"/>
              </w:rPr>
              <w:t>(3)</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$6,110,000</w:t>
            </w:r>
            <w:r>
              <w:rPr>
                <w:rFonts w:ascii="Times New Roman" w:cs="Times New Roman" w:eastAsia="Times New Roman" w:hAnsi="Times New Roman"/>
                <w:sz w:val="14"/>
                <w:szCs w:val="14"/>
                <w:color w:val="auto"/>
                <w:vertAlign w:val="superscript"/>
              </w:rPr>
              <w:t>(4)</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333-280882</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July 25,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108,686</w:t>
            </w:r>
            <w:r>
              <w:rPr>
                <w:rFonts w:ascii="Times New Roman" w:cs="Times New Roman" w:eastAsia="Times New Roman" w:hAnsi="Times New Roman"/>
                <w:sz w:val="14"/>
                <w:szCs w:val="14"/>
                <w:color w:val="auto"/>
                <w:vertAlign w:val="superscript"/>
              </w:rPr>
              <w:t>(5)</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$6,466,817.00</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13,446</w:t>
            </w:r>
            <w:r>
              <w:rPr>
                <w:rFonts w:ascii="Times New Roman" w:cs="Times New Roman" w:eastAsia="Times New Roman" w:hAnsi="Times New Roman"/>
                <w:sz w:val="14"/>
                <w:szCs w:val="14"/>
                <w:color w:val="auto"/>
                <w:vertAlign w:val="superscript"/>
              </w:rPr>
              <w:t>(7)</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$1,000,113.48</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428,572</w:t>
            </w:r>
            <w:r>
              <w:rPr>
                <w:rFonts w:ascii="Times New Roman" w:cs="Times New Roman" w:eastAsia="Times New Roman" w:hAnsi="Times New Roman"/>
                <w:sz w:val="14"/>
                <w:szCs w:val="14"/>
                <w:color w:val="auto"/>
                <w:vertAlign w:val="superscript"/>
              </w:rPr>
              <w:t>(8)</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$16,500,022.00</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34,286</w:t>
            </w:r>
            <w:r>
              <w:rPr>
                <w:rFonts w:ascii="Times New Roman" w:cs="Times New Roman" w:eastAsia="Times New Roman" w:hAnsi="Times New Roman"/>
                <w:sz w:val="14"/>
                <w:szCs w:val="14"/>
                <w:color w:val="auto"/>
                <w:vertAlign w:val="superscript"/>
              </w:rPr>
              <w:t>(9)</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$1,500,012.50</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319,132</w:t>
            </w:r>
            <w:r>
              <w:rPr>
                <w:rFonts w:ascii="Times New Roman" w:cs="Times New Roman" w:eastAsia="Times New Roman" w:hAnsi="Times New Roman"/>
                <w:sz w:val="14"/>
                <w:szCs w:val="14"/>
                <w:color w:val="auto"/>
                <w:vertAlign w:val="superscript"/>
              </w:rPr>
              <w:t>(10)</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$11,616,404.80</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914,823</w:t>
            </w:r>
            <w:r>
              <w:rPr>
                <w:rFonts w:ascii="Times New Roman" w:cs="Times New Roman" w:eastAsia="Times New Roman" w:hAnsi="Times New Roman"/>
                <w:sz w:val="14"/>
                <w:szCs w:val="14"/>
                <w:color w:val="auto"/>
                <w:vertAlign w:val="superscript"/>
              </w:rPr>
              <w:t>(11)</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$45,000,000.00</w:t>
            </w:r>
            <w:r>
              <w:rPr>
                <w:rFonts w:ascii="Times New Roman" w:cs="Times New Roman" w:eastAsia="Times New Roman" w:hAnsi="Times New Roman"/>
                <w:sz w:val="14"/>
                <w:szCs w:val="14"/>
                <w:color w:val="auto"/>
                <w:vertAlign w:val="superscript"/>
              </w:rPr>
              <w:t>(12)</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conversion of convertible notes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1,642,871</w:t>
            </w:r>
            <w:r>
              <w:rPr>
                <w:rFonts w:ascii="Times New Roman" w:cs="Times New Roman" w:eastAsia="Times New Roman" w:hAnsi="Times New Roman"/>
                <w:sz w:val="14"/>
                <w:szCs w:val="14"/>
                <w:color w:val="auto"/>
                <w:vertAlign w:val="superscript"/>
              </w:rPr>
              <w:t>(13)</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$37,326,029.12</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tcPr>
          <w:p>
            <w:pPr>
              <w:ind w:left="100"/>
              <w:spacing w:after="0" w:line="122" w:lineRule="exact"/>
              <w:rPr>
                <w:sz w:val="20"/>
                <w:szCs w:val="20"/>
                <w:color w:val="auto"/>
              </w:rPr>
            </w:pPr>
            <w:r>
              <w:rPr>
                <w:rFonts w:ascii="Times New Roman" w:cs="Times New Roman" w:eastAsia="Times New Roman" w:hAnsi="Times New Roman"/>
                <w:sz w:val="12"/>
                <w:szCs w:val="12"/>
                <w:color w:val="auto"/>
              </w:rPr>
              <w:t>Equity</w:t>
            </w:r>
          </w:p>
        </w:tc>
        <w:tc>
          <w:tcPr>
            <w:tcW w:w="184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Common Stock, par value $0.0001</w:t>
            </w:r>
          </w:p>
        </w:tc>
        <w:tc>
          <w:tcPr>
            <w:tcW w:w="1000" w:type="dxa"/>
            <w:vAlign w:val="bottom"/>
            <w:tcBorders>
              <w:right w:val="single" w:sz="8" w:color="auto"/>
            </w:tcBorders>
          </w:tcPr>
          <w:p>
            <w:pPr>
              <w:ind w:left="120"/>
              <w:spacing w:after="0" w:line="123" w:lineRule="exact"/>
              <w:rPr>
                <w:sz w:val="20"/>
                <w:szCs w:val="20"/>
                <w:color w:val="auto"/>
              </w:rPr>
            </w:pPr>
            <w:r>
              <w:rPr>
                <w:rFonts w:ascii="Times New Roman" w:cs="Times New Roman" w:eastAsia="Times New Roman" w:hAnsi="Times New Roman"/>
                <w:sz w:val="10"/>
                <w:szCs w:val="10"/>
                <w:color w:val="auto"/>
              </w:rPr>
              <w:t>131,472</w:t>
            </w:r>
            <w:r>
              <w:rPr>
                <w:rFonts w:ascii="Times New Roman" w:cs="Times New Roman" w:eastAsia="Times New Roman" w:hAnsi="Times New Roman"/>
                <w:sz w:val="14"/>
                <w:szCs w:val="14"/>
                <w:color w:val="auto"/>
                <w:vertAlign w:val="superscript"/>
              </w:rPr>
              <w:t>(14)</w:t>
            </w:r>
          </w:p>
        </w:tc>
        <w:tc>
          <w:tcPr>
            <w:tcW w:w="1380" w:type="dxa"/>
            <w:vAlign w:val="bottom"/>
            <w:tcBorders>
              <w:right w:val="single" w:sz="8" w:color="auto"/>
            </w:tcBorders>
          </w:tcPr>
          <w:p>
            <w:pPr>
              <w:ind w:left="140"/>
              <w:spacing w:after="0" w:line="123" w:lineRule="exact"/>
              <w:rPr>
                <w:sz w:val="20"/>
                <w:szCs w:val="20"/>
                <w:color w:val="auto"/>
              </w:rPr>
            </w:pPr>
            <w:r>
              <w:rPr>
                <w:rFonts w:ascii="Times New Roman" w:cs="Times New Roman" w:eastAsia="Times New Roman" w:hAnsi="Times New Roman"/>
                <w:sz w:val="10"/>
                <w:szCs w:val="10"/>
                <w:color w:val="auto"/>
              </w:rPr>
              <w:t>$3,393,292.32</w:t>
            </w:r>
            <w:r>
              <w:rPr>
                <w:rFonts w:ascii="Times New Roman" w:cs="Times New Roman" w:eastAsia="Times New Roman" w:hAnsi="Times New Roman"/>
                <w:sz w:val="14"/>
                <w:szCs w:val="14"/>
                <w:color w:val="auto"/>
                <w:vertAlign w:val="superscript"/>
              </w:rPr>
              <w:t>(6)</w:t>
            </w:r>
          </w:p>
        </w:tc>
        <w:tc>
          <w:tcPr>
            <w:tcW w:w="6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S-3</w:t>
            </w:r>
          </w:p>
        </w:tc>
        <w:tc>
          <w:tcPr>
            <w:tcW w:w="800" w:type="dxa"/>
            <w:vAlign w:val="bottom"/>
            <w:tcBorders>
              <w:right w:val="single" w:sz="8" w:color="auto"/>
            </w:tcBorders>
          </w:tcPr>
          <w:p>
            <w:pPr>
              <w:jc w:val="right"/>
              <w:ind w:right="41"/>
              <w:spacing w:after="0" w:line="122" w:lineRule="exact"/>
              <w:rPr>
                <w:sz w:val="20"/>
                <w:szCs w:val="20"/>
                <w:color w:val="auto"/>
              </w:rPr>
            </w:pPr>
            <w:r>
              <w:rPr>
                <w:rFonts w:ascii="Times New Roman" w:cs="Times New Roman" w:eastAsia="Times New Roman" w:hAnsi="Times New Roman"/>
                <w:sz w:val="12"/>
                <w:szCs w:val="12"/>
                <w:color w:val="auto"/>
              </w:rPr>
              <w:t>333-276245</w:t>
            </w:r>
          </w:p>
        </w:tc>
        <w:tc>
          <w:tcPr>
            <w:tcW w:w="1020" w:type="dxa"/>
            <w:vAlign w:val="bottom"/>
            <w:tcBorders>
              <w:right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January 11, 2024</w:t>
            </w:r>
          </w:p>
        </w:tc>
        <w:tc>
          <w:tcPr>
            <w:tcW w:w="0" w:type="dxa"/>
            <w:vAlign w:val="bottom"/>
          </w:tcPr>
          <w:p>
            <w:pPr>
              <w:spacing w:after="0"/>
              <w:rPr>
                <w:sz w:val="1"/>
                <w:szCs w:val="1"/>
                <w:color w:val="auto"/>
              </w:rPr>
            </w:pPr>
          </w:p>
        </w:tc>
      </w:tr>
      <w:tr>
        <w:trPr>
          <w:trHeight w:val="144"/>
        </w:trPr>
        <w:tc>
          <w:tcPr>
            <w:tcW w:w="70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per share, issuable upon exercise</w:t>
            </w: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Borders>
              <w:left w:val="single" w:sz="8" w:color="auto"/>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of warrants</w:t>
            </w:r>
          </w:p>
        </w:tc>
        <w:tc>
          <w:tcPr>
            <w:tcW w:w="1000" w:type="dxa"/>
            <w:vAlign w:val="bottom"/>
            <w:tcBorders>
              <w:bottom w:val="single" w:sz="8" w:color="auto"/>
              <w:right w:val="single" w:sz="8" w:color="auto"/>
            </w:tcBorders>
          </w:tcPr>
          <w:p>
            <w:pPr>
              <w:spacing w:after="0"/>
              <w:rPr>
                <w:sz w:val="13"/>
                <w:szCs w:val="13"/>
                <w:color w:val="auto"/>
              </w:rPr>
            </w:pPr>
          </w:p>
        </w:tc>
        <w:tc>
          <w:tcPr>
            <w:tcW w:w="1380" w:type="dxa"/>
            <w:vAlign w:val="bottom"/>
            <w:tcBorders>
              <w:bottom w:val="single" w:sz="8" w:color="auto"/>
              <w:right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401" w:name="page402"/>
    <w:bookmarkEnd w:id="401"/>
    <w:p>
      <w:pPr>
        <w:ind w:left="1120" w:right="859" w:hanging="288"/>
        <w:spacing w:after="0" w:line="279" w:lineRule="auto"/>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Pursuant to Rule 416(a) of the Securities Act of 1933, as amended (the “Securities Act”), there are also being registered an indeterminable number of additional securities as may be issued to prevent dilution resulting from share splits, share dividends or similar transactions.</w:t>
      </w:r>
    </w:p>
    <w:p>
      <w:pPr>
        <w:spacing w:after="0" w:line="48" w:lineRule="exact"/>
        <w:rPr>
          <w:rFonts w:ascii="Times New Roman" w:cs="Times New Roman" w:eastAsia="Times New Roman" w:hAnsi="Times New Roman"/>
          <w:sz w:val="12"/>
          <w:szCs w:val="12"/>
          <w:color w:val="auto"/>
        </w:rPr>
      </w:pPr>
    </w:p>
    <w:p>
      <w:pPr>
        <w:ind w:left="1120" w:right="879" w:hanging="288"/>
        <w:spacing w:after="0" w:line="254" w:lineRule="auto"/>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securities listed in this table reflect the amount of securities previously registered by Scilex Holding Company, a Delaware corporation (the “Company”), on (a) the registration statement on Form S-3 (Registration No. 333-280882) filed by the Company with the Securities and Exchange Commission (the “SEC”) on July 18, 2024 and declared effective by the SEC on July 25, 2024 (the “Resale Registration Statement”) and (b) the registration statement on Form S-3 (Registration No. 333-276245) filed by the Company with the SEC on December 22, 2023 and declared effective by the SEC on January 11, 2024 (the “Shelf Registration Statement” and, together with the Resale Registration Statement, the “Original Registration Statements”)), as applicable. Accordingly, all registration fees have been paid. On April 15, 2025, the Company effected a reverse stock split of the Company’s common stock, par value $0.0001 per share (the “Common Stock”) at a ratio of 1-for-35 (the “Reverse Stock Split”). Unless otherwise noted, the share amount and maximum aggregate offering price noted in the table above reflect the effect of the Reverse Stock Split.</w:t>
      </w:r>
    </w:p>
    <w:p>
      <w:pPr>
        <w:spacing w:after="0" w:line="62" w:lineRule="exact"/>
        <w:rPr>
          <w:rFonts w:ascii="Times New Roman" w:cs="Times New Roman" w:eastAsia="Times New Roman" w:hAnsi="Times New Roman"/>
          <w:sz w:val="12"/>
          <w:szCs w:val="12"/>
          <w:color w:val="auto"/>
        </w:rPr>
      </w:pPr>
    </w:p>
    <w:p>
      <w:pPr>
        <w:jc w:val="both"/>
        <w:ind w:left="1120" w:right="999" w:hanging="288"/>
        <w:spacing w:after="0" w:line="300" w:lineRule="auto"/>
        <w:tabs>
          <w:tab w:leader="none" w:pos="1120" w:val="left"/>
        </w:tabs>
        <w:numPr>
          <w:ilvl w:val="0"/>
          <w:numId w:val="2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3,250,000 shares of Common Stock issuable upon exercise of a warrant (on a pre-Reverse Stock Split basis, as such warrant and the exercise price thereof were not subject to adjustment in connection with such split), registered for resale by the Selling Securityholder named in this registration statement. These shares were previously included in Registration Statement No. 333-280882 for which all filing fees were paid.</w:t>
      </w:r>
    </w:p>
    <w:p>
      <w:pPr>
        <w:spacing w:after="0" w:line="38" w:lineRule="exact"/>
        <w:rPr>
          <w:rFonts w:ascii="Times New Roman" w:cs="Times New Roman" w:eastAsia="Times New Roman" w:hAnsi="Times New Roman"/>
          <w:sz w:val="11"/>
          <w:szCs w:val="11"/>
          <w:color w:val="auto"/>
        </w:rPr>
      </w:pPr>
    </w:p>
    <w:p>
      <w:pPr>
        <w:ind w:left="1120" w:right="1099" w:hanging="288"/>
        <w:spacing w:after="0" w:line="265" w:lineRule="auto"/>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calculating the registration fee in accordance with Rule 457(g) under the Securities Act. The proposed maximum offering price per share and the proposed maximum aggregate offering price are based on the average of the high and low prices of Common Stock on July 15, 2024 of $1.88 (such share price does not reflect the effect of the Reverse Stock Split).</w:t>
      </w:r>
    </w:p>
    <w:p>
      <w:pPr>
        <w:spacing w:after="0" w:line="55" w:lineRule="exact"/>
        <w:rPr>
          <w:rFonts w:ascii="Times New Roman" w:cs="Times New Roman" w:eastAsia="Times New Roman" w:hAnsi="Times New Roman"/>
          <w:sz w:val="12"/>
          <w:szCs w:val="12"/>
          <w:color w:val="auto"/>
        </w:rPr>
      </w:pPr>
    </w:p>
    <w:p>
      <w:pPr>
        <w:ind w:left="1120" w:right="959" w:hanging="288"/>
        <w:spacing w:after="0" w:line="265" w:lineRule="auto"/>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108,686 shares of Common Stock issued or issuable upon exercise of warrants that were originally issued to investors pursuant to an offering that closed in March 2024. These shares were previously included in Registration Statement No. 333-276245 for which all filing fees were paid.</w:t>
      </w:r>
    </w:p>
    <w:p>
      <w:pPr>
        <w:spacing w:after="0" w:line="55" w:lineRule="exact"/>
        <w:rPr>
          <w:rFonts w:ascii="Times New Roman" w:cs="Times New Roman" w:eastAsia="Times New Roman" w:hAnsi="Times New Roman"/>
          <w:sz w:val="12"/>
          <w:szCs w:val="12"/>
          <w:color w:val="auto"/>
        </w:rPr>
      </w:pPr>
    </w:p>
    <w:p>
      <w:pPr>
        <w:ind w:left="1120" w:hanging="288"/>
        <w:spacing w:after="0"/>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calculating the registration fee in accordance with Rule 457(i) under the Securities Act.</w:t>
      </w:r>
    </w:p>
    <w:p>
      <w:pPr>
        <w:spacing w:after="0" w:line="87" w:lineRule="exact"/>
        <w:rPr>
          <w:rFonts w:ascii="Times New Roman" w:cs="Times New Roman" w:eastAsia="Times New Roman" w:hAnsi="Times New Roman"/>
          <w:sz w:val="12"/>
          <w:szCs w:val="12"/>
          <w:color w:val="auto"/>
        </w:rPr>
      </w:pPr>
    </w:p>
    <w:p>
      <w:pPr>
        <w:ind w:left="1120" w:right="899" w:hanging="288"/>
        <w:spacing w:after="0" w:line="265" w:lineRule="auto"/>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13,446 shares of Common Stock issued or issuable upon exercise of warrants that were originally issued to the placement agent pursuant to an offering that closed in March 2024. These shares were previously included in Registration Statement No. 333-276245 for which all filing fees were paid.</w:t>
      </w:r>
    </w:p>
    <w:p>
      <w:pPr>
        <w:spacing w:after="0" w:line="55" w:lineRule="exact"/>
        <w:rPr>
          <w:rFonts w:ascii="Times New Roman" w:cs="Times New Roman" w:eastAsia="Times New Roman" w:hAnsi="Times New Roman"/>
          <w:sz w:val="12"/>
          <w:szCs w:val="12"/>
          <w:color w:val="auto"/>
        </w:rPr>
      </w:pPr>
    </w:p>
    <w:p>
      <w:pPr>
        <w:ind w:left="1120" w:right="959" w:hanging="288"/>
        <w:spacing w:after="0" w:line="265" w:lineRule="auto"/>
        <w:tabs>
          <w:tab w:leader="none" w:pos="112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428,572 shares of Common Stock issuable from time to time upon exercise of warrants that were originally issued to investors pursuant to an offering that closed in April 2024. These shares were previously included in Registration Statement No. 333-276245 for which all filing fees were paid.</w:t>
      </w:r>
    </w:p>
    <w:p>
      <w:pPr>
        <w:sectPr>
          <w:pgSz w:w="11900" w:h="16838" w:orient="portrait"/>
          <w:cols w:equalWidth="0" w:num="1">
            <w:col w:w="9019"/>
          </w:cols>
          <w:pgMar w:left="1440" w:top="228" w:right="1440" w:bottom="1440" w:gutter="0" w:footer="0" w:header="0"/>
        </w:sectPr>
      </w:pPr>
    </w:p>
    <w:bookmarkStart w:id="402" w:name="page403"/>
    <w:bookmarkEnd w:id="402"/>
    <w:p>
      <w:pPr>
        <w:ind w:left="1120" w:right="1079" w:hanging="288"/>
        <w:spacing w:after="0" w:line="265" w:lineRule="auto"/>
        <w:tabs>
          <w:tab w:leader="none" w:pos="11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Consists of 34,286 shares of Common Stock issuable from time to time upon exercise of warrants that were originally issued to the placement agent pursuant to an offering that closed in April 2024. These shares were previously included in Registration Statement No. 333-276245 for which all filing fees were paid.</w:t>
      </w:r>
    </w:p>
    <w:p>
      <w:pPr>
        <w:spacing w:after="0" w:line="55" w:lineRule="exact"/>
        <w:rPr>
          <w:rFonts w:ascii="Times New Roman" w:cs="Times New Roman" w:eastAsia="Times New Roman" w:hAnsi="Times New Roman"/>
          <w:sz w:val="12"/>
          <w:szCs w:val="12"/>
          <w:color w:val="auto"/>
        </w:rPr>
      </w:pPr>
    </w:p>
    <w:p>
      <w:pPr>
        <w:ind w:left="1120" w:right="959" w:hanging="288"/>
        <w:spacing w:after="0" w:line="265" w:lineRule="auto"/>
        <w:tabs>
          <w:tab w:leader="none" w:pos="11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an aggregate of 319,132 shares of Common Stock issuable from time to time upon exercise of warrants that were originally issued to investors and the placement agent pursuant to an offering that closed in October 2024. These shares were previously included in Registration Statement No. 333-276245 for which all filing fees were paid.</w:t>
      </w:r>
    </w:p>
    <w:p>
      <w:pPr>
        <w:spacing w:after="0" w:line="55" w:lineRule="exact"/>
        <w:rPr>
          <w:rFonts w:ascii="Times New Roman" w:cs="Times New Roman" w:eastAsia="Times New Roman" w:hAnsi="Times New Roman"/>
          <w:sz w:val="12"/>
          <w:szCs w:val="12"/>
          <w:color w:val="auto"/>
        </w:rPr>
      </w:pPr>
    </w:p>
    <w:p>
      <w:pPr>
        <w:ind w:left="1120" w:right="839" w:hanging="288"/>
        <w:spacing w:after="0" w:line="265" w:lineRule="auto"/>
        <w:tabs>
          <w:tab w:leader="none" w:pos="11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914,823 shares of Common Stock issuable upon conversion of senior secured convertible notes, that were originally issued to investors pursuant to an offering that closed in October 2024. These shares were previously included in Registration Statement No. 333-276245 for which all filing fees were paid.</w:t>
      </w:r>
    </w:p>
    <w:p>
      <w:pPr>
        <w:spacing w:after="0" w:line="55" w:lineRule="exact"/>
        <w:rPr>
          <w:rFonts w:ascii="Times New Roman" w:cs="Times New Roman" w:eastAsia="Times New Roman" w:hAnsi="Times New Roman"/>
          <w:sz w:val="12"/>
          <w:szCs w:val="12"/>
          <w:color w:val="auto"/>
        </w:rPr>
      </w:pPr>
    </w:p>
    <w:p>
      <w:pPr>
        <w:ind w:left="1120" w:right="899" w:hanging="288"/>
        <w:spacing w:after="0" w:line="279" w:lineRule="auto"/>
        <w:tabs>
          <w:tab w:leader="none" w:pos="11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calculating the registration fee in accordance with Rule 457(i) under the Securities Act based on the aggregate purchase price for all senior secured convertible notes issued in the October 2024 offering.</w:t>
      </w:r>
    </w:p>
    <w:p>
      <w:pPr>
        <w:spacing w:after="0" w:line="48" w:lineRule="exact"/>
        <w:rPr>
          <w:rFonts w:ascii="Times New Roman" w:cs="Times New Roman" w:eastAsia="Times New Roman" w:hAnsi="Times New Roman"/>
          <w:sz w:val="12"/>
          <w:szCs w:val="12"/>
          <w:color w:val="auto"/>
        </w:rPr>
      </w:pPr>
    </w:p>
    <w:p>
      <w:pPr>
        <w:ind w:left="1120" w:right="859" w:hanging="288"/>
        <w:spacing w:after="0" w:line="265" w:lineRule="auto"/>
        <w:tabs>
          <w:tab w:leader="none" w:pos="11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1,642,841 shares of Common Stock issuable from time to time upon exercise of warrants that were originally issued to investors pursuant to an offering that closed in December 2024. These shares were previously included in Registration Statement No. 333-276245 for which all filing fees were paid.</w:t>
      </w:r>
    </w:p>
    <w:p>
      <w:pPr>
        <w:spacing w:after="0" w:line="55" w:lineRule="exact"/>
        <w:rPr>
          <w:rFonts w:ascii="Times New Roman" w:cs="Times New Roman" w:eastAsia="Times New Roman" w:hAnsi="Times New Roman"/>
          <w:sz w:val="12"/>
          <w:szCs w:val="12"/>
          <w:color w:val="auto"/>
        </w:rPr>
      </w:pPr>
    </w:p>
    <w:p>
      <w:pPr>
        <w:ind w:left="1120" w:right="1139" w:hanging="288"/>
        <w:spacing w:after="0" w:line="265" w:lineRule="auto"/>
        <w:tabs>
          <w:tab w:leader="none" w:pos="11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131,472 shares of Common Stock issuable from time to time upon exercise of warrants that were originally issued to StockBlock Securities LLC pursuant to an offering that closed in December 2024. These shares were previously included in Registration Statement No. 333-276245 for which all filing fees were paid.</w:t>
      </w:r>
    </w:p>
    <w:sectPr>
      <w:pgSz w:w="11900" w:h="16838" w:orient="portrait"/>
      <w:cols w:equalWidth="0" w:num="1">
        <w:col w:w="9019"/>
      </w:cols>
      <w:pgMar w:left="1440" w:top="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FBFE8E0"/>
    <w:multiLevelType w:val="hybridMultilevel"/>
    <w:lvl w:ilvl="0">
      <w:lvlJc w:val="left"/>
      <w:lvlText w:val="•"/>
      <w:numFmt w:val="bullet"/>
      <w:start w:val="1"/>
    </w:lvl>
  </w:abstractNum>
  <w:abstractNum w:abstractNumId="1">
    <w:nsid w:val="5092CA79"/>
    <w:multiLevelType w:val="hybridMultilevel"/>
    <w:lvl w:ilvl="0">
      <w:lvlJc w:val="left"/>
      <w:lvlText w:val="(%1)"/>
      <w:numFmt w:val="lowerLetter"/>
      <w:start w:val="1"/>
    </w:lvl>
    <w:lvl w:ilvl="1">
      <w:lvlJc w:val="left"/>
      <w:lvlText w:val="(%2)"/>
      <w:numFmt w:val="lowerRoman"/>
      <w:start w:val="1"/>
    </w:lvl>
  </w:abstractNum>
  <w:abstractNum w:abstractNumId="2">
    <w:nsid w:val="1D545C4D"/>
    <w:multiLevelType w:val="hybridMultilevel"/>
    <w:lvl w:ilvl="0">
      <w:lvlJc w:val="left"/>
      <w:lvlText w:val="(%1)"/>
      <w:numFmt w:val="lowerRoman"/>
      <w:start w:val="1"/>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
      <w:numFmt w:val="bullet"/>
      <w:start w:val="1"/>
    </w:lvl>
  </w:abstractNum>
  <w:abstractNum w:abstractNumId="7">
    <w:nsid w:val="97E1B4E"/>
    <w:multiLevelType w:val="hybridMultilevel"/>
    <w:lvl w:ilvl="0">
      <w:lvlJc w:val="left"/>
      <w:lvlText w:val="•"/>
      <w:numFmt w:val="bullet"/>
      <w:start w:val="1"/>
    </w:lvl>
  </w:abstractNum>
  <w:abstractNum w:abstractNumId="8">
    <w:nsid w:val="51088277"/>
    <w:multiLevelType w:val="hybridMultilevel"/>
    <w:lvl w:ilvl="0">
      <w:lvlJc w:val="left"/>
      <w:lvlText w:val="•"/>
      <w:numFmt w:val="bullet"/>
      <w:start w:val="1"/>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1)"/>
      <w:numFmt w:val="lowerRoman"/>
      <w:start w:val="2"/>
    </w:lvl>
  </w:abstractNum>
  <w:abstractNum w:abstractNumId="11">
    <w:nsid w:val="415E286C"/>
    <w:multiLevelType w:val="hybridMultilevel"/>
    <w:lvl w:ilvl="0">
      <w:lvlJc w:val="left"/>
      <w:lvlText w:val="(%1)"/>
      <w:numFmt w:val="lowerRoman"/>
      <w:start w:val="2"/>
    </w:lvl>
  </w:abstractNum>
  <w:abstractNum w:abstractNumId="12">
    <w:nsid w:val="7C58FD05"/>
    <w:multiLevelType w:val="hybridMultilevel"/>
    <w:lvl w:ilvl="0">
      <w:lvlJc w:val="left"/>
      <w:lvlText w:val="(%1)"/>
      <w:numFmt w:val="lowerRoman"/>
      <w:start w:val="2"/>
    </w:lvl>
  </w:abstractNum>
  <w:abstractNum w:abstractNumId="13">
    <w:nsid w:val="23D86AAC"/>
    <w:multiLevelType w:val="hybridMultilevel"/>
    <w:lvl w:ilvl="0">
      <w:lvlJc w:val="left"/>
      <w:lvlText w:val="•"/>
      <w:numFmt w:val="bullet"/>
      <w:start w:val="1"/>
    </w:lvl>
  </w:abstractNum>
  <w:abstractNum w:abstractNumId="14">
    <w:nsid w:val="45E6D486"/>
    <w:multiLevelType w:val="hybridMultilevel"/>
    <w:lvl w:ilvl="0">
      <w:lvlJc w:val="left"/>
      <w:lvlText w:val="•"/>
      <w:numFmt w:val="bullet"/>
      <w:start w:val="1"/>
    </w:lvl>
  </w:abstractNum>
  <w:abstractNum w:abstractNumId="15">
    <w:nsid w:val="5C10FE21"/>
    <w:multiLevelType w:val="hybridMultilevel"/>
    <w:lvl w:ilvl="0">
      <w:lvlJc w:val="left"/>
      <w:lvlText w:val="•"/>
      <w:numFmt w:val="bullet"/>
      <w:start w:val="1"/>
    </w:lvl>
  </w:abstractNum>
  <w:abstractNum w:abstractNumId="16">
    <w:nsid w:val="E7FFA2B"/>
    <w:multiLevelType w:val="hybridMultilevel"/>
    <w:lvl w:ilvl="0">
      <w:lvlJc w:val="left"/>
      <w:lvlText w:val="•"/>
      <w:numFmt w:val="bullet"/>
      <w:start w:val="1"/>
    </w:lvl>
  </w:abstractNum>
  <w:abstractNum w:abstractNumId="17">
    <w:nsid w:val="3C5991AA"/>
    <w:multiLevelType w:val="hybridMultilevel"/>
    <w:lvl w:ilvl="0">
      <w:lvlJc w:val="left"/>
      <w:lvlText w:val="•"/>
      <w:numFmt w:val="bullet"/>
      <w:start w:val="1"/>
    </w:lvl>
  </w:abstractNum>
  <w:abstractNum w:abstractNumId="18">
    <w:nsid w:val="4BD8591A"/>
    <w:multiLevelType w:val="hybridMultilevel"/>
    <w:lvl w:ilvl="0">
      <w:lvlJc w:val="left"/>
      <w:lvlText w:val="•"/>
      <w:numFmt w:val="bullet"/>
      <w:start w:val="1"/>
    </w:lvl>
  </w:abstractNum>
  <w:abstractNum w:abstractNumId="19">
    <w:nsid w:val="78DF6A55"/>
    <w:multiLevelType w:val="hybridMultilevel"/>
    <w:lvl w:ilvl="0">
      <w:lvlJc w:val="left"/>
      <w:lvlText w:val="•"/>
      <w:numFmt w:val="bullet"/>
      <w:start w:val="1"/>
    </w:lvl>
  </w:abstractNum>
  <w:abstractNum w:abstractNumId="20">
    <w:nsid w:val="39B7AAA2"/>
    <w:multiLevelType w:val="hybridMultilevel"/>
    <w:lvl w:ilvl="0">
      <w:lvlJc w:val="left"/>
      <w:lvlText w:val="•"/>
      <w:numFmt w:val="bullet"/>
      <w:start w:val="1"/>
    </w:lvl>
  </w:abstractNum>
  <w:abstractNum w:abstractNumId="21">
    <w:nsid w:val="2B0D8DBE"/>
    <w:multiLevelType w:val="hybridMultilevel"/>
    <w:lvl w:ilvl="0">
      <w:lvlJc w:val="left"/>
      <w:lvlText w:val="(%1)"/>
      <w:numFmt w:val="lowerLetter"/>
      <w:start w:val="1"/>
    </w:lvl>
  </w:abstractNum>
  <w:abstractNum w:abstractNumId="22">
    <w:nsid w:val="6C80EC70"/>
    <w:multiLevelType w:val="hybridMultilevel"/>
    <w:lvl w:ilvl="0">
      <w:lvlJc w:val="left"/>
      <w:lvlText w:val="(%1)"/>
      <w:numFmt w:val="lowerLetter"/>
      <w:start w:val="2"/>
    </w:lvl>
  </w:abstractNum>
  <w:abstractNum w:abstractNumId="23">
    <w:nsid w:val="379E21B5"/>
    <w:multiLevelType w:val="hybridMultilevel"/>
    <w:lvl w:ilvl="0">
      <w:lvlJc w:val="left"/>
      <w:lvlText w:val="(%1)"/>
      <w:numFmt w:val="decimal"/>
      <w:start w:val="1"/>
    </w:lvl>
    <w:lvl w:ilvl="1">
      <w:lvlJc w:val="left"/>
      <w:lvlText w:val="•"/>
      <w:numFmt w:val="bullet"/>
      <w:start w:val="1"/>
    </w:lvl>
  </w:abstractNum>
  <w:abstractNum w:abstractNumId="24">
    <w:nsid w:val="69E373"/>
    <w:multiLevelType w:val="hybridMultilevel"/>
    <w:lvl w:ilvl="0">
      <w:lvlJc w:val="left"/>
      <w:lvlText w:val="•"/>
      <w:numFmt w:val="bullet"/>
      <w:start w:val="1"/>
    </w:lvl>
  </w:abstractNum>
  <w:abstractNum w:abstractNumId="25">
    <w:nsid w:val="2C27173B"/>
    <w:multiLevelType w:val="hybridMultilevel"/>
    <w:lvl w:ilvl="0">
      <w:lvlJc w:val="left"/>
      <w:lvlText w:val="•"/>
      <w:numFmt w:val="bullet"/>
      <w:start w:val="1"/>
    </w:lvl>
  </w:abstractNum>
  <w:abstractNum w:abstractNumId="26">
    <w:nsid w:val="4C9B0904"/>
    <w:multiLevelType w:val="hybridMultilevel"/>
    <w:lvl w:ilvl="0">
      <w:lvlJc w:val="left"/>
      <w:lvlText w:val="•"/>
      <w:numFmt w:val="bullet"/>
      <w:start w:val="1"/>
    </w:lvl>
  </w:abstractNum>
  <w:abstractNum w:abstractNumId="27">
    <w:nsid w:val="6AA7B75C"/>
    <w:multiLevelType w:val="hybridMultilevel"/>
    <w:lvl w:ilvl="0">
      <w:lvlJc w:val="left"/>
      <w:lvlText w:val="•"/>
      <w:numFmt w:val="bullet"/>
      <w:start w:val="1"/>
    </w:lvl>
  </w:abstractNum>
  <w:abstractNum w:abstractNumId="28">
    <w:nsid w:val="1DF029D3"/>
    <w:multiLevelType w:val="hybridMultilevel"/>
    <w:lvl w:ilvl="0">
      <w:lvlJc w:val="left"/>
      <w:lvlText w:val="•"/>
      <w:numFmt w:val="bullet"/>
      <w:start w:val="1"/>
    </w:lvl>
  </w:abstractNum>
  <w:abstractNum w:abstractNumId="29">
    <w:nsid w:val="5675FF36"/>
    <w:multiLevelType w:val="hybridMultilevel"/>
    <w:lvl w:ilvl="0">
      <w:lvlJc w:val="left"/>
      <w:lvlText w:val="•"/>
      <w:numFmt w:val="bullet"/>
      <w:start w:val="1"/>
    </w:lvl>
  </w:abstractNum>
  <w:abstractNum w:abstractNumId="30">
    <w:nsid w:val="3DD15094"/>
    <w:multiLevelType w:val="hybridMultilevel"/>
    <w:lvl w:ilvl="0">
      <w:lvlJc w:val="left"/>
      <w:lvlText w:val="•"/>
      <w:numFmt w:val="bullet"/>
      <w:start w:val="1"/>
    </w:lvl>
  </w:abstractNum>
  <w:abstractNum w:abstractNumId="31">
    <w:nsid w:val="3DB012B3"/>
    <w:multiLevelType w:val="hybridMultilevel"/>
    <w:lvl w:ilvl="0">
      <w:lvlJc w:val="left"/>
      <w:lvlText w:val="(%1)"/>
      <w:numFmt w:val="lowerLetter"/>
      <w:start w:val="3"/>
    </w:lvl>
  </w:abstractNum>
  <w:abstractNum w:abstractNumId="32">
    <w:nsid w:val="2708C9AF"/>
    <w:multiLevelType w:val="hybridMultilevel"/>
    <w:lvl w:ilvl="0">
      <w:lvlJc w:val="left"/>
      <w:lvlText w:val="(%1)"/>
      <w:numFmt w:val="decimal"/>
      <w:start w:val="1"/>
    </w:lvl>
  </w:abstractNum>
  <w:abstractNum w:abstractNumId="33">
    <w:nsid w:val="5B25ACE2"/>
    <w:multiLevelType w:val="hybridMultilevel"/>
    <w:lvl w:ilvl="0">
      <w:lvlJc w:val="left"/>
      <w:lvlText w:val="•"/>
      <w:numFmt w:val="bullet"/>
      <w:start w:val="1"/>
    </w:lvl>
  </w:abstractNum>
  <w:abstractNum w:abstractNumId="34">
    <w:nsid w:val="175DFCF0"/>
    <w:multiLevelType w:val="hybridMultilevel"/>
    <w:lvl w:ilvl="0">
      <w:lvlJc w:val="left"/>
      <w:lvlText w:val="•"/>
      <w:numFmt w:val="bullet"/>
      <w:start w:val="1"/>
    </w:lvl>
  </w:abstractNum>
  <w:abstractNum w:abstractNumId="35">
    <w:nsid w:val="4F97E3E4"/>
    <w:multiLevelType w:val="hybridMultilevel"/>
    <w:lvl w:ilvl="0">
      <w:lvlJc w:val="left"/>
      <w:lvlText w:val="•"/>
      <w:numFmt w:val="bullet"/>
      <w:start w:val="1"/>
    </w:lvl>
  </w:abstractNum>
  <w:abstractNum w:abstractNumId="36">
    <w:nsid w:val="53B0A9E"/>
    <w:multiLevelType w:val="hybridMultilevel"/>
    <w:lvl w:ilvl="0">
      <w:lvlJc w:val="left"/>
      <w:lvlText w:val="•"/>
      <w:numFmt w:val="bullet"/>
      <w:start w:val="1"/>
    </w:lvl>
  </w:abstractNum>
  <w:abstractNum w:abstractNumId="37">
    <w:nsid w:val="34FD6B4F"/>
    <w:multiLevelType w:val="hybridMultilevel"/>
    <w:lvl w:ilvl="0">
      <w:lvlJc w:val="left"/>
      <w:lvlText w:val="•"/>
      <w:numFmt w:val="bullet"/>
      <w:start w:val="1"/>
    </w:lvl>
  </w:abstractNum>
  <w:abstractNum w:abstractNumId="38">
    <w:nsid w:val="5915FF32"/>
    <w:multiLevelType w:val="hybridMultilevel"/>
    <w:lvl w:ilvl="0">
      <w:lvlJc w:val="left"/>
      <w:lvlText w:val="•"/>
      <w:numFmt w:val="bullet"/>
      <w:start w:val="1"/>
    </w:lvl>
  </w:abstractNum>
  <w:abstractNum w:abstractNumId="39">
    <w:nsid w:val="56438D15"/>
    <w:multiLevelType w:val="hybridMultilevel"/>
    <w:lvl w:ilvl="0">
      <w:lvlJc w:val="left"/>
      <w:lvlText w:val="•"/>
      <w:numFmt w:val="bullet"/>
      <w:start w:val="1"/>
    </w:lvl>
  </w:abstractNum>
  <w:abstractNum w:abstractNumId="40">
    <w:nsid w:val="519E3149"/>
    <w:multiLevelType w:val="hybridMultilevel"/>
    <w:lvl w:ilvl="0">
      <w:lvlJc w:val="left"/>
      <w:lvlText w:val="(%1)"/>
      <w:numFmt w:val="decimal"/>
      <w:start w:val="3"/>
    </w:lvl>
  </w:abstractNum>
  <w:abstractNum w:abstractNumId="41">
    <w:nsid w:val="2C6E4AFD"/>
    <w:multiLevelType w:val="hybridMultilevel"/>
    <w:lvl w:ilvl="0">
      <w:lvlJc w:val="left"/>
      <w:lvlText w:val="(%1)"/>
      <w:numFmt w:val="lowerLetter"/>
      <w:start w:val="3"/>
    </w:lvl>
  </w:abstractNum>
  <w:abstractNum w:abstractNumId="42">
    <w:nsid w:val="17A1B582"/>
    <w:multiLevelType w:val="hybridMultilevel"/>
    <w:lvl w:ilvl="0">
      <w:lvlJc w:val="left"/>
      <w:lvlText w:val="(%1)"/>
      <w:numFmt w:val="lowerLetter"/>
      <w:start w:val="9"/>
    </w:lvl>
  </w:abstractNum>
  <w:abstractNum w:abstractNumId="43">
    <w:nsid w:val="4DF72E4E"/>
    <w:multiLevelType w:val="hybridMultilevel"/>
    <w:lvl w:ilvl="0">
      <w:lvlJc w:val="left"/>
      <w:lvlText w:val="(%1)"/>
      <w:numFmt w:val="lowerLetter"/>
      <w:start w:val="2"/>
    </w:lvl>
  </w:abstractNum>
  <w:abstractNum w:abstractNumId="44">
    <w:nsid w:val="5046B5A9"/>
    <w:multiLevelType w:val="hybridMultilevel"/>
    <w:lvl w:ilvl="0">
      <w:lvlJc w:val="left"/>
      <w:lvlText w:val="•"/>
      <w:numFmt w:val="bullet"/>
      <w:start w:val="1"/>
    </w:lvl>
  </w:abstractNum>
  <w:abstractNum w:abstractNumId="45">
    <w:nsid w:val="5D888A08"/>
    <w:multiLevelType w:val="hybridMultilevel"/>
    <w:lvl w:ilvl="0">
      <w:lvlJc w:val="left"/>
      <w:lvlText w:val="•"/>
      <w:numFmt w:val="bullet"/>
      <w:start w:val="1"/>
    </w:lvl>
  </w:abstractNum>
  <w:abstractNum w:abstractNumId="46">
    <w:nsid w:val="2A082C70"/>
    <w:multiLevelType w:val="hybridMultilevel"/>
    <w:lvl w:ilvl="0">
      <w:lvlJc w:val="left"/>
      <w:lvlText w:val="•"/>
      <w:numFmt w:val="bullet"/>
      <w:start w:val="1"/>
    </w:lvl>
  </w:abstractNum>
  <w:abstractNum w:abstractNumId="47">
    <w:nsid w:val="5EC6AFD4"/>
    <w:multiLevelType w:val="hybridMultilevel"/>
    <w:lvl w:ilvl="0">
      <w:lvlJc w:val="left"/>
      <w:lvlText w:val="•"/>
      <w:numFmt w:val="bullet"/>
      <w:start w:val="1"/>
    </w:lvl>
  </w:abstractNum>
  <w:abstractNum w:abstractNumId="48">
    <w:nsid w:val="19E21BB2"/>
    <w:multiLevelType w:val="hybridMultilevel"/>
    <w:lvl w:ilvl="0">
      <w:lvlJc w:val="left"/>
      <w:lvlText w:val="•"/>
      <w:numFmt w:val="bullet"/>
      <w:start w:val="1"/>
    </w:lvl>
  </w:abstractNum>
  <w:abstractNum w:abstractNumId="49">
    <w:nsid w:val="75E0858A"/>
    <w:multiLevelType w:val="hybridMultilevel"/>
    <w:lvl w:ilvl="0">
      <w:lvlJc w:val="left"/>
      <w:lvlText w:val="•"/>
      <w:numFmt w:val="bullet"/>
      <w:start w:val="1"/>
    </w:lvl>
  </w:abstractNum>
  <w:abstractNum w:abstractNumId="50">
    <w:nsid w:val="57A61A29"/>
    <w:multiLevelType w:val="hybridMultilevel"/>
    <w:lvl w:ilvl="0">
      <w:lvlJc w:val="left"/>
      <w:lvlText w:val="•"/>
      <w:numFmt w:val="bullet"/>
      <w:start w:val="1"/>
    </w:lvl>
  </w:abstractNum>
  <w:abstractNum w:abstractNumId="51">
    <w:nsid w:val="5399C654"/>
    <w:multiLevelType w:val="hybridMultilevel"/>
    <w:lvl w:ilvl="0">
      <w:lvlJc w:val="left"/>
      <w:lvlText w:val="•"/>
      <w:numFmt w:val="bullet"/>
      <w:start w:val="1"/>
    </w:lvl>
  </w:abstractNum>
  <w:abstractNum w:abstractNumId="52">
    <w:nsid w:val="20EE1348"/>
    <w:multiLevelType w:val="hybridMultilevel"/>
    <w:lvl w:ilvl="0">
      <w:lvlJc w:val="left"/>
      <w:lvlText w:val="•"/>
      <w:numFmt w:val="bullet"/>
      <w:start w:val="1"/>
    </w:lvl>
  </w:abstractNum>
  <w:abstractNum w:abstractNumId="53">
    <w:nsid w:val="4427069A"/>
    <w:multiLevelType w:val="hybridMultilevel"/>
    <w:lvl w:ilvl="0">
      <w:lvlJc w:val="left"/>
      <w:lvlText w:val="•"/>
      <w:numFmt w:val="bullet"/>
      <w:start w:val="1"/>
    </w:lvl>
  </w:abstractNum>
  <w:abstractNum w:abstractNumId="54">
    <w:nsid w:val="B37E80A"/>
    <w:multiLevelType w:val="hybridMultilevel"/>
    <w:lvl w:ilvl="0">
      <w:lvlJc w:val="left"/>
      <w:lvlText w:val="•"/>
      <w:numFmt w:val="bullet"/>
      <w:start w:val="1"/>
    </w:lvl>
  </w:abstractNum>
  <w:abstractNum w:abstractNumId="55">
    <w:nsid w:val="2157F6BC"/>
    <w:multiLevelType w:val="hybridMultilevel"/>
    <w:lvl w:ilvl="0">
      <w:lvlJc w:val="left"/>
      <w:lvlText w:val="•"/>
      <w:numFmt w:val="bullet"/>
      <w:start w:val="1"/>
    </w:lvl>
  </w:abstractNum>
  <w:abstractNum w:abstractNumId="56">
    <w:nsid w:val="704E1DD5"/>
    <w:multiLevelType w:val="hybridMultilevel"/>
    <w:lvl w:ilvl="0">
      <w:lvlJc w:val="left"/>
      <w:lvlText w:val="•"/>
      <w:numFmt w:val="bullet"/>
      <w:start w:val="1"/>
    </w:lvl>
  </w:abstractNum>
  <w:abstractNum w:abstractNumId="57">
    <w:nsid w:val="57D2F10E"/>
    <w:multiLevelType w:val="hybridMultilevel"/>
    <w:lvl w:ilvl="0">
      <w:lvlJc w:val="left"/>
      <w:lvlText w:val="•"/>
      <w:numFmt w:val="bullet"/>
      <w:start w:val="1"/>
    </w:lvl>
  </w:abstractNum>
  <w:abstractNum w:abstractNumId="58">
    <w:nsid w:val="BFFAE18"/>
    <w:multiLevelType w:val="hybridMultilevel"/>
    <w:lvl w:ilvl="0">
      <w:lvlJc w:val="left"/>
      <w:lvlText w:val="•"/>
      <w:numFmt w:val="bullet"/>
      <w:start w:val="1"/>
    </w:lvl>
  </w:abstractNum>
  <w:abstractNum w:abstractNumId="59">
    <w:nsid w:val="E3E47A8"/>
    <w:multiLevelType w:val="hybridMultilevel"/>
    <w:lvl w:ilvl="0">
      <w:lvlJc w:val="left"/>
      <w:lvlText w:val="•"/>
      <w:numFmt w:val="bullet"/>
      <w:start w:val="1"/>
    </w:lvl>
  </w:abstractNum>
  <w:abstractNum w:abstractNumId="60">
    <w:nsid w:val="2E48F044"/>
    <w:multiLevelType w:val="hybridMultilevel"/>
    <w:lvl w:ilvl="0">
      <w:lvlJc w:val="left"/>
      <w:lvlText w:val="•"/>
      <w:numFmt w:val="bullet"/>
      <w:start w:val="1"/>
    </w:lvl>
  </w:abstractNum>
  <w:abstractNum w:abstractNumId="61">
    <w:nsid w:val="49D0FEAC"/>
    <w:multiLevelType w:val="hybridMultilevel"/>
    <w:lvl w:ilvl="0">
      <w:lvlJc w:val="left"/>
      <w:lvlText w:val="•"/>
      <w:numFmt w:val="bullet"/>
      <w:start w:val="1"/>
    </w:lvl>
  </w:abstractNum>
  <w:abstractNum w:abstractNumId="62">
    <w:nsid w:val="4BEE5A5B"/>
    <w:multiLevelType w:val="hybridMultilevel"/>
    <w:lvl w:ilvl="0">
      <w:lvlJc w:val="left"/>
      <w:lvlText w:val="(%1)"/>
      <w:numFmt w:val="lowerRoman"/>
      <w:start w:val="3"/>
    </w:lvl>
  </w:abstractNum>
  <w:abstractNum w:abstractNumId="63">
    <w:nsid w:val="5551B9F3"/>
    <w:multiLevelType w:val="hybridMultilevel"/>
    <w:lvl w:ilvl="0">
      <w:lvlJc w:val="left"/>
      <w:lvlText w:val="(%1)"/>
      <w:numFmt w:val="lowerRoman"/>
      <w:start w:val="5"/>
    </w:lvl>
  </w:abstractNum>
  <w:abstractNum w:abstractNumId="64">
    <w:nsid w:val="24F6AB8E"/>
    <w:multiLevelType w:val="hybridMultilevel"/>
    <w:lvl w:ilvl="0">
      <w:lvlJc w:val="left"/>
      <w:lvlText w:val="(%1)"/>
      <w:numFmt w:val="decimal"/>
      <w:start w:val="1"/>
    </w:lvl>
  </w:abstractNum>
  <w:abstractNum w:abstractNumId="65">
    <w:nsid w:val="634C574C"/>
    <w:multiLevelType w:val="hybridMultilevel"/>
    <w:lvl w:ilvl="0">
      <w:lvlJc w:val="left"/>
      <w:lvlText w:val="(%1)"/>
      <w:numFmt w:val="decimal"/>
      <w:start w:val="1"/>
    </w:lvl>
  </w:abstractNum>
  <w:abstractNum w:abstractNumId="66">
    <w:nsid w:val="24E99DD7"/>
    <w:multiLevelType w:val="hybridMultilevel"/>
    <w:lvl w:ilvl="0">
      <w:lvlJc w:val="left"/>
      <w:lvlText w:val="(%1)"/>
      <w:numFmt w:val="lowerRoman"/>
      <w:start w:val="2"/>
    </w:lvl>
  </w:abstractNum>
  <w:abstractNum w:abstractNumId="67">
    <w:nsid w:val="2A31B62D"/>
    <w:multiLevelType w:val="hybridMultilevel"/>
    <w:lvl w:ilvl="0">
      <w:lvlJc w:val="left"/>
      <w:lvlText w:val="(%1)"/>
      <w:numFmt w:val="lowerRoman"/>
      <w:start w:val="2"/>
    </w:lvl>
  </w:abstractNum>
  <w:abstractNum w:abstractNumId="68">
    <w:nsid w:val="1849C29B"/>
    <w:multiLevelType w:val="hybridMultilevel"/>
    <w:lvl w:ilvl="0">
      <w:lvlJc w:val="left"/>
      <w:lvlText w:val="•"/>
      <w:numFmt w:val="bullet"/>
      <w:start w:val="1"/>
    </w:lvl>
  </w:abstractNum>
  <w:abstractNum w:abstractNumId="69">
    <w:nsid w:val="7DFF9D09"/>
    <w:multiLevelType w:val="hybridMultilevel"/>
    <w:lvl w:ilvl="0">
      <w:lvlJc w:val="left"/>
      <w:lvlText w:val="•"/>
      <w:numFmt w:val="bullet"/>
      <w:start w:val="1"/>
    </w:lvl>
  </w:abstractNum>
  <w:abstractNum w:abstractNumId="70">
    <w:nsid w:val="754342"/>
    <w:multiLevelType w:val="hybridMultilevel"/>
    <w:lvl w:ilvl="0">
      <w:lvlJc w:val="left"/>
      <w:lvlText w:val="•"/>
      <w:numFmt w:val="bullet"/>
      <w:start w:val="1"/>
    </w:lvl>
  </w:abstractNum>
  <w:abstractNum w:abstractNumId="71">
    <w:nsid w:val="69E7F3E5"/>
    <w:multiLevelType w:val="hybridMultilevel"/>
    <w:lvl w:ilvl="0">
      <w:lvlJc w:val="left"/>
      <w:lvlText w:val="•"/>
      <w:numFmt w:val="bullet"/>
      <w:start w:val="1"/>
    </w:lvl>
  </w:abstractNum>
  <w:abstractNum w:abstractNumId="72">
    <w:nsid w:val="2A6DE806"/>
    <w:multiLevelType w:val="hybridMultilevel"/>
    <w:lvl w:ilvl="0">
      <w:lvlJc w:val="left"/>
      <w:lvlText w:val="•"/>
      <w:numFmt w:val="bullet"/>
      <w:start w:val="1"/>
    </w:lvl>
  </w:abstractNum>
  <w:abstractNum w:abstractNumId="73">
    <w:nsid w:val="1816F8C4"/>
    <w:multiLevelType w:val="hybridMultilevel"/>
    <w:lvl w:ilvl="0">
      <w:lvlJc w:val="left"/>
      <w:lvlText w:val="•"/>
      <w:numFmt w:val="bullet"/>
      <w:start w:val="1"/>
    </w:lvl>
    <w:lvl w:ilvl="1">
      <w:lvlJc w:val="left"/>
      <w:lvlText w:val="•"/>
      <w:numFmt w:val="bullet"/>
      <w:start w:val="1"/>
    </w:lvl>
  </w:abstractNum>
  <w:abstractNum w:abstractNumId="74">
    <w:nsid w:val="37DF2233"/>
    <w:multiLevelType w:val="hybridMultilevel"/>
    <w:lvl w:ilvl="0">
      <w:lvlJc w:val="left"/>
      <w:lvlText w:val="•"/>
      <w:numFmt w:val="bullet"/>
      <w:start w:val="1"/>
    </w:lvl>
    <w:lvl w:ilvl="1">
      <w:lvlJc w:val="left"/>
      <w:lvlText w:val="•"/>
      <w:numFmt w:val="bullet"/>
      <w:start w:val="1"/>
    </w:lvl>
  </w:abstractNum>
  <w:abstractNum w:abstractNumId="75">
    <w:nsid w:val="7AB49DAF"/>
    <w:multiLevelType w:val="hybridMultilevel"/>
    <w:lvl w:ilvl="0">
      <w:lvlJc w:val="left"/>
      <w:lvlText w:val="•"/>
      <w:numFmt w:val="bullet"/>
      <w:start w:val="1"/>
    </w:lvl>
  </w:abstractNum>
  <w:abstractNum w:abstractNumId="76">
    <w:nsid w:val="759F82CD"/>
    <w:multiLevelType w:val="hybridMultilevel"/>
    <w:lvl w:ilvl="0">
      <w:lvlJc w:val="left"/>
      <w:lvlText w:val="(%1)"/>
      <w:numFmt w:val="lowerRoman"/>
      <w:start w:val="2"/>
    </w:lvl>
  </w:abstractNum>
  <w:abstractNum w:abstractNumId="77">
    <w:nsid w:val="61E74EA3"/>
    <w:multiLevelType w:val="hybridMultilevel"/>
    <w:lvl w:ilvl="0">
      <w:lvlJc w:val="left"/>
      <w:lvlText w:val="•"/>
      <w:numFmt w:val="bullet"/>
      <w:start w:val="1"/>
    </w:lvl>
  </w:abstractNum>
  <w:abstractNum w:abstractNumId="78">
    <w:nsid w:val="597B4D84"/>
    <w:multiLevelType w:val="hybridMultilevel"/>
    <w:lvl w:ilvl="0">
      <w:lvlJc w:val="left"/>
      <w:lvlText w:val="•"/>
      <w:numFmt w:val="bullet"/>
      <w:start w:val="1"/>
    </w:lvl>
  </w:abstractNum>
  <w:abstractNum w:abstractNumId="79">
    <w:nsid w:val="F819E7F"/>
    <w:multiLevelType w:val="hybridMultilevel"/>
    <w:lvl w:ilvl="0">
      <w:lvlJc w:val="left"/>
      <w:lvlText w:val="•"/>
      <w:numFmt w:val="bullet"/>
      <w:start w:val="1"/>
    </w:lvl>
  </w:abstractNum>
  <w:abstractNum w:abstractNumId="80">
    <w:nsid w:val="57C7D42D"/>
    <w:multiLevelType w:val="hybridMultilevel"/>
    <w:lvl w:ilvl="0">
      <w:lvlJc w:val="left"/>
      <w:lvlText w:val="•"/>
      <w:numFmt w:val="bullet"/>
      <w:start w:val="1"/>
    </w:lvl>
  </w:abstractNum>
  <w:abstractNum w:abstractNumId="81">
    <w:nsid w:val="312167AD"/>
    <w:multiLevelType w:val="hybridMultilevel"/>
    <w:lvl w:ilvl="0">
      <w:lvlJc w:val="left"/>
      <w:lvlText w:val="•"/>
      <w:numFmt w:val="bullet"/>
      <w:start w:val="1"/>
    </w:lvl>
  </w:abstractNum>
  <w:abstractNum w:abstractNumId="82">
    <w:nsid w:val="631B64D4"/>
    <w:multiLevelType w:val="hybridMultilevel"/>
    <w:lvl w:ilvl="0">
      <w:lvlJc w:val="left"/>
      <w:lvlText w:val="•"/>
      <w:numFmt w:val="bullet"/>
      <w:start w:val="1"/>
    </w:lvl>
  </w:abstractNum>
  <w:abstractNum w:abstractNumId="83">
    <w:nsid w:val="78B5E776"/>
    <w:multiLevelType w:val="hybridMultilevel"/>
    <w:lvl w:ilvl="0">
      <w:lvlJc w:val="left"/>
      <w:lvlText w:val="•"/>
      <w:numFmt w:val="bullet"/>
      <w:start w:val="1"/>
    </w:lvl>
  </w:abstractNum>
  <w:abstractNum w:abstractNumId="84">
    <w:nsid w:val="75486E47"/>
    <w:multiLevelType w:val="hybridMultilevel"/>
    <w:lvl w:ilvl="0">
      <w:lvlJc w:val="left"/>
      <w:lvlText w:val="•"/>
      <w:numFmt w:val="bullet"/>
      <w:start w:val="1"/>
    </w:lvl>
  </w:abstractNum>
  <w:abstractNum w:abstractNumId="85">
    <w:nsid w:val="6E534CDE"/>
    <w:multiLevelType w:val="hybridMultilevel"/>
    <w:lvl w:ilvl="0">
      <w:lvlJc w:val="left"/>
      <w:lvlText w:val="(%1)"/>
      <w:numFmt w:val="decimal"/>
      <w:start w:val="1"/>
    </w:lvl>
  </w:abstractNum>
  <w:abstractNum w:abstractNumId="86">
    <w:nsid w:val="1A0DDE32"/>
    <w:multiLevelType w:val="hybridMultilevel"/>
    <w:lvl w:ilvl="0">
      <w:lvlJc w:val="left"/>
      <w:lvlText w:val="(%1)"/>
      <w:numFmt w:val="decimal"/>
      <w:start w:val="2"/>
    </w:lvl>
  </w:abstractNum>
  <w:abstractNum w:abstractNumId="87">
    <w:nsid w:val="65968C1C"/>
    <w:multiLevelType w:val="hybridMultilevel"/>
    <w:lvl w:ilvl="0">
      <w:lvlJc w:val="left"/>
      <w:lvlText w:val="(%1)"/>
      <w:numFmt w:val="decimal"/>
      <w:start w:val="1"/>
    </w:lvl>
  </w:abstractNum>
  <w:abstractNum w:abstractNumId="88">
    <w:nsid w:val="46263DEC"/>
    <w:multiLevelType w:val="hybridMultilevel"/>
    <w:lvl w:ilvl="0">
      <w:lvlJc w:val="left"/>
      <w:lvlText w:val="(%1)"/>
      <w:numFmt w:val="decimal"/>
      <w:start w:val="1"/>
    </w:lvl>
  </w:abstractNum>
  <w:abstractNum w:abstractNumId="89">
    <w:nsid w:val="260D8C4A"/>
    <w:multiLevelType w:val="hybridMultilevel"/>
    <w:lvl w:ilvl="0">
      <w:lvlJc w:val="left"/>
      <w:lvlText w:val="(%1)"/>
      <w:numFmt w:val="decimal"/>
      <w:start w:val="1"/>
    </w:lvl>
  </w:abstractNum>
  <w:abstractNum w:abstractNumId="90">
    <w:nsid w:val="73D4D3C4"/>
    <w:multiLevelType w:val="hybridMultilevel"/>
    <w:lvl w:ilvl="0">
      <w:lvlJc w:val="left"/>
      <w:lvlText w:val="•"/>
      <w:numFmt w:val="bullet"/>
      <w:start w:val="1"/>
    </w:lvl>
  </w:abstractNum>
  <w:abstractNum w:abstractNumId="91">
    <w:nsid w:val="746F2E30"/>
    <w:multiLevelType w:val="hybridMultilevel"/>
    <w:lvl w:ilvl="0">
      <w:lvlJc w:val="left"/>
      <w:lvlText w:val="(%1)"/>
      <w:numFmt w:val="lowerLetter"/>
      <w:start w:val="1"/>
    </w:lvl>
  </w:abstractNum>
  <w:abstractNum w:abstractNumId="92">
    <w:nsid w:val="6FDE8AF6"/>
    <w:multiLevelType w:val="hybridMultilevel"/>
    <w:lvl w:ilvl="0">
      <w:lvlJc w:val="left"/>
      <w:lvlText w:val="(%1)"/>
      <w:numFmt w:val="decimal"/>
      <w:start w:val="1"/>
    </w:lvl>
  </w:abstractNum>
  <w:abstractNum w:abstractNumId="93">
    <w:nsid w:val="3FC32E20"/>
    <w:multiLevelType w:val="hybridMultilevel"/>
    <w:lvl w:ilvl="0">
      <w:lvlJc w:val="left"/>
      <w:lvlText w:val="•"/>
      <w:numFmt w:val="bullet"/>
      <w:start w:val="1"/>
    </w:lvl>
  </w:abstractNum>
  <w:abstractNum w:abstractNumId="94">
    <w:nsid w:val="49C0E823"/>
    <w:multiLevelType w:val="hybridMultilevel"/>
    <w:lvl w:ilvl="0">
      <w:lvlJc w:val="left"/>
      <w:lvlText w:val="•"/>
      <w:numFmt w:val="bullet"/>
      <w:start w:val="1"/>
    </w:lvl>
  </w:abstractNum>
  <w:abstractNum w:abstractNumId="95">
    <w:nsid w:val="14D53685"/>
    <w:multiLevelType w:val="hybridMultilevel"/>
    <w:lvl w:ilvl="0">
      <w:lvlJc w:val="left"/>
      <w:lvlText w:val="•"/>
      <w:numFmt w:val="bullet"/>
      <w:start w:val="1"/>
    </w:lvl>
  </w:abstractNum>
  <w:abstractNum w:abstractNumId="96">
    <w:nsid w:val="230F856C"/>
    <w:multiLevelType w:val="hybridMultilevel"/>
    <w:lvl w:ilvl="0">
      <w:lvlJc w:val="left"/>
      <w:lvlText w:val="(%1)"/>
      <w:numFmt w:val="decimal"/>
      <w:start w:val="1"/>
    </w:lvl>
  </w:abstractNum>
  <w:abstractNum w:abstractNumId="97">
    <w:nsid w:val="6EAA85FB"/>
    <w:multiLevelType w:val="hybridMultilevel"/>
    <w:lvl w:ilvl="0">
      <w:lvlJc w:val="left"/>
      <w:lvlText w:val="•"/>
      <w:numFmt w:val="bullet"/>
      <w:start w:val="1"/>
    </w:lvl>
  </w:abstractNum>
  <w:abstractNum w:abstractNumId="98">
    <w:nsid w:val="3F06ECB2"/>
    <w:multiLevelType w:val="hybridMultilevel"/>
    <w:lvl w:ilvl="0">
      <w:lvlJc w:val="left"/>
      <w:lvlText w:val="•"/>
      <w:numFmt w:val="bullet"/>
      <w:start w:val="1"/>
    </w:lvl>
  </w:abstractNum>
  <w:abstractNum w:abstractNumId="99">
    <w:nsid w:val="3B594807"/>
    <w:multiLevelType w:val="hybridMultilevel"/>
    <w:lvl w:ilvl="0">
      <w:lvlJc w:val="left"/>
      <w:lvlText w:val="•"/>
      <w:numFmt w:val="bullet"/>
      <w:start w:val="1"/>
    </w:lvl>
  </w:abstractNum>
  <w:abstractNum w:abstractNumId="100">
    <w:nsid w:val="6CAA2304"/>
    <w:multiLevelType w:val="hybridMultilevel"/>
    <w:lvl w:ilvl="0">
      <w:lvlJc w:val="left"/>
      <w:lvlText w:val="•"/>
      <w:numFmt w:val="bullet"/>
      <w:start w:val="1"/>
    </w:lvl>
  </w:abstractNum>
  <w:abstractNum w:abstractNumId="101">
    <w:nsid w:val="3F7C2FF4"/>
    <w:multiLevelType w:val="hybridMultilevel"/>
    <w:lvl w:ilvl="0">
      <w:lvlJc w:val="left"/>
      <w:lvlText w:val="•"/>
      <w:numFmt w:val="bullet"/>
      <w:start w:val="1"/>
    </w:lvl>
  </w:abstractNum>
  <w:abstractNum w:abstractNumId="102">
    <w:nsid w:val="25413BEC"/>
    <w:multiLevelType w:val="hybridMultilevel"/>
    <w:lvl w:ilvl="0">
      <w:lvlJc w:val="left"/>
      <w:lvlText w:val="•"/>
      <w:numFmt w:val="bullet"/>
      <w:start w:val="1"/>
    </w:lvl>
  </w:abstractNum>
  <w:abstractNum w:abstractNumId="103">
    <w:nsid w:val="17180B0B"/>
    <w:multiLevelType w:val="hybridMultilevel"/>
    <w:lvl w:ilvl="0">
      <w:lvlJc w:val="left"/>
      <w:lvlText w:val="•"/>
      <w:numFmt w:val="bullet"/>
      <w:start w:val="1"/>
    </w:lvl>
  </w:abstractNum>
  <w:abstractNum w:abstractNumId="104">
    <w:nsid w:val="579328B9"/>
    <w:multiLevelType w:val="hybridMultilevel"/>
    <w:lvl w:ilvl="0">
      <w:lvlJc w:val="left"/>
      <w:lvlText w:val="•"/>
      <w:numFmt w:val="bullet"/>
      <w:start w:val="1"/>
    </w:lvl>
  </w:abstractNum>
  <w:abstractNum w:abstractNumId="105">
    <w:nsid w:val="5D205E20"/>
    <w:multiLevelType w:val="hybridMultilevel"/>
    <w:lvl w:ilvl="0">
      <w:lvlJc w:val="left"/>
      <w:lvlText w:val="•"/>
      <w:numFmt w:val="bullet"/>
      <w:start w:val="1"/>
    </w:lvl>
  </w:abstractNum>
  <w:abstractNum w:abstractNumId="106">
    <w:nsid w:val="11CCA8BA"/>
    <w:multiLevelType w:val="hybridMultilevel"/>
    <w:lvl w:ilvl="0">
      <w:lvlJc w:val="left"/>
      <w:lvlText w:val="(%1)"/>
      <w:numFmt w:val="decimal"/>
      <w:start w:val="1"/>
    </w:lvl>
  </w:abstractNum>
  <w:abstractNum w:abstractNumId="107">
    <w:nsid w:val="4D32AB86"/>
    <w:multiLevelType w:val="hybridMultilevel"/>
    <w:lvl w:ilvl="0">
      <w:lvlJc w:val="left"/>
      <w:lvlText w:val="(%1)"/>
      <w:numFmt w:val="decimal"/>
      <w:start w:val="2"/>
    </w:lvl>
  </w:abstractNum>
  <w:abstractNum w:abstractNumId="108">
    <w:nsid w:val="3F07ACC3"/>
    <w:multiLevelType w:val="hybridMultilevel"/>
    <w:lvl w:ilvl="0">
      <w:lvlJc w:val="left"/>
      <w:lvlText w:val="(%1)"/>
      <w:numFmt w:val="lowerRoman"/>
      <w:start w:val="1"/>
    </w:lvl>
  </w:abstractNum>
  <w:abstractNum w:abstractNumId="109">
    <w:nsid w:val="6B47F63E"/>
    <w:multiLevelType w:val="hybridMultilevel"/>
    <w:lvl w:ilvl="0">
      <w:lvlJc w:val="left"/>
      <w:lvlText w:val="(%1)"/>
      <w:numFmt w:val="lowerRoman"/>
      <w:start w:val="1"/>
    </w:lvl>
  </w:abstractNum>
  <w:abstractNum w:abstractNumId="110">
    <w:nsid w:val="5CB44A05"/>
    <w:multiLevelType w:val="hybridMultilevel"/>
    <w:lvl w:ilvl="0">
      <w:lvlJc w:val="left"/>
      <w:lvlText w:val="(%1)"/>
      <w:numFmt w:val="decimal"/>
      <w:start w:val="1"/>
    </w:lvl>
  </w:abstractNum>
  <w:abstractNum w:abstractNumId="111">
    <w:nsid w:val="16CF80F1"/>
    <w:multiLevelType w:val="hybridMultilevel"/>
    <w:lvl w:ilvl="0">
      <w:lvlJc w:val="left"/>
      <w:lvlText w:val="(%1)"/>
      <w:numFmt w:val="decimal"/>
      <w:start w:val="5"/>
    </w:lvl>
  </w:abstractNum>
  <w:abstractNum w:abstractNumId="112">
    <w:nsid w:val="1C695DEC"/>
    <w:multiLevelType w:val="hybridMultilevel"/>
    <w:lvl w:ilvl="0">
      <w:lvlJc w:val="left"/>
      <w:lvlText w:val="(%1)"/>
      <w:numFmt w:val="lowerRoman"/>
      <w:start w:val="8"/>
    </w:lvl>
  </w:abstractNum>
  <w:abstractNum w:abstractNumId="113">
    <w:nsid w:val="3FCFAED9"/>
    <w:multiLevelType w:val="hybridMultilevel"/>
    <w:lvl w:ilvl="0">
      <w:lvlJc w:val="left"/>
      <w:lvlText w:val="(%1)"/>
      <w:numFmt w:val="lowerRoman"/>
      <w:start w:val="2"/>
    </w:lvl>
  </w:abstractNum>
  <w:abstractNum w:abstractNumId="114">
    <w:nsid w:val="F856867"/>
    <w:multiLevelType w:val="hybridMultilevel"/>
    <w:lvl w:ilvl="0">
      <w:lvlJc w:val="left"/>
      <w:lvlText w:val="(%1)"/>
      <w:numFmt w:val="lowerRoman"/>
      <w:start w:val="2"/>
    </w:lvl>
  </w:abstractNum>
  <w:abstractNum w:abstractNumId="115">
    <w:nsid w:val="11B1CC33"/>
    <w:multiLevelType w:val="hybridMultilevel"/>
    <w:lvl w:ilvl="0">
      <w:lvlJc w:val="left"/>
      <w:lvlText w:val="(%1)"/>
      <w:numFmt w:val="lowerRoman"/>
      <w:start w:val="2"/>
    </w:lvl>
  </w:abstractNum>
  <w:abstractNum w:abstractNumId="116">
    <w:nsid w:val="2E22FBB7"/>
    <w:multiLevelType w:val="hybridMultilevel"/>
    <w:lvl w:ilvl="0">
      <w:lvlJc w:val="left"/>
      <w:lvlText w:val="(%1)"/>
      <w:numFmt w:val="lowerRoman"/>
      <w:start w:val="2"/>
    </w:lvl>
  </w:abstractNum>
  <w:abstractNum w:abstractNumId="117">
    <w:nsid w:val="29934699"/>
    <w:multiLevelType w:val="hybridMultilevel"/>
    <w:lvl w:ilvl="0">
      <w:lvlJc w:val="left"/>
      <w:lvlText w:val="(%1)"/>
      <w:numFmt w:val="decimal"/>
      <w:start w:val="1"/>
    </w:lvl>
  </w:abstractNum>
  <w:abstractNum w:abstractNumId="118">
    <w:nsid w:val="77485850"/>
    <w:multiLevelType w:val="hybridMultilevel"/>
    <w:lvl w:ilvl="0">
      <w:lvlJc w:val="left"/>
      <w:lvlText w:val="(%1)"/>
      <w:numFmt w:val="upperLetter"/>
      <w:start w:val="1"/>
    </w:lvl>
  </w:abstractNum>
  <w:abstractNum w:abstractNumId="119">
    <w:nsid w:val="744939A3"/>
    <w:multiLevelType w:val="hybridMultilevel"/>
    <w:lvl w:ilvl="0">
      <w:lvlJc w:val="left"/>
      <w:lvlText w:val="(%1)"/>
      <w:numFmt w:val="lowerRoman"/>
      <w:start w:val="2"/>
    </w:lvl>
  </w:abstractNum>
  <w:abstractNum w:abstractNumId="120">
    <w:nsid w:val="4FA0D2E3"/>
    <w:multiLevelType w:val="hybridMultilevel"/>
    <w:lvl w:ilvl="0">
      <w:lvlJc w:val="left"/>
      <w:lvlText w:val="(%1)"/>
      <w:numFmt w:val="lowerRoman"/>
      <w:start w:val="2"/>
    </w:lvl>
  </w:abstractNum>
  <w:abstractNum w:abstractNumId="121">
    <w:nsid w:val="6B1D2C14"/>
    <w:multiLevelType w:val="hybridMultilevel"/>
    <w:lvl w:ilvl="0">
      <w:lvlJc w:val="left"/>
      <w:lvlText w:val="(%1)"/>
      <w:numFmt w:val="lowerRoman"/>
      <w:start w:val="2"/>
    </w:lvl>
  </w:abstractNum>
  <w:abstractNum w:abstractNumId="122">
    <w:nsid w:val="68B867D3"/>
    <w:multiLevelType w:val="hybridMultilevel"/>
    <w:lvl w:ilvl="0">
      <w:lvlJc w:val="left"/>
      <w:lvlText w:val="•"/>
      <w:numFmt w:val="bullet"/>
      <w:start w:val="1"/>
    </w:lvl>
  </w:abstractNum>
  <w:abstractNum w:abstractNumId="123">
    <w:nsid w:val="3F7F5DD9"/>
    <w:multiLevelType w:val="hybridMultilevel"/>
    <w:lvl w:ilvl="0">
      <w:lvlJc w:val="left"/>
      <w:lvlText w:val="•"/>
      <w:numFmt w:val="bullet"/>
      <w:start w:val="1"/>
    </w:lvl>
  </w:abstractNum>
  <w:abstractNum w:abstractNumId="124">
    <w:nsid w:val="2AE05A34"/>
    <w:multiLevelType w:val="hybridMultilevel"/>
    <w:lvl w:ilvl="0">
      <w:lvlJc w:val="left"/>
      <w:lvlText w:val="*"/>
      <w:numFmt w:val="bullet"/>
      <w:start w:val="1"/>
    </w:lvl>
  </w:abstractNum>
  <w:abstractNum w:abstractNumId="125">
    <w:nsid w:val="32794FF7"/>
    <w:multiLevelType w:val="hybridMultilevel"/>
    <w:lvl w:ilvl="0">
      <w:lvlJc w:val="left"/>
      <w:lvlText w:val="(%1)"/>
      <w:numFmt w:val="decimal"/>
      <w:start w:val="1"/>
    </w:lvl>
  </w:abstractNum>
  <w:abstractNum w:abstractNumId="126">
    <w:nsid w:val="5454945E"/>
    <w:multiLevelType w:val="hybridMultilevel"/>
    <w:lvl w:ilvl="0">
      <w:lvlJc w:val="left"/>
      <w:lvlText w:val="(%1)"/>
      <w:numFmt w:val="decimal"/>
      <w:start w:val="2"/>
    </w:lvl>
  </w:abstractNum>
  <w:abstractNum w:abstractNumId="127">
    <w:nsid w:val="4DEFDFA0"/>
    <w:multiLevelType w:val="hybridMultilevel"/>
    <w:lvl w:ilvl="0">
      <w:lvlJc w:val="left"/>
      <w:lvlText w:val="*"/>
      <w:numFmt w:val="bullet"/>
      <w:start w:val="1"/>
    </w:lvl>
  </w:abstractNum>
  <w:abstractNum w:abstractNumId="128">
    <w:nsid w:val="2123D5F2"/>
    <w:multiLevelType w:val="hybridMultilevel"/>
    <w:lvl w:ilvl="0">
      <w:lvlJc w:val="left"/>
      <w:lvlText w:val="(%1)"/>
      <w:numFmt w:val="decimal"/>
      <w:start w:val="1"/>
    </w:lvl>
  </w:abstractNum>
  <w:abstractNum w:abstractNumId="129">
    <w:nsid w:val="135B8110"/>
    <w:multiLevelType w:val="hybridMultilevel"/>
    <w:lvl w:ilvl="0">
      <w:lvlJc w:val="left"/>
      <w:lvlText w:val="(%1)"/>
      <w:numFmt w:val="decimal"/>
      <w:start w:val="3"/>
    </w:lvl>
  </w:abstractNum>
  <w:abstractNum w:abstractNumId="130">
    <w:nsid w:val="94927A8"/>
    <w:multiLevelType w:val="hybridMultilevel"/>
    <w:lvl w:ilvl="0">
      <w:lvlJc w:val="left"/>
      <w:lvlText w:val="•"/>
      <w:numFmt w:val="bullet"/>
      <w:start w:val="1"/>
    </w:lvl>
  </w:abstractNum>
  <w:abstractNum w:abstractNumId="131">
    <w:nsid w:val="DCDF8F6"/>
    <w:multiLevelType w:val="hybridMultilevel"/>
    <w:lvl w:ilvl="0">
      <w:lvlJc w:val="left"/>
      <w:lvlText w:val="(%1)"/>
      <w:numFmt w:val="lowerLetter"/>
      <w:start w:val="3"/>
    </w:lvl>
  </w:abstractNum>
  <w:abstractNum w:abstractNumId="132">
    <w:nsid w:val="52D7B105"/>
    <w:multiLevelType w:val="hybridMultilevel"/>
    <w:lvl w:ilvl="0">
      <w:lvlJc w:val="left"/>
      <w:lvlText w:val="•"/>
      <w:numFmt w:val="bullet"/>
      <w:start w:val="1"/>
    </w:lvl>
  </w:abstractNum>
  <w:abstractNum w:abstractNumId="133">
    <w:nsid w:val="2E8A6394"/>
    <w:multiLevelType w:val="hybridMultilevel"/>
    <w:lvl w:ilvl="0">
      <w:lvlJc w:val="left"/>
      <w:lvlText w:val="•"/>
      <w:numFmt w:val="bullet"/>
      <w:start w:val="1"/>
    </w:lvl>
  </w:abstractNum>
  <w:abstractNum w:abstractNumId="134">
    <w:nsid w:val="24E60401"/>
    <w:multiLevelType w:val="hybridMultilevel"/>
    <w:lvl w:ilvl="0">
      <w:lvlJc w:val="left"/>
      <w:lvlText w:val="•"/>
      <w:numFmt w:val="bullet"/>
      <w:start w:val="1"/>
    </w:lvl>
  </w:abstractNum>
  <w:abstractNum w:abstractNumId="135">
    <w:nsid w:val="2A6AD9BE"/>
    <w:multiLevelType w:val="hybridMultilevel"/>
    <w:lvl w:ilvl="0">
      <w:lvlJc w:val="left"/>
      <w:lvlText w:val="(%1)"/>
      <w:numFmt w:val="lowerRoman"/>
      <w:start w:val="3"/>
    </w:lvl>
  </w:abstractNum>
  <w:abstractNum w:abstractNumId="136">
    <w:nsid w:val="BAAC1B4"/>
    <w:multiLevelType w:val="hybridMultilevel"/>
    <w:lvl w:ilvl="0">
      <w:lvlJc w:val="left"/>
      <w:lvlText w:val="(%1)"/>
      <w:numFmt w:val="lowerRoman"/>
      <w:start w:val="1"/>
    </w:lvl>
  </w:abstractNum>
  <w:abstractNum w:abstractNumId="137">
    <w:nsid w:val="36B2ACBC"/>
    <w:multiLevelType w:val="hybridMultilevel"/>
    <w:lvl w:ilvl="0">
      <w:lvlJc w:val="left"/>
      <w:lvlText w:val="(%1)"/>
      <w:numFmt w:val="lowerRoman"/>
      <w:start w:val="2"/>
    </w:lvl>
  </w:abstractNum>
  <w:abstractNum w:abstractNumId="138">
    <w:nsid w:val="779D8544"/>
    <w:multiLevelType w:val="hybridMultilevel"/>
    <w:lvl w:ilvl="0">
      <w:lvlJc w:val="left"/>
      <w:lvlText w:val="(%1)"/>
      <w:numFmt w:val="lowerRoman"/>
      <w:start w:val="2"/>
    </w:lvl>
  </w:abstractNum>
  <w:abstractNum w:abstractNumId="139">
    <w:nsid w:val="4AB26E78"/>
    <w:multiLevelType w:val="hybridMultilevel"/>
    <w:lvl w:ilvl="0">
      <w:lvlJc w:val="left"/>
      <w:lvlText w:val="(%1)"/>
      <w:numFmt w:val="lowerLetter"/>
      <w:start w:val="1"/>
    </w:lvl>
  </w:abstractNum>
  <w:abstractNum w:abstractNumId="140">
    <w:nsid w:val="21FAA2FA"/>
    <w:multiLevelType w:val="hybridMultilevel"/>
    <w:lvl w:ilvl="0">
      <w:lvlJc w:val="left"/>
      <w:lvlText w:val="(%1)"/>
      <w:numFmt w:val="decimal"/>
      <w:start w:val="2"/>
    </w:lvl>
  </w:abstractNum>
  <w:abstractNum w:abstractNumId="141">
    <w:nsid w:val="5451CF49"/>
    <w:multiLevelType w:val="hybridMultilevel"/>
    <w:lvl w:ilvl="0">
      <w:lvlJc w:val="left"/>
      <w:lvlText w:val="(%1)"/>
      <w:numFmt w:val="lowerRoman"/>
      <w:start w:val="2"/>
    </w:lvl>
  </w:abstractNum>
  <w:abstractNum w:abstractNumId="142">
    <w:nsid w:val="6181EF69"/>
    <w:multiLevelType w:val="hybridMultilevel"/>
    <w:lvl w:ilvl="0">
      <w:lvlJc w:val="left"/>
      <w:lvlText w:val="(%1)"/>
      <w:numFmt w:val="lowerRoman"/>
      <w:start w:val="2"/>
    </w:lvl>
  </w:abstractNum>
  <w:abstractNum w:abstractNumId="143">
    <w:nsid w:val="3E6400E6"/>
    <w:multiLevelType w:val="hybridMultilevel"/>
    <w:lvl w:ilvl="0">
      <w:lvlJc w:val="left"/>
      <w:lvlText w:val="$"/>
      <w:numFmt w:val="bullet"/>
      <w:start w:val="1"/>
    </w:lvl>
  </w:abstractNum>
  <w:abstractNum w:abstractNumId="144">
    <w:nsid w:val="14217E23"/>
    <w:multiLevelType w:val="hybridMultilevel"/>
    <w:lvl w:ilvl="0">
      <w:lvlJc w:val="left"/>
      <w:lvlText w:val="$"/>
      <w:numFmt w:val="bullet"/>
      <w:start w:val="1"/>
    </w:lvl>
  </w:abstractNum>
  <w:abstractNum w:abstractNumId="145">
    <w:nsid w:val="710757D0"/>
    <w:multiLevelType w:val="hybridMultilevel"/>
    <w:lvl w:ilvl="0">
      <w:lvlJc w:val="left"/>
      <w:lvlText w:val="(%1)"/>
      <w:numFmt w:val="upperLetter"/>
      <w:start w:val="2"/>
    </w:lvl>
  </w:abstractNum>
  <w:abstractNum w:abstractNumId="146">
    <w:nsid w:val="5015CD1A"/>
    <w:multiLevelType w:val="hybridMultilevel"/>
    <w:lvl w:ilvl="0">
      <w:lvlJc w:val="left"/>
      <w:lvlText w:val="(%1)"/>
      <w:numFmt w:val="lowerLetter"/>
      <w:start w:val="1"/>
    </w:lvl>
  </w:abstractNum>
  <w:abstractNum w:abstractNumId="147">
    <w:nsid w:val="424479DA"/>
    <w:multiLevelType w:val="hybridMultilevel"/>
    <w:lvl w:ilvl="0">
      <w:lvlJc w:val="left"/>
      <w:lvlText w:val="(%1)"/>
      <w:numFmt w:val="lowerRoman"/>
      <w:start w:val="1"/>
    </w:lvl>
  </w:abstractNum>
  <w:abstractNum w:abstractNumId="148">
    <w:nsid w:val="1A9A9E69"/>
    <w:multiLevelType w:val="hybridMultilevel"/>
    <w:lvl w:ilvl="0">
      <w:lvlJc w:val="left"/>
      <w:lvlText w:val="*"/>
      <w:numFmt w:val="bullet"/>
      <w:start w:val="1"/>
    </w:lvl>
  </w:abstractNum>
  <w:abstractNum w:abstractNumId="149">
    <w:nsid w:val="475E256A"/>
    <w:multiLevelType w:val="hybridMultilevel"/>
    <w:lvl w:ilvl="0">
      <w:lvlJc w:val="left"/>
      <w:lvlText w:val="•"/>
      <w:numFmt w:val="bullet"/>
      <w:start w:val="1"/>
    </w:lvl>
  </w:abstractNum>
  <w:abstractNum w:abstractNumId="150">
    <w:nsid w:val="368DB37E"/>
    <w:multiLevelType w:val="hybridMultilevel"/>
    <w:lvl w:ilvl="0">
      <w:lvlJc w:val="left"/>
      <w:lvlText w:val="•"/>
      <w:numFmt w:val="bullet"/>
      <w:start w:val="1"/>
    </w:lvl>
  </w:abstractNum>
  <w:abstractNum w:abstractNumId="151">
    <w:nsid w:val="6A3B714C"/>
    <w:multiLevelType w:val="hybridMultilevel"/>
    <w:lvl w:ilvl="0">
      <w:lvlJc w:val="left"/>
      <w:lvlText w:val="•"/>
      <w:numFmt w:val="bullet"/>
      <w:start w:val="1"/>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
      <w:numFmt w:val="bullet"/>
      <w:start w:val="1"/>
    </w:lvl>
  </w:abstractNum>
  <w:abstractNum w:abstractNumId="154">
    <w:nsid w:val="29BACF25"/>
    <w:multiLevelType w:val="hybridMultilevel"/>
    <w:lvl w:ilvl="0">
      <w:lvlJc w:val="left"/>
      <w:lvlText w:val="*"/>
      <w:numFmt w:val="bullet"/>
      <w:start w:val="1"/>
    </w:lvl>
  </w:abstractNum>
  <w:abstractNum w:abstractNumId="155">
    <w:nsid w:val="5D5BABB3"/>
    <w:multiLevelType w:val="hybridMultilevel"/>
    <w:lvl w:ilvl="0">
      <w:lvlJc w:val="left"/>
      <w:lvlText w:val="^"/>
      <w:numFmt w:val="bullet"/>
      <w:start w:val="1"/>
    </w:lvl>
  </w:abstractNum>
  <w:abstractNum w:abstractNumId="156">
    <w:nsid w:val="51BF6B48"/>
    <w:multiLevelType w:val="hybridMultilevel"/>
    <w:lvl w:ilvl="0">
      <w:lvlJc w:val="left"/>
      <w:lvlText w:val="#"/>
      <w:numFmt w:val="bullet"/>
      <w:start w:val="1"/>
    </w:lvl>
  </w:abstractNum>
  <w:abstractNum w:abstractNumId="157">
    <w:nsid w:val="7E0F6384"/>
    <w:multiLevelType w:val="hybridMultilevel"/>
    <w:lvl w:ilvl="0">
      <w:lvlJc w:val="left"/>
      <w:lvlText w:val="†"/>
      <w:numFmt w:val="bullet"/>
      <w:start w:val="1"/>
    </w:lvl>
  </w:abstractNum>
  <w:abstractNum w:abstractNumId="158">
    <w:nsid w:val="2B4B8B53"/>
    <w:multiLevelType w:val="hybridMultilevel"/>
    <w:lvl w:ilvl="0">
      <w:lvlJc w:val="left"/>
      <w:lvlText w:val="(%1)"/>
      <w:numFmt w:val="decimal"/>
      <w:start w:val="1"/>
    </w:lvl>
    <w:lvl w:ilvl="1">
      <w:lvlJc w:val="left"/>
      <w:lvlText w:val="(%2)"/>
      <w:numFmt w:val="lowerRoman"/>
      <w:start w:val="1"/>
    </w:lvl>
  </w:abstractNum>
  <w:abstractNum w:abstractNumId="159">
    <w:nsid w:val="72E3413A"/>
    <w:multiLevelType w:val="hybridMultilevel"/>
    <w:lvl w:ilvl="0">
      <w:lvlJc w:val="left"/>
      <w:lvlText w:val="(%1)"/>
      <w:numFmt w:val="decimal"/>
      <w:start w:val="2"/>
    </w:lvl>
    <w:lvl w:ilvl="1">
      <w:lvlJc w:val="left"/>
      <w:lvlText w:val="(%2)"/>
      <w:numFmt w:val="lowerRoman"/>
      <w:start w:val="1"/>
    </w:lvl>
  </w:abstractNum>
  <w:abstractNum w:abstractNumId="160">
    <w:nsid w:val="116AE494"/>
    <w:multiLevelType w:val="hybridMultilevel"/>
    <w:lvl w:ilvl="0">
      <w:lvlJc w:val="left"/>
      <w:lvlText w:val="(%1)"/>
      <w:numFmt w:val="lowerLetter"/>
      <w:start w:val="1"/>
    </w:lvl>
  </w:abstractNum>
  <w:abstractNum w:abstractNumId="161">
    <w:nsid w:val="3494B2FB"/>
    <w:multiLevelType w:val="hybridMultilevel"/>
    <w:lvl w:ilvl="0">
      <w:lvlJc w:val="left"/>
      <w:lvlText w:val="(%1)"/>
      <w:numFmt w:val="lowerLetter"/>
      <w:start w:val="2"/>
    </w:lvl>
  </w:abstractNum>
  <w:abstractNum w:abstractNumId="162">
    <w:nsid w:val="B13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64429599"/>
    <w:multiLevelType w:val="hybridMultilevel"/>
    <w:lvl w:ilvl="0">
      <w:lvlJc w:val="left"/>
      <w:lvlText w:val="%1"/>
      <w:numFmt w:val="lowerRoman"/>
      <w:start w:val="1"/>
    </w:lvl>
    <w:lvl w:ilvl="1">
      <w:lvlJc w:val="left"/>
      <w:lvlText w:val="(%2)"/>
      <w:numFmt w:val="upperLetter"/>
      <w:start w:val="2"/>
    </w:lvl>
  </w:abstractNum>
  <w:abstractNum w:abstractNumId="164">
    <w:nsid w:val="631F1690"/>
    <w:multiLevelType w:val="hybridMultilevel"/>
    <w:lvl w:ilvl="0">
      <w:lvlJc w:val="left"/>
      <w:lvlText w:val="(%1)"/>
      <w:numFmt w:val="lowerRoman"/>
      <w:start w:val="2"/>
    </w:lvl>
    <w:lvl w:ilvl="1">
      <w:lvlJc w:val="left"/>
      <w:lvlText w:val="%2"/>
      <w:numFmt w:val="upperLetter"/>
      <w:start w:val="1"/>
    </w:lvl>
  </w:abstractNum>
  <w:abstractNum w:abstractNumId="165">
    <w:nsid w:val="25973E32"/>
    <w:multiLevelType w:val="hybridMultilevel"/>
    <w:lvl w:ilvl="0">
      <w:lvlJc w:val="left"/>
      <w:lvlText w:val="(%1)"/>
      <w:numFmt w:val="lowerRoman"/>
      <w:start w:val="4"/>
    </w:lvl>
    <w:lvl w:ilvl="1">
      <w:lvlJc w:val="left"/>
      <w:lvlText w:val="(%2)"/>
      <w:numFmt w:val="upperLetter"/>
      <w:start w:val="1"/>
    </w:lvl>
  </w:abstractNum>
  <w:abstractNum w:abstractNumId="166">
    <w:nsid w:val="EAD6F57"/>
    <w:multiLevelType w:val="hybridMultilevel"/>
    <w:lvl w:ilvl="0">
      <w:lvlJc w:val="left"/>
      <w:lvlText w:val="%1"/>
      <w:numFmt w:val="lowerRoman"/>
      <w:start w:val="1"/>
    </w:lvl>
    <w:lvl w:ilvl="1">
      <w:lvlJc w:val="left"/>
      <w:lvlText w:val="(%2)"/>
      <w:numFmt w:val="upperLetter"/>
      <w:start w:val="1"/>
    </w:lvl>
  </w:abstractNum>
  <w:abstractNum w:abstractNumId="167">
    <w:nsid w:val="6EC9D844"/>
    <w:multiLevelType w:val="hybridMultilevel"/>
    <w:lvl w:ilvl="0">
      <w:lvlJc w:val="left"/>
      <w:lvlText w:val="(%1)"/>
      <w:numFmt w:val="lowerRoman"/>
      <w:start w:val="7"/>
    </w:lvl>
    <w:lvl w:ilvl="1">
      <w:lvlJc w:val="left"/>
      <w:lvlText w:val="(%2)"/>
      <w:numFmt w:val="upperLetter"/>
      <w:start w:val="1"/>
    </w:lvl>
  </w:abstractNum>
  <w:abstractNum w:abstractNumId="168">
    <w:nsid w:val="5C49EAEE"/>
    <w:multiLevelType w:val="hybridMultilevel"/>
    <w:lvl w:ilvl="0">
      <w:lvlJc w:val="left"/>
      <w:lvlText w:val="(%1)"/>
      <w:numFmt w:val="lowerLetter"/>
      <w:start w:val="1"/>
    </w:lvl>
  </w:abstractNum>
  <w:abstractNum w:abstractNumId="169">
    <w:nsid w:val="64AF49B"/>
    <w:multiLevelType w:val="hybridMultilevel"/>
    <w:lvl w:ilvl="0">
      <w:lvlJc w:val="left"/>
      <w:lvlText w:val="(%1)"/>
      <w:numFmt w:val="lowerLetter"/>
      <w:start w:val="1"/>
    </w:lvl>
  </w:abstractNum>
  <w:abstractNum w:abstractNumId="170">
    <w:nsid w:val="397C46BC"/>
    <w:multiLevelType w:val="hybridMultilevel"/>
    <w:lvl w:ilvl="0">
      <w:lvlJc w:val="left"/>
      <w:lvlText w:val="(%1)"/>
      <w:numFmt w:val="lowerLetter"/>
      <w:start w:val="2"/>
    </w:lvl>
  </w:abstractNum>
  <w:abstractNum w:abstractNumId="171">
    <w:nsid w:val="7E448DE9"/>
    <w:multiLevelType w:val="hybridMultilevel"/>
    <w:lvl w:ilvl="0">
      <w:lvlJc w:val="left"/>
      <w:lvlText w:val="(%1)"/>
      <w:numFmt w:val="lowerLetter"/>
      <w:start w:val="1"/>
    </w:lvl>
  </w:abstractNum>
  <w:abstractNum w:abstractNumId="172">
    <w:nsid w:val="5A9CC3E5"/>
    <w:multiLevelType w:val="hybridMultilevel"/>
    <w:lvl w:ilvl="0">
      <w:lvlJc w:val="left"/>
      <w:lvlText w:val="(%1)"/>
      <w:numFmt w:val="lowerLetter"/>
      <w:start w:val="6"/>
    </w:lvl>
  </w:abstractNum>
  <w:abstractNum w:abstractNumId="173">
    <w:nsid w:val="1AFE3625"/>
    <w:multiLevelType w:val="hybridMultilevel"/>
    <w:lvl w:ilvl="0">
      <w:lvlJc w:val="left"/>
      <w:lvlText w:val="(%1)"/>
      <w:numFmt w:val="lowerLetter"/>
      <w:start w:val="1"/>
    </w:lvl>
  </w:abstractNum>
  <w:abstractNum w:abstractNumId="174">
    <w:nsid w:val="3CA88ECF"/>
    <w:multiLevelType w:val="hybridMultilevel"/>
    <w:lvl w:ilvl="0">
      <w:lvlJc w:val="left"/>
      <w:lvlText w:val="(%1)"/>
      <w:numFmt w:val="lowerLetter"/>
      <w:start w:val="2"/>
    </w:lvl>
  </w:abstractNum>
  <w:abstractNum w:abstractNumId="175">
    <w:nsid w:val="6EBE4208"/>
    <w:multiLevelType w:val="hybridMultilevel"/>
    <w:lvl w:ilvl="0">
      <w:lvlJc w:val="left"/>
      <w:lvlText w:val="(%1)"/>
      <w:numFmt w:val="lowerLetter"/>
      <w:start w:val="1"/>
    </w:lvl>
    <w:lvl w:ilvl="1">
      <w:lvlJc w:val="left"/>
      <w:lvlText w:val="(%2)"/>
      <w:numFmt w:val="lowerLetter"/>
      <w:start w:val="9"/>
    </w:lvl>
  </w:abstractNum>
  <w:abstractNum w:abstractNumId="176">
    <w:nsid w:val="C058DF5"/>
    <w:multiLevelType w:val="hybridMultilevel"/>
    <w:lvl w:ilvl="0">
      <w:lvlJc w:val="left"/>
      <w:lvlText w:val="(%1)"/>
      <w:numFmt w:val="lowerRoman"/>
      <w:start w:val="5"/>
    </w:lvl>
  </w:abstractNum>
  <w:abstractNum w:abstractNumId="177">
    <w:nsid w:val="CBE5BE9"/>
    <w:multiLevelType w:val="hybridMultilevel"/>
    <w:lvl w:ilvl="0">
      <w:lvlJc w:val="left"/>
      <w:lvlText w:val="(%1)"/>
      <w:numFmt w:val="lowerRoman"/>
      <w:start w:val="6"/>
    </w:lvl>
    <w:lvl w:ilvl="1">
      <w:lvlJc w:val="left"/>
      <w:lvlText w:val="(%2)"/>
      <w:numFmt w:val="upperLetter"/>
      <w:start w:val="1"/>
    </w:lvl>
  </w:abstractNum>
  <w:abstractNum w:abstractNumId="178">
    <w:nsid w:val="3102BBE2"/>
    <w:multiLevelType w:val="hybridMultilevel"/>
    <w:lvl w:ilvl="0">
      <w:lvlJc w:val="left"/>
      <w:lvlText w:val="(%1)"/>
      <w:numFmt w:val="upperLetter"/>
      <w:start w:val="6"/>
    </w:lvl>
  </w:abstractNum>
  <w:abstractNum w:abstractNumId="179">
    <w:nsid w:val="26A02C5E"/>
    <w:multiLevelType w:val="hybridMultilevel"/>
    <w:lvl w:ilvl="0">
      <w:lvlJc w:val="left"/>
      <w:lvlText w:val="(%1)"/>
      <w:numFmt w:val="lowerLetter"/>
      <w:start w:val="1"/>
    </w:lvl>
  </w:abstractNum>
  <w:abstractNum w:abstractNumId="180">
    <w:nsid w:val="541C8153"/>
    <w:multiLevelType w:val="hybridMultilevel"/>
    <w:lvl w:ilvl="0">
      <w:lvlJc w:val="left"/>
      <w:lvlText w:val="(%1)"/>
      <w:numFmt w:val="lowerLetter"/>
      <w:start w:val="1"/>
    </w:lvl>
  </w:abstractNum>
  <w:abstractNum w:abstractNumId="181">
    <w:nsid w:val="67906F60"/>
    <w:multiLevelType w:val="hybridMultilevel"/>
    <w:lvl w:ilvl="0">
      <w:lvlJc w:val="left"/>
      <w:lvlText w:val="(%1)"/>
      <w:numFmt w:val="lowerLetter"/>
      <w:start w:val="1"/>
    </w:lvl>
  </w:abstractNum>
  <w:abstractNum w:abstractNumId="182">
    <w:nsid w:val="10DB9DAA"/>
    <w:multiLevelType w:val="hybridMultilevel"/>
    <w:lvl w:ilvl="0">
      <w:lvlJc w:val="left"/>
      <w:lvlText w:val="%1"/>
      <w:numFmt w:val="lowerLetter"/>
      <w:start w:val="1"/>
    </w:lvl>
    <w:lvl w:ilvl="1">
      <w:lvlJc w:val="left"/>
      <w:lvlText w:val="(%2)"/>
      <w:numFmt w:val="lowerLetter"/>
      <w:start w:val="4"/>
    </w:lvl>
  </w:abstractNum>
  <w:abstractNum w:abstractNumId="183">
    <w:nsid w:val="697D2D2"/>
    <w:multiLevelType w:val="hybridMultilevel"/>
    <w:lvl w:ilvl="0">
      <w:lvlJc w:val="left"/>
      <w:lvlText w:val="(%1)"/>
      <w:numFmt w:val="lowerLetter"/>
      <w:start w:val="35"/>
    </w:lvl>
    <w:lvl w:ilvl="1">
      <w:lvlJc w:val="left"/>
      <w:lvlText w:val="(%2)"/>
      <w:numFmt w:val="lowerLetter"/>
      <w:start w:val="5"/>
    </w:lvl>
  </w:abstractNum>
  <w:abstractNum w:abstractNumId="184">
    <w:nsid w:val="6D68AB2"/>
    <w:multiLevelType w:val="hybridMultilevel"/>
    <w:lvl w:ilvl="0">
      <w:lvlJc w:val="left"/>
      <w:lvlText w:val="(%1)"/>
      <w:numFmt w:val="lowerLetter"/>
      <w:start w:val="10"/>
    </w:lvl>
  </w:abstractNum>
  <w:abstractNum w:abstractNumId="185">
    <w:nsid w:val="3A966CD0"/>
    <w:multiLevelType w:val="hybridMultilevel"/>
    <w:lvl w:ilvl="0">
      <w:lvlJc w:val="left"/>
      <w:lvlText w:val="(%1)"/>
      <w:numFmt w:val="lowerLetter"/>
      <w:start w:val="1"/>
    </w:lvl>
  </w:abstractNum>
  <w:abstractNum w:abstractNumId="186">
    <w:nsid w:val="63F37E85"/>
    <w:multiLevelType w:val="hybridMultilevel"/>
    <w:lvl w:ilvl="0">
      <w:lvlJc w:val="left"/>
      <w:lvlText w:val="(%1)"/>
      <w:numFmt w:val="lowerLetter"/>
      <w:start w:val="2"/>
    </w:lvl>
  </w:abstractNum>
  <w:abstractNum w:abstractNumId="187">
    <w:nsid w:val="5895F5FA"/>
    <w:multiLevelType w:val="hybridMultilevel"/>
    <w:lvl w:ilvl="0">
      <w:lvlJc w:val="left"/>
      <w:lvlText w:val="(%1)"/>
      <w:numFmt w:val="lowerLetter"/>
      <w:start w:val="1"/>
    </w:lvl>
    <w:lvl w:ilvl="1">
      <w:lvlJc w:val="left"/>
      <w:lvlText w:val="(%2)"/>
      <w:numFmt w:val="lowerLetter"/>
      <w:start w:val="9"/>
    </w:lvl>
  </w:abstractNum>
  <w:abstractNum w:abstractNumId="188">
    <w:nsid w:val="38A5D054"/>
    <w:multiLevelType w:val="hybridMultilevel"/>
    <w:lvl w:ilvl="0">
      <w:lvlJc w:val="left"/>
      <w:lvlText w:val="(%1)"/>
      <w:numFmt w:val="lowerRoman"/>
      <w:start w:val="5"/>
    </w:lvl>
  </w:abstractNum>
  <w:abstractNum w:abstractNumId="189">
    <w:nsid w:val="F3F09D8"/>
    <w:multiLevelType w:val="hybridMultilevel"/>
    <w:lvl w:ilvl="0">
      <w:lvlJc w:val="left"/>
      <w:lvlText w:val="(%1)"/>
      <w:numFmt w:val="lowerRoman"/>
      <w:start w:val="6"/>
    </w:lvl>
    <w:lvl w:ilvl="1">
      <w:lvlJc w:val="left"/>
      <w:lvlText w:val="(%2)"/>
      <w:numFmt w:val="upperLetter"/>
      <w:start w:val="1"/>
    </w:lvl>
  </w:abstractNum>
  <w:abstractNum w:abstractNumId="190">
    <w:nsid w:val="4B793735"/>
    <w:multiLevelType w:val="hybridMultilevel"/>
    <w:lvl w:ilvl="0">
      <w:lvlJc w:val="left"/>
      <w:lvlText w:val="(%1)"/>
      <w:numFmt w:val="upperLetter"/>
      <w:start w:val="6"/>
    </w:lvl>
  </w:abstractNum>
  <w:abstractNum w:abstractNumId="191">
    <w:nsid w:val="4A10B4E8"/>
    <w:multiLevelType w:val="hybridMultilevel"/>
    <w:lvl w:ilvl="0">
      <w:lvlJc w:val="left"/>
      <w:lvlText w:val="(%1)"/>
      <w:numFmt w:val="lowerLetter"/>
      <w:start w:val="1"/>
    </w:lvl>
  </w:abstractNum>
  <w:abstractNum w:abstractNumId="192">
    <w:nsid w:val="43D3BCD4"/>
    <w:multiLevelType w:val="hybridMultilevel"/>
    <w:lvl w:ilvl="0">
      <w:lvlJc w:val="left"/>
      <w:lvlText w:val="(%1)"/>
      <w:numFmt w:val="lowerLetter"/>
      <w:start w:val="1"/>
    </w:lvl>
  </w:abstractNum>
  <w:abstractNum w:abstractNumId="193">
    <w:nsid w:val="4C2A7166"/>
    <w:multiLevelType w:val="hybridMultilevel"/>
    <w:lvl w:ilvl="0">
      <w:lvlJc w:val="left"/>
      <w:lvlText w:val="(%1)"/>
      <w:numFmt w:val="lowerLetter"/>
      <w:start w:val="1"/>
    </w:lvl>
  </w:abstractNum>
  <w:abstractNum w:abstractNumId="194">
    <w:nsid w:val="2E534A82"/>
    <w:multiLevelType w:val="hybridMultilevel"/>
    <w:lvl w:ilvl="0">
      <w:lvlJc w:val="left"/>
      <w:lvlText w:val="%1"/>
      <w:numFmt w:val="lowerLetter"/>
      <w:start w:val="1"/>
    </w:lvl>
    <w:lvl w:ilvl="1">
      <w:lvlJc w:val="left"/>
      <w:lvlText w:val="(%2)"/>
      <w:numFmt w:val="lowerLetter"/>
      <w:start w:val="4"/>
    </w:lvl>
  </w:abstractNum>
  <w:abstractNum w:abstractNumId="195">
    <w:nsid w:val="26F2D364"/>
    <w:multiLevelType w:val="hybridMultilevel"/>
    <w:lvl w:ilvl="0">
      <w:lvlJc w:val="left"/>
      <w:lvlText w:val="(%1)"/>
      <w:numFmt w:val="lowerLetter"/>
      <w:start w:val="35"/>
    </w:lvl>
    <w:lvl w:ilvl="1">
      <w:lvlJc w:val="left"/>
      <w:lvlText w:val="(%2)"/>
      <w:numFmt w:val="lowerLetter"/>
      <w:start w:val="5"/>
    </w:lvl>
  </w:abstractNum>
  <w:abstractNum w:abstractNumId="196">
    <w:nsid w:val="71C1AF98"/>
    <w:multiLevelType w:val="hybridMultilevel"/>
    <w:lvl w:ilvl="0">
      <w:lvlJc w:val="left"/>
      <w:lvlText w:val="(%1)"/>
      <w:numFmt w:val="lowerLetter"/>
      <w:start w:val="10"/>
    </w:lvl>
  </w:abstractNum>
  <w:abstractNum w:abstractNumId="197">
    <w:nsid w:val="3D00B9D9"/>
    <w:multiLevelType w:val="hybridMultilevel"/>
    <w:lvl w:ilvl="0">
      <w:lvlJc w:val="left"/>
      <w:lvlText w:val="(%1)"/>
      <w:numFmt w:val="lowerLetter"/>
      <w:start w:val="1"/>
    </w:lvl>
  </w:abstractNum>
  <w:abstractNum w:abstractNumId="198">
    <w:nsid w:val="15BCABA8"/>
    <w:multiLevelType w:val="hybridMultilevel"/>
    <w:lvl w:ilvl="0">
      <w:lvlJc w:val="left"/>
      <w:lvlText w:val="(%1)"/>
      <w:numFmt w:val="lowerLetter"/>
      <w:start w:val="2"/>
    </w:lvl>
  </w:abstractNum>
  <w:abstractNum w:abstractNumId="199">
    <w:nsid w:val="4E0B9A87"/>
    <w:multiLevelType w:val="hybridMultilevel"/>
    <w:lvl w:ilvl="0">
      <w:lvlJc w:val="left"/>
      <w:lvlText w:val="(%1)"/>
      <w:numFmt w:val="lowerLetter"/>
      <w:start w:val="1"/>
    </w:lvl>
    <w:lvl w:ilvl="1">
      <w:lvlJc w:val="left"/>
      <w:lvlText w:val="(%2)"/>
      <w:numFmt w:val="lowerLetter"/>
      <w:start w:val="9"/>
    </w:lvl>
  </w:abstractNum>
  <w:abstractNum w:abstractNumId="200">
    <w:nsid w:val="434BAE75"/>
    <w:multiLevelType w:val="hybridMultilevel"/>
    <w:lvl w:ilvl="0">
      <w:lvlJc w:val="left"/>
      <w:lvlText w:val="(%1)"/>
      <w:numFmt w:val="lowerRoman"/>
      <w:start w:val="5"/>
    </w:lvl>
  </w:abstractNum>
  <w:abstractNum w:abstractNumId="201">
    <w:nsid w:val="4F38F265"/>
    <w:multiLevelType w:val="hybridMultilevel"/>
    <w:lvl w:ilvl="0">
      <w:lvlJc w:val="left"/>
      <w:lvlText w:val="(%1)"/>
      <w:numFmt w:val="lowerRoman"/>
      <w:start w:val="6"/>
    </w:lvl>
    <w:lvl w:ilvl="1">
      <w:lvlJc w:val="left"/>
      <w:lvlText w:val="(%2)"/>
      <w:numFmt w:val="upperLetter"/>
      <w:start w:val="1"/>
    </w:lvl>
  </w:abstractNum>
  <w:abstractNum w:abstractNumId="202">
    <w:nsid w:val="4C502870"/>
    <w:multiLevelType w:val="hybridMultilevel"/>
    <w:lvl w:ilvl="0">
      <w:lvlJc w:val="left"/>
      <w:lvlText w:val="(%1)"/>
      <w:numFmt w:val="upperLetter"/>
      <w:start w:val="6"/>
    </w:lvl>
  </w:abstractNum>
  <w:abstractNum w:abstractNumId="203">
    <w:nsid w:val="1DE8725A"/>
    <w:multiLevelType w:val="hybridMultilevel"/>
    <w:lvl w:ilvl="0">
      <w:lvlJc w:val="left"/>
      <w:lvlText w:val="(%1)"/>
      <w:numFmt w:val="lowerLetter"/>
      <w:start w:val="1"/>
    </w:lvl>
  </w:abstractNum>
  <w:abstractNum w:abstractNumId="204">
    <w:nsid w:val="6A37288A"/>
    <w:multiLevelType w:val="hybridMultilevel"/>
    <w:lvl w:ilvl="0">
      <w:lvlJc w:val="left"/>
      <w:lvlText w:val="(%1)"/>
      <w:numFmt w:val="lowerLetter"/>
      <w:start w:val="1"/>
    </w:lvl>
  </w:abstractNum>
  <w:abstractNum w:abstractNumId="205">
    <w:nsid w:val="8F8B73F"/>
    <w:multiLevelType w:val="hybridMultilevel"/>
    <w:lvl w:ilvl="0">
      <w:lvlJc w:val="left"/>
      <w:lvlText w:val="(%1)"/>
      <w:numFmt w:val="lowerLetter"/>
      <w:start w:val="1"/>
    </w:lvl>
  </w:abstractNum>
  <w:abstractNum w:abstractNumId="206">
    <w:nsid w:val="CA6B462"/>
    <w:multiLevelType w:val="hybridMultilevel"/>
    <w:lvl w:ilvl="0">
      <w:lvlJc w:val="left"/>
      <w:lvlText w:val="%1"/>
      <w:numFmt w:val="lowerLetter"/>
      <w:start w:val="1"/>
    </w:lvl>
    <w:lvl w:ilvl="1">
      <w:lvlJc w:val="left"/>
      <w:lvlText w:val="(%2)"/>
      <w:numFmt w:val="lowerLetter"/>
      <w:start w:val="4"/>
    </w:lvl>
  </w:abstractNum>
  <w:abstractNum w:abstractNumId="207">
    <w:nsid w:val="763CB680"/>
    <w:multiLevelType w:val="hybridMultilevel"/>
    <w:lvl w:ilvl="0">
      <w:lvlJc w:val="left"/>
      <w:lvlText w:val="(%1)"/>
      <w:numFmt w:val="lowerLetter"/>
      <w:start w:val="35"/>
    </w:lvl>
    <w:lvl w:ilvl="1">
      <w:lvlJc w:val="left"/>
      <w:lvlText w:val="(%2)"/>
      <w:numFmt w:val="lowerLetter"/>
      <w:start w:val="5"/>
    </w:lvl>
  </w:abstractNum>
  <w:abstractNum w:abstractNumId="208">
    <w:nsid w:val="15B71329"/>
    <w:multiLevelType w:val="hybridMultilevel"/>
    <w:lvl w:ilvl="0">
      <w:lvlJc w:val="left"/>
      <w:lvlText w:val="(%1)"/>
      <w:numFmt w:val="lowerLetter"/>
      <w:start w:val="10"/>
    </w:lvl>
  </w:abstractNum>
  <w:abstractNum w:abstractNumId="209">
    <w:nsid w:val="3DA97044"/>
    <w:multiLevelType w:val="hybridMultilevel"/>
    <w:lvl w:ilvl="0">
      <w:lvlJc w:val="left"/>
      <w:lvlText w:val="(%1)"/>
      <w:numFmt w:val="decimal"/>
      <w:start w:val="1"/>
    </w:lvl>
  </w:abstractNum>
  <w:abstractNum w:abstractNumId="210">
    <w:nsid w:val="1CDCE2DE"/>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9" Type="http://schemas.openxmlformats.org/officeDocument/2006/relationships/image" Target="media/image393.png"/><Relationship Id="rId423" Type="http://schemas.openxmlformats.org/officeDocument/2006/relationships/image" Target="media/image394.png"/><Relationship Id="rId438" Type="http://schemas.openxmlformats.org/officeDocument/2006/relationships/image" Target="media/image395.png"/><Relationship Id="rId451" Type="http://schemas.openxmlformats.org/officeDocument/2006/relationships/image" Target="media/image396.png"/><Relationship Id="rId463" Type="http://schemas.openxmlformats.org/officeDocument/2006/relationships/image" Target="media/image397.png"/><Relationship Id="rId474" Type="http://schemas.openxmlformats.org/officeDocument/2006/relationships/image" Target="media/image398.png"/><Relationship Id="rId487" Type="http://schemas.openxmlformats.org/officeDocument/2006/relationships/image" Target="media/image399.png"/><Relationship Id="rId500" Type="http://schemas.openxmlformats.org/officeDocument/2006/relationships/image" Target="media/image400.png"/><Relationship Id="rId509" Type="http://schemas.openxmlformats.org/officeDocument/2006/relationships/image" Target="media/image401.png"/><Relationship Id="rId510" Type="http://schemas.openxmlformats.org/officeDocument/2006/relationships/image" Target="media/image402.png"/><Relationship Id="rId511" Type="http://schemas.openxmlformats.org/officeDocument/2006/relationships/image" Target="media/image403.png"/><Relationship Id="rId512" Type="http://schemas.openxmlformats.org/officeDocument/2006/relationships/image" Target="media/image404.png"/><Relationship Id="rId513" Type="http://schemas.openxmlformats.org/officeDocument/2006/relationships/image" Target="media/image405.png"/><Relationship Id="rId514" Type="http://schemas.openxmlformats.org/officeDocument/2006/relationships/image" Target="media/image406.png"/><Relationship Id="rId515" Type="http://schemas.openxmlformats.org/officeDocument/2006/relationships/image" Target="media/image407.png"/><Relationship Id="rId516" Type="http://schemas.openxmlformats.org/officeDocument/2006/relationships/image" Target="media/image408.png"/><Relationship Id="rId517" Type="http://schemas.openxmlformats.org/officeDocument/2006/relationships/image" Target="media/image409.png"/><Relationship Id="rId518" Type="http://schemas.openxmlformats.org/officeDocument/2006/relationships/image" Target="media/image410.png"/><Relationship Id="rId519" Type="http://schemas.openxmlformats.org/officeDocument/2006/relationships/image" Target="media/image411.png"/><Relationship Id="rId520" Type="http://schemas.openxmlformats.org/officeDocument/2006/relationships/image" Target="media/image412.png"/><Relationship Id="rId521" Type="http://schemas.openxmlformats.org/officeDocument/2006/relationships/image" Target="media/image413.png"/><Relationship Id="rId522" Type="http://schemas.openxmlformats.org/officeDocument/2006/relationships/image" Target="media/image414.png"/><Relationship Id="rId523" Type="http://schemas.openxmlformats.org/officeDocument/2006/relationships/image" Target="media/image415.png"/><Relationship Id="rId524" Type="http://schemas.openxmlformats.org/officeDocument/2006/relationships/image" Target="media/image416.png"/><Relationship Id="rId525" Type="http://schemas.openxmlformats.org/officeDocument/2006/relationships/image" Target="media/image417.png"/><Relationship Id="rId526" Type="http://schemas.openxmlformats.org/officeDocument/2006/relationships/image" Target="media/image418.png"/><Relationship Id="rId527" Type="http://schemas.openxmlformats.org/officeDocument/2006/relationships/image" Target="media/image419.png"/><Relationship Id="rId528" Type="http://schemas.openxmlformats.org/officeDocument/2006/relationships/image" Target="media/image420.png"/><Relationship Id="rId529" Type="http://schemas.openxmlformats.org/officeDocument/2006/relationships/image" Target="media/image421.png"/><Relationship Id="rId530" Type="http://schemas.openxmlformats.org/officeDocument/2006/relationships/image" Target="media/image422.png"/><Relationship Id="rId531" Type="http://schemas.openxmlformats.org/officeDocument/2006/relationships/image" Target="media/image423.png"/><Relationship Id="rId532" Type="http://schemas.openxmlformats.org/officeDocument/2006/relationships/image" Target="media/image424.png"/><Relationship Id="rId533" Type="http://schemas.openxmlformats.org/officeDocument/2006/relationships/image" Target="media/image425.png"/><Relationship Id="rId534" Type="http://schemas.openxmlformats.org/officeDocument/2006/relationships/image" Target="media/image426.png"/><Relationship Id="rId535" Type="http://schemas.openxmlformats.org/officeDocument/2006/relationships/image" Target="media/image427.png"/><Relationship Id="rId536" Type="http://schemas.openxmlformats.org/officeDocument/2006/relationships/image" Target="media/image428.png"/><Relationship Id="rId537" Type="http://schemas.openxmlformats.org/officeDocument/2006/relationships/image" Target="media/image429.png"/><Relationship Id="rId538" Type="http://schemas.openxmlformats.org/officeDocument/2006/relationships/image" Target="media/image430.png"/><Relationship Id="rId539" Type="http://schemas.openxmlformats.org/officeDocument/2006/relationships/image" Target="media/image431.png"/><Relationship Id="rId540" Type="http://schemas.openxmlformats.org/officeDocument/2006/relationships/image" Target="media/image432.png"/><Relationship Id="rId541" Type="http://schemas.openxmlformats.org/officeDocument/2006/relationships/image" Target="media/image433.png"/><Relationship Id="rId542" Type="http://schemas.openxmlformats.org/officeDocument/2006/relationships/image" Target="media/image434.png"/><Relationship Id="rId543" Type="http://schemas.openxmlformats.org/officeDocument/2006/relationships/image" Target="media/image435.png"/><Relationship Id="rId544" Type="http://schemas.openxmlformats.org/officeDocument/2006/relationships/image" Target="media/image436.png"/><Relationship Id="rId545" Type="http://schemas.openxmlformats.org/officeDocument/2006/relationships/image" Target="media/image437.png"/><Relationship Id="rId546" Type="http://schemas.openxmlformats.org/officeDocument/2006/relationships/image" Target="media/image438.png"/><Relationship Id="rId547" Type="http://schemas.openxmlformats.org/officeDocument/2006/relationships/image" Target="media/image439.png"/><Relationship Id="rId548" Type="http://schemas.openxmlformats.org/officeDocument/2006/relationships/image" Target="media/image440.png"/><Relationship Id="rId549" Type="http://schemas.openxmlformats.org/officeDocument/2006/relationships/image" Target="media/image441.png"/><Relationship Id="rId550" Type="http://schemas.openxmlformats.org/officeDocument/2006/relationships/image" Target="media/image442.png"/><Relationship Id="rId551" Type="http://schemas.openxmlformats.org/officeDocument/2006/relationships/image" Target="media/image443.png"/><Relationship Id="rId552" Type="http://schemas.openxmlformats.org/officeDocument/2006/relationships/image" Target="media/image444.png"/><Relationship Id="rId553" Type="http://schemas.openxmlformats.org/officeDocument/2006/relationships/image" Target="media/image445.png"/><Relationship Id="rId554" Type="http://schemas.openxmlformats.org/officeDocument/2006/relationships/image" Target="media/image446.png"/><Relationship Id="rId555" Type="http://schemas.openxmlformats.org/officeDocument/2006/relationships/image" Target="media/image447.png"/><Relationship Id="rId556" Type="http://schemas.openxmlformats.org/officeDocument/2006/relationships/image" Target="media/image448.png"/><Relationship Id="rId557" Type="http://schemas.openxmlformats.org/officeDocument/2006/relationships/image" Target="media/image449.png"/><Relationship Id="rId558" Type="http://schemas.openxmlformats.org/officeDocument/2006/relationships/image" Target="media/image450.png"/><Relationship Id="rId559" Type="http://schemas.openxmlformats.org/officeDocument/2006/relationships/image" Target="media/image451.png"/><Relationship Id="rId560" Type="http://schemas.openxmlformats.org/officeDocument/2006/relationships/image" Target="media/image452.png"/><Relationship Id="rId561" Type="http://schemas.openxmlformats.org/officeDocument/2006/relationships/image" Target="media/image453.png"/><Relationship Id="rId562" Type="http://schemas.openxmlformats.org/officeDocument/2006/relationships/image" Target="media/image454.png"/><Relationship Id="rId563" Type="http://schemas.openxmlformats.org/officeDocument/2006/relationships/image" Target="media/image455.png"/><Relationship Id="rId564" Type="http://schemas.openxmlformats.org/officeDocument/2006/relationships/image" Target="media/image456.png"/><Relationship Id="rId565" Type="http://schemas.openxmlformats.org/officeDocument/2006/relationships/image" Target="media/image457.png"/><Relationship Id="rId566" Type="http://schemas.openxmlformats.org/officeDocument/2006/relationships/image" Target="media/image458.png"/><Relationship Id="rId567" Type="http://schemas.openxmlformats.org/officeDocument/2006/relationships/image" Target="media/image459.png"/><Relationship Id="rId568" Type="http://schemas.openxmlformats.org/officeDocument/2006/relationships/image" Target="media/image460.png"/><Relationship Id="rId569" Type="http://schemas.openxmlformats.org/officeDocument/2006/relationships/image" Target="media/image461.png"/><Relationship Id="rId570" Type="http://schemas.openxmlformats.org/officeDocument/2006/relationships/image" Target="media/image462.png"/><Relationship Id="rId571" Type="http://schemas.openxmlformats.org/officeDocument/2006/relationships/image" Target="media/image463.png"/><Relationship Id="rId572" Type="http://schemas.openxmlformats.org/officeDocument/2006/relationships/image" Target="media/image464.png"/><Relationship Id="rId573" Type="http://schemas.openxmlformats.org/officeDocument/2006/relationships/image" Target="media/image465.png"/><Relationship Id="rId574" Type="http://schemas.openxmlformats.org/officeDocument/2006/relationships/image" Target="media/image466.png"/><Relationship Id="rId575" Type="http://schemas.openxmlformats.org/officeDocument/2006/relationships/image" Target="media/image467.png"/><Relationship Id="rId576" Type="http://schemas.openxmlformats.org/officeDocument/2006/relationships/image" Target="media/image468.png"/><Relationship Id="rId577" Type="http://schemas.openxmlformats.org/officeDocument/2006/relationships/image" Target="media/image469.png"/><Relationship Id="rId578" Type="http://schemas.openxmlformats.org/officeDocument/2006/relationships/image" Target="media/image470.png"/><Relationship Id="rId579" Type="http://schemas.openxmlformats.org/officeDocument/2006/relationships/image" Target="media/image471.png"/><Relationship Id="rId580" Type="http://schemas.openxmlformats.org/officeDocument/2006/relationships/image" Target="media/image472.png"/><Relationship Id="rId581" Type="http://schemas.openxmlformats.org/officeDocument/2006/relationships/image" Target="media/image473.png"/><Relationship Id="rId582" Type="http://schemas.openxmlformats.org/officeDocument/2006/relationships/image" Target="media/image474.png"/><Relationship Id="rId583" Type="http://schemas.openxmlformats.org/officeDocument/2006/relationships/image" Target="media/image475.png"/><Relationship Id="rId584" Type="http://schemas.openxmlformats.org/officeDocument/2006/relationships/image" Target="media/image476.png"/><Relationship Id="rId585" Type="http://schemas.openxmlformats.org/officeDocument/2006/relationships/image" Target="media/image477.png"/><Relationship Id="rId586" Type="http://schemas.openxmlformats.org/officeDocument/2006/relationships/image" Target="media/image478.png"/><Relationship Id="rId587" Type="http://schemas.openxmlformats.org/officeDocument/2006/relationships/image" Target="media/image479.png"/><Relationship Id="rId588" Type="http://schemas.openxmlformats.org/officeDocument/2006/relationships/image" Target="media/image480.png"/><Relationship Id="rId589" Type="http://schemas.openxmlformats.org/officeDocument/2006/relationships/image" Target="media/image481.png"/><Relationship Id="rId590" Type="http://schemas.openxmlformats.org/officeDocument/2006/relationships/image" Target="media/image482.png"/><Relationship Id="rId591" Type="http://schemas.openxmlformats.org/officeDocument/2006/relationships/image" Target="media/image483.png"/><Relationship Id="rId592" Type="http://schemas.openxmlformats.org/officeDocument/2006/relationships/image" Target="media/image484.png"/><Relationship Id="rId593" Type="http://schemas.openxmlformats.org/officeDocument/2006/relationships/image" Target="media/image485.png"/><Relationship Id="rId594" Type="http://schemas.openxmlformats.org/officeDocument/2006/relationships/image" Target="media/image486.png"/><Relationship Id="rId595" Type="http://schemas.openxmlformats.org/officeDocument/2006/relationships/image" Target="media/image487.png"/><Relationship Id="rId596" Type="http://schemas.openxmlformats.org/officeDocument/2006/relationships/image" Target="media/image488.png"/><Relationship Id="rId597" Type="http://schemas.openxmlformats.org/officeDocument/2006/relationships/image" Target="media/image489.png"/><Relationship Id="rId598" Type="http://schemas.openxmlformats.org/officeDocument/2006/relationships/image" Target="media/image490.png"/><Relationship Id="rId599" Type="http://schemas.openxmlformats.org/officeDocument/2006/relationships/image" Target="media/image491.png"/><Relationship Id="rId600" Type="http://schemas.openxmlformats.org/officeDocument/2006/relationships/image" Target="media/image492.png"/><Relationship Id="rId601" Type="http://schemas.openxmlformats.org/officeDocument/2006/relationships/image" Target="media/image493.png"/><Relationship Id="rId602" Type="http://schemas.openxmlformats.org/officeDocument/2006/relationships/image" Target="media/image494.png"/><Relationship Id="rId603" Type="http://schemas.openxmlformats.org/officeDocument/2006/relationships/image" Target="media/image495.png"/><Relationship Id="rId604" Type="http://schemas.openxmlformats.org/officeDocument/2006/relationships/image" Target="media/image496.png"/><Relationship Id="rId605" Type="http://schemas.openxmlformats.org/officeDocument/2006/relationships/image" Target="media/image497.png"/><Relationship Id="rId606" Type="http://schemas.openxmlformats.org/officeDocument/2006/relationships/image" Target="media/image498.png"/><Relationship Id="rId607" Type="http://schemas.openxmlformats.org/officeDocument/2006/relationships/image" Target="media/image499.png"/><Relationship Id="rId608" Type="http://schemas.openxmlformats.org/officeDocument/2006/relationships/image" Target="media/image500.png"/><Relationship Id="rId609" Type="http://schemas.openxmlformats.org/officeDocument/2006/relationships/image" Target="media/image501.png"/><Relationship Id="rId610" Type="http://schemas.openxmlformats.org/officeDocument/2006/relationships/image" Target="media/image502.png"/><Relationship Id="rId611" Type="http://schemas.openxmlformats.org/officeDocument/2006/relationships/image" Target="media/image503.png"/><Relationship Id="rId612" Type="http://schemas.openxmlformats.org/officeDocument/2006/relationships/image" Target="media/image504.png"/><Relationship Id="rId613" Type="http://schemas.openxmlformats.org/officeDocument/2006/relationships/image" Target="media/image505.png"/><Relationship Id="rId614" Type="http://schemas.openxmlformats.org/officeDocument/2006/relationships/image" Target="media/image506.png"/><Relationship Id="rId615" Type="http://schemas.openxmlformats.org/officeDocument/2006/relationships/image" Target="media/image507.png"/><Relationship Id="rId616" Type="http://schemas.openxmlformats.org/officeDocument/2006/relationships/image" Target="media/image508.png"/><Relationship Id="rId617" Type="http://schemas.openxmlformats.org/officeDocument/2006/relationships/image" Target="media/image509.png"/><Relationship Id="rId618" Type="http://schemas.openxmlformats.org/officeDocument/2006/relationships/image" Target="media/image510.png"/><Relationship Id="rId619" Type="http://schemas.openxmlformats.org/officeDocument/2006/relationships/image" Target="media/image511.png"/><Relationship Id="rId620" Type="http://schemas.openxmlformats.org/officeDocument/2006/relationships/image" Target="media/image512.png"/><Relationship Id="rId621" Type="http://schemas.openxmlformats.org/officeDocument/2006/relationships/image" Target="media/image513.png"/><Relationship Id="rId622" Type="http://schemas.openxmlformats.org/officeDocument/2006/relationships/image" Target="media/image514.png"/><Relationship Id="rId623" Type="http://schemas.openxmlformats.org/officeDocument/2006/relationships/image" Target="media/image515.png"/><Relationship Id="rId624" Type="http://schemas.openxmlformats.org/officeDocument/2006/relationships/image" Target="media/image516.png"/><Relationship Id="rId625" Type="http://schemas.openxmlformats.org/officeDocument/2006/relationships/image" Target="media/image517.png"/><Relationship Id="rId626" Type="http://schemas.openxmlformats.org/officeDocument/2006/relationships/image" Target="media/image518.png"/><Relationship Id="rId627" Type="http://schemas.openxmlformats.org/officeDocument/2006/relationships/image" Target="media/image519.png"/><Relationship Id="rId628" Type="http://schemas.openxmlformats.org/officeDocument/2006/relationships/image" Target="media/image520.png"/><Relationship Id="rId629" Type="http://schemas.openxmlformats.org/officeDocument/2006/relationships/image" Target="media/image521.png"/><Relationship Id="rId630" Type="http://schemas.openxmlformats.org/officeDocument/2006/relationships/image" Target="media/image522.png"/><Relationship Id="rId631" Type="http://schemas.openxmlformats.org/officeDocument/2006/relationships/image" Target="media/image523.png"/><Relationship Id="rId632" Type="http://schemas.openxmlformats.org/officeDocument/2006/relationships/image" Target="media/image524.png"/><Relationship Id="rId633" Type="http://schemas.openxmlformats.org/officeDocument/2006/relationships/image" Target="media/image525.png"/><Relationship Id="rId634" Type="http://schemas.openxmlformats.org/officeDocument/2006/relationships/image" Target="media/image526.png"/><Relationship Id="rId635" Type="http://schemas.openxmlformats.org/officeDocument/2006/relationships/image" Target="media/image527.png"/><Relationship Id="rId636" Type="http://schemas.openxmlformats.org/officeDocument/2006/relationships/image" Target="media/image528.png"/><Relationship Id="rId637" Type="http://schemas.openxmlformats.org/officeDocument/2006/relationships/image" Target="media/image529.png"/><Relationship Id="rId400" Type="http://schemas.openxmlformats.org/officeDocument/2006/relationships/hyperlink" Target="http://www.sec.gov/Archives/edgar/data/1820190/000110465922074469/vcka-20220331xex2d1.htm" TargetMode="External"/><Relationship Id="rId401" Type="http://schemas.openxmlformats.org/officeDocument/2006/relationships/hyperlink" Target="http://www.sec.gov/Archives/edgar/data/1820190/000110465922074469/vcka-20220331xex2d2.htm" TargetMode="External"/><Relationship Id="rId402" Type="http://schemas.openxmlformats.org/officeDocument/2006/relationships/hyperlink" Target="http://www.sec.gov/Archives/edgar/data/1820190/000110465922074469/vcka-20220331xex2d3.htm" TargetMode="External"/><Relationship Id="rId403" Type="http://schemas.openxmlformats.org/officeDocument/2006/relationships/hyperlink" Target="http://www.sec.gov/Archives/edgar/data/1820190/000110465922074469/vcka-20220331xex2d4.htm" TargetMode="External"/><Relationship Id="rId404" Type="http://schemas.openxmlformats.org/officeDocument/2006/relationships/hyperlink" Target="http://www.sec.gov/Archives/edgar/data/1820190/000121390022013697/ea157097ex2-1_vickers1.htm" TargetMode="External"/><Relationship Id="rId405" Type="http://schemas.openxmlformats.org/officeDocument/2006/relationships/hyperlink" Target="http://www.sec.gov/Archives/edgar/data/1820190/000110465922099785/tm2225830d1_ex2-1.htm" TargetMode="External"/><Relationship Id="rId406" Type="http://schemas.openxmlformats.org/officeDocument/2006/relationships/hyperlink" Target="http://www.sec.gov/Archives/edgar/data/1820190/000119312524211651/d852041dex21.htm" TargetMode="External"/><Relationship Id="rId407" Type="http://schemas.openxmlformats.org/officeDocument/2006/relationships/hyperlink" Target="http://www.sec.gov/Archives/edgar/data/1820190/000095017025056022/sclx-ex2_1.htm" TargetMode="External"/><Relationship Id="rId408" Type="http://schemas.openxmlformats.org/officeDocument/2006/relationships/hyperlink" Target="http://www.sec.gov/Archives/edgar/data/1820190/000119312522287783/d374632dex31.htm" TargetMode="External"/><Relationship Id="rId410" Type="http://schemas.openxmlformats.org/officeDocument/2006/relationships/hyperlink" Target="http://www.sec.gov/Archives/edgar/data/1820190/000119312522287783/d374632dex32.htm" TargetMode="External"/><Relationship Id="rId411" Type="http://schemas.openxmlformats.org/officeDocument/2006/relationships/hyperlink" Target="http://www.sec.gov/Archives/edgar/data/1820190/000095017024117557/sclx-ex3_1.htm" TargetMode="External"/><Relationship Id="rId412" Type="http://schemas.openxmlformats.org/officeDocument/2006/relationships/hyperlink" Target="http://www.sec.gov/Archives/edgar/data/1820190/000119312522287783/d374632dex33.htm" TargetMode="External"/><Relationship Id="rId413" Type="http://schemas.openxmlformats.org/officeDocument/2006/relationships/hyperlink" Target="http://www.sec.gov/Archives/edgar/data/1820190/000121390021001411/ea133037ex4-1_vickers1.htm" TargetMode="External"/><Relationship Id="rId414" Type="http://schemas.openxmlformats.org/officeDocument/2006/relationships/hyperlink" Target="http://www.sec.gov/Archives/edgar/data/1820190/000121390020042745/fs12020ex4-3_vickers1.htm" TargetMode="External"/><Relationship Id="rId415" Type="http://schemas.openxmlformats.org/officeDocument/2006/relationships/hyperlink" Target="http://www.sec.gov/Archives/edgar/data/1820190/000119312523242508/d537034dex41.htm" TargetMode="External"/><Relationship Id="rId416" Type="http://schemas.openxmlformats.org/officeDocument/2006/relationships/hyperlink" Target="http://www.sec.gov/Archives/edgar/data/1820190/000119312523242508/d537034dex42.htm" TargetMode="External"/><Relationship Id="rId417" Type="http://schemas.openxmlformats.org/officeDocument/2006/relationships/hyperlink" Target="http://www.sec.gov/Archives/edgar/data/1820190/000119312524059255/d772929dex41.htm" TargetMode="External"/><Relationship Id="rId418" Type="http://schemas.openxmlformats.org/officeDocument/2006/relationships/hyperlink" Target="http://www.sec.gov/Archives/edgar/data/1820190/000119312524059255/d772929dex42.htm" TargetMode="External"/><Relationship Id="rId419" Type="http://schemas.openxmlformats.org/officeDocument/2006/relationships/hyperlink" Target="http://www.sec.gov/Archives/edgar/data/1820190/000119312524159926/d55926dex41.htm" TargetMode="External"/><Relationship Id="rId420" Type="http://schemas.openxmlformats.org/officeDocument/2006/relationships/hyperlink" Target="http://www.sec.gov/Archives/edgar/data/1820190/000119312524181039/d699096dex48.htm" TargetMode="External"/><Relationship Id="rId421" Type="http://schemas.openxmlformats.org/officeDocument/2006/relationships/hyperlink" Target="http://www.sec.gov/Archives/edgar/data/1820190/000119312524234244/d853982dex42.htm" TargetMode="External"/><Relationship Id="rId422" Type="http://schemas.openxmlformats.org/officeDocument/2006/relationships/hyperlink" Target="http://www.sec.gov/Archives/edgar/data/1820190/000119312524234244/d853982dex43.htm" TargetMode="External"/><Relationship Id="rId424" Type="http://schemas.openxmlformats.org/officeDocument/2006/relationships/hyperlink" Target="http://www.sec.gov/Archives/edgar/data/1820190/000119312524278311/d836578dex41.htm" TargetMode="External"/><Relationship Id="rId425" Type="http://schemas.openxmlformats.org/officeDocument/2006/relationships/hyperlink" Target="http://www.sec.gov/Archives/edgar/data/1820190/000119312524278311/d836578dex42.htm" TargetMode="External"/><Relationship Id="rId426" Type="http://schemas.openxmlformats.org/officeDocument/2006/relationships/hyperlink" Target="http://www.sec.gov/Archives/edgar/data/1820190/000119312524278311/d836578dex43.htm" TargetMode="External"/><Relationship Id="rId427" Type="http://schemas.openxmlformats.org/officeDocument/2006/relationships/hyperlink" Target="http://www.sec.gov/Archives/edgar/data/1820190/000119312522287783/d374632dex102.htm" TargetMode="External"/><Relationship Id="rId428" Type="http://schemas.openxmlformats.org/officeDocument/2006/relationships/hyperlink" Target="http://www.sec.gov/Archives/edgar/data/1820190/000110465922074469/vcka-20220331xex10d7.htm" TargetMode="External"/><Relationship Id="rId429" Type="http://schemas.openxmlformats.org/officeDocument/2006/relationships/hyperlink" Target="http://www.sec.gov/Archives/edgar/data/1820190/000110465922074469/vcka-20220331xex10d8.htm" TargetMode="External"/><Relationship Id="rId430" Type="http://schemas.openxmlformats.org/officeDocument/2006/relationships/hyperlink" Target="http://www.sec.gov/Archives/edgar/data/1820190/000110465922074469/vcka-20220331xex10d9.htm" TargetMode="External"/><Relationship Id="rId431" Type="http://schemas.openxmlformats.org/officeDocument/2006/relationships/hyperlink" Target="http://www.sec.gov/Archives/edgar/data/1820190/000110465922074469/vcka-20220331xex10d10.htm" TargetMode="External"/><Relationship Id="rId432" Type="http://schemas.openxmlformats.org/officeDocument/2006/relationships/hyperlink" Target="http://www.sec.gov/Archives/edgar/data/1820190/000119312523137199/d327950dex101.htm" TargetMode="External"/><Relationship Id="rId433" Type="http://schemas.openxmlformats.org/officeDocument/2006/relationships/hyperlink" Target="http://www.sec.gov/Archives/edgar/data/1820190/000119312522287783/d374632dex106.htm" TargetMode="External"/><Relationship Id="rId434" Type="http://schemas.openxmlformats.org/officeDocument/2006/relationships/hyperlink" Target="http://www.sec.gov/Archives/edgar/data/1820190/000119312522287783/d374632dex107.htm" TargetMode="External"/><Relationship Id="rId435" Type="http://schemas.openxmlformats.org/officeDocument/2006/relationships/hyperlink" Target="http://www.sec.gov/Archives/edgar/data/1820190/000119312522287783/d374632dex108.htm" TargetMode="External"/><Relationship Id="rId436" Type="http://schemas.openxmlformats.org/officeDocument/2006/relationships/hyperlink" Target="http://www.sec.gov/Archives/edgar/data/1820190/000119312523009256/d426852dex101.htm" TargetMode="External"/><Relationship Id="rId437" Type="http://schemas.openxmlformats.org/officeDocument/2006/relationships/hyperlink" Target="http://www.sec.gov/Archives/edgar/data/1820190/000119312523009256/d426852dex102.htm" TargetMode="External"/><Relationship Id="rId439" Type="http://schemas.openxmlformats.org/officeDocument/2006/relationships/hyperlink" Target="http://www.sec.gov/Archives/edgar/data/1820190/000119312523009256/d426852dex103.htm" TargetMode="External"/><Relationship Id="rId440" Type="http://schemas.openxmlformats.org/officeDocument/2006/relationships/hyperlink" Target="http://www.sec.gov/Archives/edgar/data/1820190/000110465922074469/vcka-20220331xex10d17.htm" TargetMode="External"/><Relationship Id="rId441" Type="http://schemas.openxmlformats.org/officeDocument/2006/relationships/hyperlink" Target="http://www.sec.gov/Archives/edgar/data/1820190/000110465922081279/tm2214659d7_ex10-59.htm" TargetMode="External"/><Relationship Id="rId442" Type="http://schemas.openxmlformats.org/officeDocument/2006/relationships/hyperlink" Target="http://www.sec.gov/Archives/edgar/data/1820190/000110465922081279/tm2214659d7_ex10-60.htm" TargetMode="External"/><Relationship Id="rId443" Type="http://schemas.openxmlformats.org/officeDocument/2006/relationships/hyperlink" Target="http://www.sec.gov/Archives/edgar/data/1820190/000119312523177931/d378841dex1039.htm" TargetMode="External"/><Relationship Id="rId444" Type="http://schemas.openxmlformats.org/officeDocument/2006/relationships/hyperlink" Target="http://www.sec.gov/Archives/edgar/data/1820190/000110465922081279/tm2214659d7_ex10-22.htm" TargetMode="External"/><Relationship Id="rId445" Type="http://schemas.openxmlformats.org/officeDocument/2006/relationships/hyperlink" Target="http://www.sec.gov/Archives/edgar/data/1820190/000110465922081279/tm2214659d7_ex10-23.htm" TargetMode="External"/><Relationship Id="rId446" Type="http://schemas.openxmlformats.org/officeDocument/2006/relationships/hyperlink" Target="http://www.sec.gov/Archives/edgar/data/1820190/000110465922081279/tm2214659d7_ex10-24.htm" TargetMode="External"/><Relationship Id="rId447" Type="http://schemas.openxmlformats.org/officeDocument/2006/relationships/hyperlink" Target="http://www.sec.gov/Archives/edgar/data/1820190/000110465922081279/tm2214659d7_ex10-25.htm" TargetMode="External"/><Relationship Id="rId448" Type="http://schemas.openxmlformats.org/officeDocument/2006/relationships/hyperlink" Target="http://www.sec.gov/Archives/edgar/data/1820190/000110465922099735/vcka-20220623xex10d26.htm" TargetMode="External"/><Relationship Id="rId449" Type="http://schemas.openxmlformats.org/officeDocument/2006/relationships/hyperlink" Target="http://www.sec.gov/Archives/edgar/data/1820190/000110465922099735/vcka-20220623xex10d27.htm" TargetMode="External"/><Relationship Id="rId450" Type="http://schemas.openxmlformats.org/officeDocument/2006/relationships/hyperlink" Target="http://www.sec.gov/Archives/edgar/data/1820190/000110465922099735/vcka-20220623xex10d28.htm" TargetMode="External"/><Relationship Id="rId452" Type="http://schemas.openxmlformats.org/officeDocument/2006/relationships/hyperlink" Target="http://www.sec.gov/Archives/edgar/data/1820190/000110465922099735/vcka-20220623xex10d29.htm" TargetMode="External"/><Relationship Id="rId453" Type="http://schemas.openxmlformats.org/officeDocument/2006/relationships/hyperlink" Target="http://www.sec.gov/Archives/edgar/data/1820190/000110465922081279/tm2214659d7_ex10-34.htm" TargetMode="External"/><Relationship Id="rId454" Type="http://schemas.openxmlformats.org/officeDocument/2006/relationships/hyperlink" Target="http://www.sec.gov/Archives/edgar/data/1820190/000110465922081279/tm2214659d7_ex10-35.htm" TargetMode="External"/><Relationship Id="rId455" Type="http://schemas.openxmlformats.org/officeDocument/2006/relationships/hyperlink" Target="http://www.sec.gov/Archives/edgar/data/1820190/000110465922081279/tm2214659d7_ex10-36.htm" TargetMode="External"/><Relationship Id="rId456" Type="http://schemas.openxmlformats.org/officeDocument/2006/relationships/hyperlink" Target="http://www.sec.gov/Archives/edgar/data/1820190/000110465922081279/tm2214659d7_ex10-37.htm" TargetMode="External"/><Relationship Id="rId457" Type="http://schemas.openxmlformats.org/officeDocument/2006/relationships/hyperlink" Target="http://www.sec.gov/Archives/edgar/data/1820190/000110465922081279/tm2214659d7_ex10-38.htm" TargetMode="External"/><Relationship Id="rId458" Type="http://schemas.openxmlformats.org/officeDocument/2006/relationships/hyperlink" Target="http://www.sec.gov/Archives/edgar/data/1820190/000110465922081279/tm2214659d7_ex10-39.htm" TargetMode="External"/><Relationship Id="rId459" Type="http://schemas.openxmlformats.org/officeDocument/2006/relationships/hyperlink" Target="http://www.sec.gov/Archives/edgar/data/1820190/000110465922074469/vcka-20220331xex10d40.htm" TargetMode="External"/><Relationship Id="rId460" Type="http://schemas.openxmlformats.org/officeDocument/2006/relationships/hyperlink" Target="http://www.sec.gov/Archives/edgar/data/1820190/000110465922074469/vcka-20220331xex10d41.htm" TargetMode="External"/><Relationship Id="rId461" Type="http://schemas.openxmlformats.org/officeDocument/2006/relationships/hyperlink" Target="http://www.sec.gov/Archives/edgar/data/1820190/000095017025047800/sclx-ex10_33.htm" TargetMode="External"/><Relationship Id="rId462" Type="http://schemas.openxmlformats.org/officeDocument/2006/relationships/hyperlink" Target="http://www.sec.gov/Archives/edgar/data/1820190/000110465922074469/vcka-20220331xex10d42.htm" TargetMode="External"/><Relationship Id="rId464" Type="http://schemas.openxmlformats.org/officeDocument/2006/relationships/hyperlink" Target="http://www.sec.gov/Archives/edgar/data/1820190/000110465922074469/vcka-20220331xex10d43.htm" TargetMode="External"/><Relationship Id="rId465" Type="http://schemas.openxmlformats.org/officeDocument/2006/relationships/hyperlink" Target="http://www.sec.gov/Archives/edgar/data/1820190/000110465922074469/vcka-20220331xex10d44.htm" TargetMode="External"/><Relationship Id="rId466" Type="http://schemas.openxmlformats.org/officeDocument/2006/relationships/hyperlink" Target="http://www.sec.gov/Archives/edgar/data/1820190/000095017025047800/sclx-ex10_37.htm" TargetMode="External"/><Relationship Id="rId467" Type="http://schemas.openxmlformats.org/officeDocument/2006/relationships/hyperlink" Target="http://www.sec.gov/Archives/edgar/data/1820190/000119312522287783/d374632dex101.htm" TargetMode="External"/><Relationship Id="rId468" Type="http://schemas.openxmlformats.org/officeDocument/2006/relationships/hyperlink" Target="http://www.sec.gov/Archives/edgar/data/1820190/000119312523242508/d537034dex102.htm" TargetMode="External"/><Relationship Id="rId469" Type="http://schemas.openxmlformats.org/officeDocument/2006/relationships/hyperlink" Target="http://www.sec.gov/Archives/edgar/data/1820190/000119312523242508/d537034dex101.htm" TargetMode="External"/><Relationship Id="rId470" Type="http://schemas.openxmlformats.org/officeDocument/2006/relationships/hyperlink" Target="http://www.sec.gov/Archives/edgar/data/1820190/000119312524234244/d853982dex102.htm" TargetMode="External"/><Relationship Id="rId471" Type="http://schemas.openxmlformats.org/officeDocument/2006/relationships/hyperlink" Target="http://www.sec.gov/Archives/edgar/data/1820190/000119312523242508/d537034dex103.htm" TargetMode="External"/><Relationship Id="rId472" Type="http://schemas.openxmlformats.org/officeDocument/2006/relationships/hyperlink" Target="http://www.sec.gov/Archives/edgar/data/1820190/000119312524234244/d853982dex107.htm" TargetMode="External"/><Relationship Id="rId473" Type="http://schemas.openxmlformats.org/officeDocument/2006/relationships/hyperlink" Target="http://www.sec.gov/Archives/edgar/data/1820190/000119312524234244/d853982dex108.htm" TargetMode="External"/><Relationship Id="rId475" Type="http://schemas.openxmlformats.org/officeDocument/2006/relationships/hyperlink" Target="http://www.sec.gov/Archives/edgar/data/1820190/000119312523242508/d537034dex106.htm" TargetMode="External"/><Relationship Id="rId476" Type="http://schemas.openxmlformats.org/officeDocument/2006/relationships/hyperlink" Target="http://www.sec.gov/Archives/edgar/data/1820190/000119312523242508/d537034dex107.htm" TargetMode="External"/><Relationship Id="rId477" Type="http://schemas.openxmlformats.org/officeDocument/2006/relationships/hyperlink" Target="http://www.sec.gov/Archives/edgar/data/1820190/000119312523242508/d537034dex108.htm" TargetMode="External"/><Relationship Id="rId478" Type="http://schemas.openxmlformats.org/officeDocument/2006/relationships/hyperlink" Target="http://www.sec.gov/Archives/edgar/data/1820190/000119312523242508/d537034dex109.htm" TargetMode="External"/><Relationship Id="rId479" Type="http://schemas.openxmlformats.org/officeDocument/2006/relationships/hyperlink" Target="http://www.sec.gov/Archives/edgar/data/1820190/000119312524059255/d772929dex11.htm" TargetMode="External"/><Relationship Id="rId480" Type="http://schemas.openxmlformats.org/officeDocument/2006/relationships/hyperlink" Target="http://www.sec.gov/Archives/edgar/data/1820190/000095017023063810/sclx-ex10_12.htm" TargetMode="External"/><Relationship Id="rId481" Type="http://schemas.openxmlformats.org/officeDocument/2006/relationships/hyperlink" Target="http://www.sec.gov/Archives/edgar/data/1820190/000095017023063810/sclx-ex10_13.htm" TargetMode="External"/><Relationship Id="rId482" Type="http://schemas.openxmlformats.org/officeDocument/2006/relationships/hyperlink" Target="http://www.sec.gov/Archives/edgar/data/1820190/000095017023063810/sclx-ex10_14.htm" TargetMode="External"/><Relationship Id="rId483" Type="http://schemas.openxmlformats.org/officeDocument/2006/relationships/hyperlink" Target="http://www.sec.gov/Archives/edgar/data/1820190/000095017024058630/sclx-ex10_2.htm" TargetMode="External"/><Relationship Id="rId484" Type="http://schemas.openxmlformats.org/officeDocument/2006/relationships/hyperlink" Target="http://www.sec.gov/Archives/edgar/data/1820190/000119312524114000/d820664dex101.htm" TargetMode="External"/><Relationship Id="rId485" Type="http://schemas.openxmlformats.org/officeDocument/2006/relationships/hyperlink" Target="http://www.sec.gov/Archives/edgar/data/1820190/000119312524159926/d55926dex101.htm" TargetMode="External"/><Relationship Id="rId486" Type="http://schemas.openxmlformats.org/officeDocument/2006/relationships/hyperlink" Target="http://www.sec.gov/Archives/edgar/data/1820190/000119312524211651/d852041dex101.htm" TargetMode="External"/><Relationship Id="rId488" Type="http://schemas.openxmlformats.org/officeDocument/2006/relationships/hyperlink" Target="http://www.sec.gov/Archives/edgar/data/1820190/000119312524211651/d852041dex102.htm" TargetMode="External"/><Relationship Id="rId489" Type="http://schemas.openxmlformats.org/officeDocument/2006/relationships/hyperlink" Target="http://www.sec.gov/Archives/edgar/data/1820190/000119312524211651/d852041dex103.htm" TargetMode="External"/><Relationship Id="rId490" Type="http://schemas.openxmlformats.org/officeDocument/2006/relationships/hyperlink" Target="http://www.sec.gov/Archives/edgar/data/1820190/000119312524211651/d852041dex104.htm" TargetMode="External"/><Relationship Id="rId491" Type="http://schemas.openxmlformats.org/officeDocument/2006/relationships/hyperlink" Target="http://www.sec.gov/Archives/edgar/data/1820190/000119312524211651/d852041dex105.htm" TargetMode="External"/><Relationship Id="rId492" Type="http://schemas.openxmlformats.org/officeDocument/2006/relationships/hyperlink" Target="http://www.sec.gov/Archives/edgar/data/1820190/000095017024107615/sclx-ex10_1.htm" TargetMode="External"/><Relationship Id="rId493" Type="http://schemas.openxmlformats.org/officeDocument/2006/relationships/hyperlink" Target="http://www.sec.gov/Archives/edgar/data/1820190/000095017024108658/sclx-ex10_1.htm" TargetMode="External"/><Relationship Id="rId494" Type="http://schemas.openxmlformats.org/officeDocument/2006/relationships/hyperlink" Target="http://www.sec.gov/Archives/edgar/data/1820190/000119312524234244/d853982dex101.htm" TargetMode="External"/><Relationship Id="rId495" Type="http://schemas.openxmlformats.org/officeDocument/2006/relationships/hyperlink" Target="http://www.sec.gov/Archives/edgar/data/1820190/000119312524234244/d853982dex103.htm" TargetMode="External"/><Relationship Id="rId496" Type="http://schemas.openxmlformats.org/officeDocument/2006/relationships/hyperlink" Target="http://www.sec.gov/Archives/edgar/data/1820190/000119312525043338/d864577dex104.htm" TargetMode="External"/><Relationship Id="rId497" Type="http://schemas.openxmlformats.org/officeDocument/2006/relationships/hyperlink" Target="http://www.sec.gov/Archives/edgar/data/1820190/000119312524234244/d853982dex104.htm" TargetMode="External"/><Relationship Id="rId498" Type="http://schemas.openxmlformats.org/officeDocument/2006/relationships/hyperlink" Target="http://www.sec.gov/Archives/edgar/data/1820190/000119312524234244/d853982dex105.htm" TargetMode="External"/><Relationship Id="rId499" Type="http://schemas.openxmlformats.org/officeDocument/2006/relationships/hyperlink" Target="http://www.sec.gov/Archives/edgar/data/1820190/000119312525039211/d859484dex101.htm" TargetMode="External"/><Relationship Id="rId501" Type="http://schemas.openxmlformats.org/officeDocument/2006/relationships/hyperlink" Target="http://www.sec.gov/Archives/edgar/data/1820190/000119312525039211/d859484dex102.htm" TargetMode="External"/><Relationship Id="rId502" Type="http://schemas.openxmlformats.org/officeDocument/2006/relationships/hyperlink" Target="http://www.sec.gov/Archives/edgar/data/1820190/000119312524273896/d905678dex101.htm" TargetMode="External"/><Relationship Id="rId503" Type="http://schemas.openxmlformats.org/officeDocument/2006/relationships/hyperlink" Target="http://www.sec.gov/Archives/edgar/data/1820190/000119312524273896/d905678dex102.htm" TargetMode="External"/><Relationship Id="rId504" Type="http://schemas.openxmlformats.org/officeDocument/2006/relationships/hyperlink" Target="http://www.sec.gov/Archives/edgar/data/1820190/000119312524273896/d905678dex103.htm" TargetMode="External"/><Relationship Id="rId505" Type="http://schemas.openxmlformats.org/officeDocument/2006/relationships/hyperlink" Target="http://www.sec.gov/Archives/edgar/data/1820190/000119312524273896/d905678dex104.htm" TargetMode="External"/><Relationship Id="rId506" Type="http://schemas.openxmlformats.org/officeDocument/2006/relationships/hyperlink" Target="http://www.sec.gov/Archives/edgar/data/1820190/000119312524278311/d836578dex101.htm" TargetMode="External"/><Relationship Id="rId507" Type="http://schemas.openxmlformats.org/officeDocument/2006/relationships/hyperlink" Target="http://www.sec.gov/Archives/edgar/data/1820190/000095017024029473/sclx-ex19_1.htm" TargetMode="External"/><Relationship Id="rId508" Type="http://schemas.openxmlformats.org/officeDocument/2006/relationships/hyperlink" Target="http://www.sec.gov/Archives/edgar/data/1820190/000119312523259945/d53662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2025-05-07T16:22:54Z</dcterms:created>
  <dcterms:modified xsi:type="dcterms:W3CDTF">2025-05-07T16:22:54Z</dcterms:modified>
</cp:coreProperties>
</file>