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480"/>
        <w:jc w:val="center"/>
        <w:rPr>
          <w:rFonts w:ascii="Times New Roman" w:hAnsi="Times New Roman"/>
          <w:b/>
          <w:color w:val="000000"/>
          <w:sz w:val="22"/>
        </w:rPr>
      </w:pPr>
      <w:bookmarkStart w:id="0" w:name="section1"/>
      <w:bookmarkStart w:id="1" w:name="scilex_nt_10q_2026.htm"/>
      <w:bookmarkStart w:id="2" w:name="ksscilex_nt_10q_2026"/>
      <w:bookmarkEnd w:id="0"/>
      <w:bookmarkEnd w:id="1"/>
      <w:bookmarkEnd w:id="2"/>
      <w:r>
        <w:rPr>
          <w:rFonts w:ascii="Times New Roman" w:hAnsi="Times New Roman"/>
          <w:b/>
          <w:color w:val="000000"/>
          <w:sz w:val="22"/>
        </w:rPr>
        <w:t>UNITED STATES</w:t>
        <w:br/>
        <w:t>SECURITIES AND EXCHANGE COMMISSION</w:t>
        <w:br/>
        <w:t>WASHINGTON, D.C. 20549</w:t>
        <w:br/>
        <w:br/>
        <w:t>FORM 12b-25</w:t>
        <w:br/>
        <w:br/>
        <w:t>NOTIFICATION OF LATE FILING</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SEC File Number: 001-39852</w:t>
      </w:r>
    </w:p>
    <w:p>
      <w:pPr>
        <w:pStyle w:val="TextBody"/>
        <w:bidi w:val="0"/>
        <w:spacing w:before="0" w:after="240"/>
        <w:jc w:val="right"/>
        <w:rPr>
          <w:rFonts w:ascii="Times New Roman" w:hAnsi="Times New Roman"/>
          <w:color w:val="000000"/>
          <w:sz w:val="22"/>
        </w:rPr>
      </w:pPr>
      <w:r>
        <w:rPr>
          <w:rFonts w:ascii="Times New Roman" w:hAnsi="Times New Roman"/>
          <w:color w:val="000000"/>
          <w:sz w:val="22"/>
        </w:rPr>
        <w:t>CUSIP Number: 80880W106</w:t>
      </w:r>
    </w:p>
    <w:p>
      <w:pPr>
        <w:pStyle w:val="TextBody"/>
        <w:bidi w:val="0"/>
        <w:jc w:val="left"/>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Check One</w:t>
      </w:r>
      <w:r>
        <w:rPr>
          <w:rFonts w:ascii="Times New Roman" w:hAnsi="Times New Roman"/>
          <w:color w:val="000000"/>
          <w:sz w:val="22"/>
        </w:rPr>
        <w:t>): ☐ Form 10-K ☐ Form 20-F ☐ Form 11-K</w:t>
      </w:r>
    </w:p>
    <w:p>
      <w:pPr>
        <w:pStyle w:val="TextBody"/>
        <w:bidi w:val="0"/>
        <w:jc w:val="left"/>
        <w:rPr>
          <w:color w:val="000000"/>
        </w:rPr>
      </w:pPr>
      <w:r>
        <w:rPr>
          <w:color w:val="000000"/>
        </w:rPr>
        <w:t xml:space="preserve">☒ </w:t>
      </w:r>
      <w:r>
        <w:rPr>
          <w:rFonts w:ascii="Times New Roman" w:hAnsi="Times New Roman"/>
          <w:color w:val="000000"/>
          <w:sz w:val="22"/>
        </w:rPr>
        <w:t>Form 10-Q ☐ Form 10-D ☐ Form N-CEN ☐ Form N-CSR</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2"/>
        </w:rPr>
        <w:t xml:space="preserve">For Period Ended: </w:t>
      </w:r>
      <w:r>
        <w:rPr>
          <w:rFonts w:ascii="Times New Roman" w:hAnsi="Times New Roman"/>
          <w:color w:val="000000"/>
          <w:sz w:val="22"/>
          <w:u w:val="single"/>
        </w:rPr>
        <w:t xml:space="preserve">March 31, 2026 </w:t>
      </w:r>
    </w:p>
    <w:p>
      <w:pPr>
        <w:pStyle w:val="TextBody"/>
        <w:bidi w:val="0"/>
        <w:spacing w:before="0" w:after="120"/>
        <w:jc w:val="both"/>
        <w:rPr>
          <w:color w:val="000000"/>
        </w:rPr>
      </w:pPr>
      <w:r>
        <w:rPr>
          <w:color w:val="000000"/>
        </w:rPr>
        <w:t xml:space="preserve">☐ </w:t>
      </w:r>
      <w:r>
        <w:rPr>
          <w:rFonts w:ascii="Times New Roman" w:hAnsi="Times New Roman"/>
          <w:color w:val="000000"/>
          <w:sz w:val="22"/>
        </w:rPr>
        <w:t>Transition Report on Form 10-K</w:t>
      </w:r>
    </w:p>
    <w:p>
      <w:pPr>
        <w:pStyle w:val="TextBody"/>
        <w:bidi w:val="0"/>
        <w:spacing w:before="0" w:after="120"/>
        <w:jc w:val="both"/>
        <w:rPr>
          <w:color w:val="000000"/>
        </w:rPr>
      </w:pPr>
      <w:r>
        <w:rPr>
          <w:color w:val="000000"/>
        </w:rPr>
        <w:t xml:space="preserve">☐ </w:t>
      </w:r>
      <w:r>
        <w:rPr>
          <w:rFonts w:ascii="Times New Roman" w:hAnsi="Times New Roman"/>
          <w:color w:val="000000"/>
          <w:sz w:val="22"/>
        </w:rPr>
        <w:t>Transition Report on Form 20-F</w:t>
      </w:r>
    </w:p>
    <w:p>
      <w:pPr>
        <w:pStyle w:val="TextBody"/>
        <w:bidi w:val="0"/>
        <w:spacing w:before="0" w:after="120"/>
        <w:jc w:val="both"/>
        <w:rPr>
          <w:color w:val="000000"/>
        </w:rPr>
      </w:pPr>
      <w:r>
        <w:rPr>
          <w:color w:val="000000"/>
        </w:rPr>
        <w:t xml:space="preserve">☐ </w:t>
      </w:r>
      <w:r>
        <w:rPr>
          <w:rFonts w:ascii="Times New Roman" w:hAnsi="Times New Roman"/>
          <w:color w:val="000000"/>
          <w:sz w:val="22"/>
        </w:rPr>
        <w:t>Transition Report on Form 11-K</w:t>
      </w:r>
    </w:p>
    <w:p>
      <w:pPr>
        <w:pStyle w:val="TextBody"/>
        <w:bidi w:val="0"/>
        <w:spacing w:before="0" w:after="120"/>
        <w:jc w:val="both"/>
        <w:rPr>
          <w:color w:val="000000"/>
        </w:rPr>
      </w:pPr>
      <w:r>
        <w:rPr>
          <w:color w:val="000000"/>
        </w:rPr>
        <w:t xml:space="preserve">☐ </w:t>
      </w:r>
      <w:r>
        <w:rPr>
          <w:rFonts w:ascii="Times New Roman" w:hAnsi="Times New Roman"/>
          <w:color w:val="000000"/>
          <w:sz w:val="22"/>
        </w:rPr>
        <w:t>Transition Report on Form 10-Q</w:t>
      </w:r>
    </w:p>
    <w:p>
      <w:pPr>
        <w:pStyle w:val="TextBody"/>
        <w:bidi w:val="0"/>
        <w:spacing w:before="0" w:after="240"/>
        <w:jc w:val="both"/>
        <w:rPr>
          <w:rFonts w:ascii="Times New Roman" w:hAnsi="Times New Roman"/>
          <w:sz w:val="20"/>
        </w:rPr>
      </w:pPr>
      <w:r>
        <w:rPr>
          <w:rFonts w:ascii="Times New Roman" w:hAnsi="Times New Roman"/>
          <w:color w:val="000000"/>
          <w:sz w:val="22"/>
        </w:rPr>
        <w:t>For the Transition Period Ended:</w:t>
      </w:r>
      <w:r>
        <w:rPr>
          <w:rFonts w:ascii="Times New Roman" w:hAnsi="Times New Roman"/>
          <w:color w:val="000000"/>
          <w:sz w:val="20"/>
          <w:u w:val="single"/>
        </w:rPr>
        <w:t xml:space="preserve">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Nothing in this form shall be construed to imply that the Commission has verified any information contained herein.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the notification relates to a portion of the filing checked above, identify the Item(s) to which the notification relates:</w:t>
      </w:r>
    </w:p>
    <w:p>
      <w:pPr>
        <w:pStyle w:val="TextBody"/>
        <w:bidi w:val="0"/>
        <w:spacing w:before="240" w:after="240"/>
        <w:jc w:val="center"/>
        <w:rPr>
          <w:rFonts w:ascii="Times New Roman" w:hAnsi="Times New Roman"/>
          <w:b/>
          <w:color w:val="000000"/>
          <w:sz w:val="22"/>
        </w:rPr>
      </w:pPr>
      <w:r>
        <w:rPr>
          <w:rFonts w:ascii="Times New Roman" w:hAnsi="Times New Roman"/>
          <w:b/>
          <w:color w:val="000000"/>
          <w:sz w:val="22"/>
        </w:rPr>
        <w:t>PART I</w:t>
        <w:br/>
        <w:t>REGISTRANT INFORMATION</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Scilex Holding Company</w:t>
      </w:r>
      <w:r>
        <w:rPr>
          <w:rFonts w:ascii="Times New Roman" w:hAnsi="Times New Roman"/>
          <w:color w:val="000000"/>
          <w:sz w:val="22"/>
        </w:rPr>
        <w:br/>
        <w:t>Full Name of Registrant</w:t>
      </w:r>
    </w:p>
    <w:p>
      <w:pPr>
        <w:pStyle w:val="TextBody"/>
        <w:bidi w:val="0"/>
        <w:spacing w:before="0" w:after="240"/>
        <w:jc w:val="left"/>
        <w:rPr>
          <w:rFonts w:ascii="Times New Roman" w:hAnsi="Times New Roman"/>
          <w:sz w:val="20"/>
        </w:rPr>
      </w:pPr>
      <w:r>
        <w:rPr>
          <w:rFonts w:ascii="Times New Roman" w:hAnsi="Times New Roman"/>
          <w:color w:val="000000"/>
          <w:sz w:val="22"/>
          <w:u w:val="single"/>
        </w:rPr>
        <w:br/>
      </w:r>
      <w:r>
        <w:rPr>
          <w:rFonts w:ascii="Times New Roman" w:hAnsi="Times New Roman"/>
          <w:color w:val="000000"/>
          <w:sz w:val="22"/>
        </w:rPr>
        <w:t>Former Name if Applicable</w:t>
      </w:r>
    </w:p>
    <w:p>
      <w:pPr>
        <w:pStyle w:val="TextBody"/>
        <w:bidi w:val="0"/>
        <w:spacing w:before="0" w:after="240"/>
        <w:jc w:val="left"/>
        <w:rPr>
          <w:rFonts w:ascii="Times New Roman" w:hAnsi="Times New Roman"/>
          <w:sz w:val="20"/>
        </w:rPr>
      </w:pPr>
      <w:r>
        <w:rPr>
          <w:rFonts w:ascii="Times New Roman" w:hAnsi="Times New Roman"/>
          <w:color w:val="000000"/>
          <w:sz w:val="22"/>
          <w:u w:val="single"/>
        </w:rPr>
        <w:t>960 San Antonio Road</w:t>
        <w:br/>
      </w:r>
      <w:r>
        <w:rPr>
          <w:rFonts w:ascii="Times New Roman" w:hAnsi="Times New Roman"/>
          <w:color w:val="000000"/>
          <w:sz w:val="22"/>
        </w:rPr>
        <w:t>Address of Principal Executive Office (</w:t>
      </w:r>
      <w:r>
        <w:rPr>
          <w:rFonts w:ascii="Times New Roman" w:hAnsi="Times New Roman"/>
          <w:i/>
          <w:color w:val="000000"/>
          <w:sz w:val="22"/>
        </w:rPr>
        <w:t>Street and Number</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color w:val="000000"/>
          <w:sz w:val="22"/>
          <w:u w:val="single"/>
        </w:rPr>
        <w:t>Palo Alto, California 94303</w:t>
      </w:r>
      <w:r>
        <w:rPr>
          <w:rFonts w:ascii="Times New Roman" w:hAnsi="Times New Roman"/>
          <w:color w:val="000000"/>
          <w:sz w:val="22"/>
        </w:rPr>
        <w:br/>
        <w:t>City, State and Zip Code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PART II</w:t>
        <w:br/>
        <w:t>RULES 12b-25(b) AND (c)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subject report could not be filed without unreasonable effort or expense and the registrant seeks relief pursuant to Rule 12b-25(b), the following should be completed. (Check box if appropriate)</w:t>
      </w:r>
    </w:p>
    <w:tbl>
      <w:tblPr>
        <w:tblW w:w="10205" w:type="dxa"/>
        <w:jc w:val="left"/>
        <w:tblInd w:w="0" w:type="dxa"/>
        <w:tblLayout w:type="fixed"/>
        <w:tblCellMar>
          <w:top w:w="28" w:type="dxa"/>
          <w:left w:w="28" w:type="dxa"/>
          <w:bottom w:w="28" w:type="dxa"/>
          <w:right w:w="28" w:type="dxa"/>
        </w:tblCellMar>
      </w:tblPr>
      <w:tblGrid>
        <w:gridCol w:w="1127"/>
        <w:gridCol w:w="9078"/>
      </w:tblGrid>
      <w:tr>
        <w:trPr/>
        <w:tc>
          <w:tcPr>
            <w:tcW w:w="1127" w:type="dxa"/>
            <w:tcBorders/>
            <w:vAlign w:val="center"/>
          </w:tcPr>
          <w:p>
            <w:pPr>
              <w:pStyle w:val="TableContents"/>
              <w:bidi w:val="0"/>
              <w:spacing w:before="0" w:after="283"/>
              <w:jc w:val="left"/>
              <w:rPr>
                <w:sz w:val="4"/>
                <w:szCs w:val="4"/>
              </w:rPr>
            </w:pPr>
            <w:r>
              <w:rPr>
                <w:sz w:val="4"/>
                <w:szCs w:val="4"/>
              </w:rPr>
            </w:r>
          </w:p>
        </w:tc>
        <w:tc>
          <w:tcPr>
            <w:tcW w:w="9078" w:type="dxa"/>
            <w:tcBorders/>
            <w:vAlign w:val="center"/>
          </w:tcPr>
          <w:p>
            <w:pPr>
              <w:pStyle w:val="TableContents"/>
              <w:bidi w:val="0"/>
              <w:spacing w:before="0" w:after="283"/>
              <w:jc w:val="left"/>
              <w:rPr>
                <w:sz w:val="4"/>
                <w:szCs w:val="4"/>
              </w:rPr>
            </w:pPr>
            <w:r>
              <w:rPr>
                <w:sz w:val="4"/>
                <w:szCs w:val="4"/>
              </w:rPr>
            </w:r>
          </w:p>
        </w:tc>
      </w:tr>
      <w:tr>
        <w:trPr/>
        <w:tc>
          <w:tcPr>
            <w:tcW w:w="1127" w:type="dxa"/>
            <w:vMerge w:val="restart"/>
            <w:tcBorders/>
            <w:tcMar>
              <w:top w:w="0" w:type="dxa"/>
              <w:left w:w="0" w:type="dxa"/>
              <w:bottom w:w="0" w:type="dxa"/>
              <w:right w:w="0" w:type="dxa"/>
            </w:tcMar>
            <w:vAlign w:val="center"/>
          </w:tcPr>
          <w:p>
            <w:pPr>
              <w:pStyle w:val="TableContents"/>
              <w:bidi w:val="0"/>
              <w:spacing w:before="0" w:after="283"/>
              <w:ind w:left="0" w:right="0" w:firstLine="796"/>
              <w:jc w:val="right"/>
              <w:rPr>
                <w:color w:val="000000"/>
              </w:rPr>
            </w:pPr>
            <w:r>
              <w:rPr>
                <w:color w:val="000000"/>
              </w:rPr>
              <w:t>☒</w:t>
            </w:r>
          </w:p>
        </w:tc>
        <w:tc>
          <w:tcPr>
            <w:tcW w:w="9078" w:type="dxa"/>
            <w:tcBorders/>
            <w:tcMar>
              <w:top w:w="0" w:type="dxa"/>
              <w:left w:w="0" w:type="dxa"/>
              <w:bottom w:w="0" w:type="dxa"/>
              <w:right w:w="0" w:type="dxa"/>
            </w:tcMar>
            <w:vAlign w:val="center"/>
          </w:tcPr>
          <w:p>
            <w:pPr>
              <w:pStyle w:val="TableContents"/>
              <w:bidi w:val="0"/>
              <w:spacing w:before="53" w:after="30"/>
              <w:ind w:left="0" w:right="0" w:firstLine="796"/>
              <w:jc w:val="both"/>
              <w:rPr>
                <w:rFonts w:ascii="Times New Roman" w:hAnsi="Times New Roman"/>
                <w:color w:val="000000"/>
                <w:sz w:val="22"/>
              </w:rPr>
            </w:pPr>
            <w:r>
              <w:rPr>
                <w:rFonts w:ascii="Times New Roman" w:hAnsi="Times New Roman"/>
                <w:color w:val="000000"/>
                <w:sz w:val="22"/>
              </w:rPr>
              <w:t>(a) The reason described in reasonable detail in Part III of this form could not be eliminated without unreasonable effort or expense;</w:t>
            </w:r>
          </w:p>
        </w:tc>
      </w:tr>
      <w:tr>
        <w:trPr/>
        <w:tc>
          <w:tcPr>
            <w:tcW w:w="1127" w:type="dxa"/>
            <w:vMerge w:val="continue"/>
            <w:tcBorders/>
            <w:tcMar>
              <w:top w:w="0" w:type="dxa"/>
              <w:left w:w="0" w:type="dxa"/>
              <w:bottom w:w="0" w:type="dxa"/>
              <w:right w:w="0" w:type="dxa"/>
            </w:tcMar>
            <w:vAlign w:val="center"/>
          </w:tcPr>
          <w:p>
            <w:pPr>
              <w:pStyle w:val="Normal"/>
              <w:bidi w:val="0"/>
              <w:jc w:val="left"/>
              <w:rPr/>
            </w:pPr>
            <w:r>
              <w:rPr/>
            </w:r>
          </w:p>
        </w:tc>
        <w:tc>
          <w:tcPr>
            <w:tcW w:w="9078" w:type="dxa"/>
            <w:tcBorders/>
            <w:tcMar>
              <w:top w:w="0" w:type="dxa"/>
              <w:left w:w="0" w:type="dxa"/>
              <w:bottom w:w="0" w:type="dxa"/>
              <w:right w:w="0" w:type="dxa"/>
            </w:tcMar>
            <w:vAlign w:val="center"/>
          </w:tcPr>
          <w:p>
            <w:pPr>
              <w:pStyle w:val="TableContents"/>
              <w:bidi w:val="0"/>
              <w:spacing w:before="53" w:after="30"/>
              <w:ind w:left="0" w:right="0" w:firstLine="794"/>
              <w:jc w:val="both"/>
              <w:rPr>
                <w:rFonts w:ascii="Times New Roman" w:hAnsi="Times New Roman"/>
                <w:color w:val="000000"/>
                <w:sz w:val="22"/>
              </w:rPr>
            </w:pPr>
            <w:r>
              <w:rPr>
                <w:rFonts w:ascii="Times New Roman" w:hAnsi="Times New Roman"/>
                <w:color w:val="000000"/>
                <w:sz w:val="22"/>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1127" w:type="dxa"/>
            <w:vMerge w:val="continue"/>
            <w:tcBorders/>
            <w:tcMar>
              <w:top w:w="0" w:type="dxa"/>
              <w:left w:w="0" w:type="dxa"/>
              <w:bottom w:w="0" w:type="dxa"/>
              <w:right w:w="0" w:type="dxa"/>
            </w:tcMar>
            <w:vAlign w:val="center"/>
          </w:tcPr>
          <w:p>
            <w:pPr>
              <w:pStyle w:val="Normal"/>
              <w:bidi w:val="0"/>
              <w:jc w:val="left"/>
              <w:rPr/>
            </w:pPr>
            <w:r>
              <w:rPr/>
            </w:r>
          </w:p>
        </w:tc>
        <w:tc>
          <w:tcPr>
            <w:tcW w:w="9078" w:type="dxa"/>
            <w:tcBorders/>
            <w:tcMar>
              <w:top w:w="0" w:type="dxa"/>
              <w:left w:w="0" w:type="dxa"/>
              <w:bottom w:w="0" w:type="dxa"/>
              <w:right w:w="0" w:type="dxa"/>
            </w:tcMar>
            <w:vAlign w:val="center"/>
          </w:tcPr>
          <w:p>
            <w:pPr>
              <w:pStyle w:val="TableContents"/>
              <w:bidi w:val="0"/>
              <w:spacing w:before="53" w:after="30"/>
              <w:ind w:left="0" w:right="0" w:firstLine="794"/>
              <w:jc w:val="both"/>
              <w:rPr>
                <w:rFonts w:ascii="Times New Roman" w:hAnsi="Times New Roman"/>
                <w:color w:val="000000"/>
                <w:sz w:val="22"/>
              </w:rPr>
            </w:pPr>
            <w:r>
              <w:rPr>
                <w:rFonts w:ascii="Times New Roman" w:hAnsi="Times New Roman"/>
                <w:color w:val="000000"/>
                <w:sz w:val="22"/>
              </w:rPr>
              <w:t>(c) The accountant’s statement or other exhibit required by Rule 12b-25(c) has been attached if applicable.</w:t>
            </w:r>
          </w:p>
        </w:tc>
      </w:tr>
    </w:tbl>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PART III</w:t>
        <w:br/>
        <w:t>NARRATIVE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State below in reasonable detail the reasons why Forms 10-K, 20-F, 11-K, 10-Q, 10-D, N-CEN, N-CSR, or the transition report or portion thereof, could not be filed within the prescribed time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Scilex Holding Company (the “Company”) has determined that it is unable, without unreasonable effort or expense, to file its Quarterly Report on Form 10-Q for the fiscal quarter ended March 31, 2026 (the “Form 10-Q”) by May 15, 2026, the prescribed due date, because it requires more time to finalize its financial statements to be included in such Form 10-Q, including the consolidation of Vivasor Holding Company. The Company is working diligently to complete the Form 10-Q as soon as practicable, which the Company anticipates will not be later than the fifth calendar day following the prescribed due date for the Form 10-Q, or May 20, 2026.</w:t>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PART IV</w:t>
        <w:br/>
        <w:t>OTHER INFORMATION</w:t>
      </w:r>
    </w:p>
    <w:p>
      <w:pPr>
        <w:pStyle w:val="TextBody"/>
        <w:bidi w:val="0"/>
        <w:spacing w:before="0" w:after="120"/>
        <w:jc w:val="left"/>
        <w:rPr>
          <w:rFonts w:ascii="Times New Roman" w:hAnsi="Times New Roman"/>
          <w:sz w:val="20"/>
        </w:rPr>
      </w:pPr>
      <w:r>
        <w:rPr>
          <w:rFonts w:ascii="Times New Roman" w:hAnsi="Times New Roman"/>
          <w:color w:val="000000"/>
          <w:sz w:val="22"/>
        </w:rPr>
        <w:t>(1) Name and telephone number of person to contact in regard to this notification</w:t>
      </w:r>
      <w:r>
        <w:rPr>
          <w:rFonts w:ascii="Times New Roman" w:hAnsi="Times New Roman"/>
          <w:color w:val="000000"/>
          <w:sz w:val="20"/>
        </w:rPr>
        <w:t xml:space="preserve"> </w:t>
      </w:r>
    </w:p>
    <w:tbl>
      <w:tblPr>
        <w:tblW w:w="6873" w:type="dxa"/>
        <w:jc w:val="left"/>
        <w:tblInd w:w="0" w:type="dxa"/>
        <w:tblLayout w:type="fixed"/>
        <w:tblCellMar>
          <w:top w:w="28" w:type="dxa"/>
          <w:left w:w="28" w:type="dxa"/>
          <w:bottom w:w="28" w:type="dxa"/>
          <w:right w:w="28" w:type="dxa"/>
        </w:tblCellMar>
      </w:tblPr>
      <w:tblGrid>
        <w:gridCol w:w="3496"/>
        <w:gridCol w:w="1261"/>
        <w:gridCol w:w="2116"/>
      </w:tblGrid>
      <w:tr>
        <w:trPr/>
        <w:tc>
          <w:tcPr>
            <w:tcW w:w="34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2"/>
              </w:rPr>
            </w:pPr>
            <w:r>
              <w:rPr>
                <w:rFonts w:ascii="Times New Roman" w:hAnsi="Times New Roman"/>
                <w:color w:val="000000"/>
                <w:sz w:val="22"/>
              </w:rPr>
              <w:t>Stephen Ma, Chief Financial Officer</w:t>
            </w:r>
          </w:p>
        </w:tc>
        <w:tc>
          <w:tcPr>
            <w:tcW w:w="1261" w:type="dxa"/>
            <w:tcBorders>
              <w:bottom w:val="single" w:sz="4"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2"/>
              </w:rPr>
            </w:pPr>
            <w:r>
              <w:rPr>
                <w:rFonts w:ascii="Times New Roman" w:hAnsi="Times New Roman"/>
                <w:color w:val="000000"/>
                <w:sz w:val="22"/>
              </w:rPr>
              <w:t>(650)</w:t>
            </w:r>
          </w:p>
        </w:tc>
        <w:tc>
          <w:tcPr>
            <w:tcW w:w="2116" w:type="dxa"/>
            <w:tcBorders>
              <w:bottom w:val="single" w:sz="4"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2"/>
              </w:rPr>
            </w:pPr>
            <w:r>
              <w:rPr>
                <w:rFonts w:ascii="Times New Roman" w:hAnsi="Times New Roman"/>
                <w:color w:val="000000"/>
                <w:sz w:val="22"/>
              </w:rPr>
              <w:t>516-4310</w:t>
            </w:r>
          </w:p>
        </w:tc>
      </w:tr>
      <w:tr>
        <w:trPr/>
        <w:tc>
          <w:tcPr>
            <w:tcW w:w="3496" w:type="dxa"/>
            <w:tcBorders/>
            <w:tcMar>
              <w:top w:w="0" w:type="dxa"/>
              <w:left w:w="0" w:type="dxa"/>
              <w:bottom w:w="0" w:type="dxa"/>
              <w:right w:w="0" w:type="dxa"/>
            </w:tcMar>
            <w:vAlign w:val="center"/>
          </w:tcPr>
          <w:p>
            <w:pPr>
              <w:pStyle w:val="TableContents"/>
              <w:bidi w:val="0"/>
              <w:spacing w:before="43" w:after="30"/>
              <w:jc w:val="center"/>
              <w:rPr>
                <w:rFonts w:ascii="Times New Roman" w:hAnsi="Times New Roman"/>
                <w:color w:val="000000"/>
                <w:sz w:val="22"/>
              </w:rPr>
            </w:pPr>
            <w:r>
              <w:rPr>
                <w:rFonts w:ascii="Times New Roman" w:hAnsi="Times New Roman"/>
                <w:color w:val="000000"/>
                <w:sz w:val="22"/>
              </w:rPr>
              <w:t>(Name)</w:t>
            </w:r>
          </w:p>
        </w:tc>
        <w:tc>
          <w:tcPr>
            <w:tcW w:w="1261" w:type="dxa"/>
            <w:tcBorders/>
            <w:tcMar>
              <w:top w:w="0" w:type="dxa"/>
              <w:left w:w="0" w:type="dxa"/>
              <w:bottom w:w="0" w:type="dxa"/>
              <w:right w:w="0" w:type="dxa"/>
            </w:tcMar>
            <w:vAlign w:val="center"/>
          </w:tcPr>
          <w:p>
            <w:pPr>
              <w:pStyle w:val="TableContents"/>
              <w:bidi w:val="0"/>
              <w:spacing w:before="43" w:after="30"/>
              <w:jc w:val="center"/>
              <w:rPr>
                <w:rFonts w:ascii="Times New Roman" w:hAnsi="Times New Roman"/>
                <w:color w:val="000000"/>
                <w:sz w:val="22"/>
              </w:rPr>
            </w:pPr>
            <w:r>
              <w:rPr>
                <w:rFonts w:ascii="Times New Roman" w:hAnsi="Times New Roman"/>
                <w:color w:val="000000"/>
                <w:sz w:val="22"/>
              </w:rPr>
              <w:t>(Area Code)</w:t>
            </w:r>
          </w:p>
        </w:tc>
        <w:tc>
          <w:tcPr>
            <w:tcW w:w="2116" w:type="dxa"/>
            <w:tcBorders/>
            <w:tcMar>
              <w:top w:w="0" w:type="dxa"/>
              <w:left w:w="0" w:type="dxa"/>
              <w:bottom w:w="0" w:type="dxa"/>
              <w:right w:w="0" w:type="dxa"/>
            </w:tcMar>
            <w:vAlign w:val="center"/>
          </w:tcPr>
          <w:p>
            <w:pPr>
              <w:pStyle w:val="TableContents"/>
              <w:bidi w:val="0"/>
              <w:spacing w:before="43" w:after="30"/>
              <w:jc w:val="center"/>
              <w:rPr>
                <w:rFonts w:ascii="Times New Roman" w:hAnsi="Times New Roman"/>
                <w:color w:val="000000"/>
                <w:sz w:val="22"/>
              </w:rPr>
            </w:pPr>
            <w:r>
              <w:rPr>
                <w:rFonts w:ascii="Times New Roman" w:hAnsi="Times New Roman"/>
                <w:color w:val="000000"/>
                <w:sz w:val="22"/>
              </w:rPr>
              <w:t>(Telephone Number)</w:t>
            </w:r>
          </w:p>
        </w:tc>
      </w:tr>
    </w:tbl>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2"/>
        </w:rPr>
        <w:t xml:space="preserve">(2)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r>
        <w:rPr>
          <w:rFonts w:ascii="Times New Roman" w:hAnsi="Times New Roman"/>
          <w:color w:val="000000"/>
          <w:sz w:val="20"/>
        </w:rPr>
        <w:t xml:space="preserve">☑ </w:t>
      </w:r>
      <w:r>
        <w:rPr>
          <w:rFonts w:ascii="Times New Roman" w:hAnsi="Times New Roman"/>
          <w:color w:val="000000"/>
          <w:sz w:val="22"/>
        </w:rPr>
        <w:t xml:space="preserve">Yes </w:t>
      </w:r>
      <w:r>
        <w:rPr>
          <w:rFonts w:ascii="Times New Roman" w:hAnsi="Times New Roman"/>
          <w:color w:val="000000"/>
          <w:sz w:val="20"/>
        </w:rPr>
        <w:t xml:space="preserve">☐ </w:t>
      </w:r>
      <w:r>
        <w:rPr>
          <w:rFonts w:ascii="Times New Roman" w:hAnsi="Times New Roman"/>
          <w:color w:val="000000"/>
          <w:sz w:val="22"/>
        </w:rPr>
        <w:t>No</w:t>
      </w:r>
    </w:p>
    <w:p>
      <w:pPr>
        <w:pStyle w:val="TextBody"/>
        <w:bidi w:val="0"/>
        <w:spacing w:before="0" w:after="12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(3) Is it anticipated that any significant change in results of operations from the corresponding period for the last fiscal year will be reflected by the earnings statements to be included in the subject report or portion thereof? ☐ Yes ☑ No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so, attach an explanation of the anticipated change, both narratively and quantitatively, and, if appropriate, state the reasons why a reasonable estimate of the results cannot be made.</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This Form 12b-25 includes “forward-looking statements” within the meaning of the “safe harbor” provisions of the Private Securities Litigation Reform Act of 1995. Statements in this filing about the Company that are not historical facts are forward-looking statements based on the Company’s current expectations, assumptions, estimates and projections. These forward-looking statements are subject to risks and uncertainties that could cause actual future events or results to differ materially from such statements. These forward-looking statements are based on our current expectations, which may not prove to be accurate. The words “believe,” “may,” “will,” “estimate,” “potential,” “continue,” “anticipate,” “intend,” “expect,” “could,” “would,” “project,” “plan,” “target” and similar expressions are intended to identify forward-looking statements. These forward-looking statements include, but are not limited to, statements regarding the Company’s beliefs and expectations relating to the filing of the Form 10-Q and the results of the ongoing review. Important factors that may cause actual results to differ materially from those in the forward-looking statements include, but are not limited to, a material delay in the Company’s financial reporting, including the possibility that the Company will not be able to file its Form 10-Q within the extension permitted by Rule 12b-25 of the Securities Exchange Act of 1934, as amended, and the possibility that the ongoing review may identify errors or control deficiencies in the Company’s accounting practices. The Company disclaims and does not undertake any obligation to update or revise any forward-looking statement in this report, except as required by applicable law or regulation.</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Scilex Holding Company</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(Name of Registrant as Specified in Charter)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has caused this notification to be signed on its behalf by the undersigned hereunto duly authorized.</w:t>
      </w:r>
    </w:p>
    <w:tbl>
      <w:tblPr>
        <w:tblW w:w="4292" w:type="dxa"/>
        <w:jc w:val="left"/>
        <w:tblInd w:w="0" w:type="dxa"/>
        <w:tblLayout w:type="fixed"/>
        <w:tblCellMar>
          <w:top w:w="28" w:type="dxa"/>
          <w:left w:w="28" w:type="dxa"/>
          <w:bottom w:w="28" w:type="dxa"/>
          <w:right w:w="28" w:type="dxa"/>
        </w:tblCellMar>
      </w:tblPr>
      <w:tblGrid>
        <w:gridCol w:w="1996"/>
        <w:gridCol w:w="2296"/>
      </w:tblGrid>
      <w:tr>
        <w:trPr/>
        <w:tc>
          <w:tcPr>
            <w:tcW w:w="199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sz w:val="22"/>
              </w:rPr>
            </w:pPr>
            <w:r>
              <w:rPr>
                <w:rFonts w:ascii="Times New Roman" w:hAnsi="Times New Roman"/>
                <w:color w:val="000000"/>
                <w:sz w:val="22"/>
              </w:rPr>
              <w:t xml:space="preserve">Date: </w:t>
            </w:r>
            <w:r>
              <w:rPr>
                <w:rFonts w:ascii="Times New Roman" w:hAnsi="Times New Roman"/>
                <w:color w:val="000000"/>
                <w:sz w:val="22"/>
                <w:u w:val="single"/>
              </w:rPr>
              <w:t>May 15, 2026</w:t>
            </w:r>
          </w:p>
        </w:tc>
        <w:tc>
          <w:tcPr>
            <w:tcW w:w="229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Stephen Ma</w:t>
            </w:r>
            <w:r>
              <w:rPr>
                <w:rFonts w:ascii="Times New Roman" w:hAnsi="Times New Roman"/>
                <w:color w:val="000000"/>
                <w:sz w:val="22"/>
              </w:rPr>
              <w:t xml:space="preserve">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53" w:after="283"/>
              <w:jc w:val="left"/>
              <w:rPr>
                <w:rFonts w:ascii="Times New Roman" w:hAnsi="Times New Roman"/>
                <w:color w:val="000000"/>
                <w:sz w:val="22"/>
              </w:rPr>
            </w:pPr>
            <w:r>
              <w:rPr>
                <w:rFonts w:ascii="Times New Roman" w:hAnsi="Times New Roman"/>
                <w:color w:val="000000"/>
                <w:sz w:val="22"/>
              </w:rPr>
              <w:t>Stephen Ma</w:t>
            </w:r>
          </w:p>
          <w:p>
            <w:pPr>
              <w:pStyle w:val="TableContents"/>
              <w:bidi w:val="0"/>
              <w:spacing w:before="0" w:after="30"/>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Intentional misstatements or omissions of fact constitute Federal Criminal Violations (See 18 U.S.C. 1001).</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917</Words>
  <Characters>4921</Characters>
  <CharactersWithSpaces>5807</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