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6109ddef14a.htm"/>
        <w:bookmarkStart w:id="1" w:name="ksd14610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240" w:after="0"/>
        <w:jc w:val="center"/>
        <w:rPr>
          <w:rFonts w:ascii="Times New Roman" w:hAnsi="Times New Roman"/>
          <w:b/>
          <w:sz w:val="36"/>
        </w:rPr>
      </w:pPr>
      <w:r>
        <w:rPr>
          <w:rFonts w:ascii="Times New Roman" w:hAnsi="Times New Roman"/>
          <w:b/>
          <w:sz w:val="36"/>
        </w:rPr>
        <w:t xml:space="preserve">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SCILEX HOLDING COMPANY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36"/>
        </w:rPr>
      </w:pPr>
      <w:r>
        <w:rPr>
          <w:rFonts w:ascii="Times New Roman" w:hAnsi="Times New Roman"/>
          <w:b/>
          <w:sz w:val="36"/>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SCILEX HOLDING COMPANY </w:t>
      </w:r>
    </w:p>
    <w:p>
      <w:pPr>
        <w:pStyle w:val="TextBody"/>
        <w:bidi w:val="0"/>
        <w:spacing w:before="0" w:after="0"/>
        <w:jc w:val="center"/>
        <w:rPr>
          <w:rFonts w:ascii="Times New Roman" w:hAnsi="Times New Roman"/>
          <w:b/>
          <w:sz w:val="20"/>
        </w:rPr>
      </w:pPr>
      <w:r>
        <w:rPr>
          <w:rFonts w:ascii="Times New Roman" w:hAnsi="Times New Roman"/>
          <w:b/>
          <w:sz w:val="20"/>
        </w:rPr>
        <w:t xml:space="preserve">960 San Antonio Road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 94303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at 9:00 a.m. Pacific Time on Wednesday, June 24,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of Scilex Holding Company: </w:t>
      </w:r>
    </w:p>
    <w:p>
      <w:pPr>
        <w:pStyle w:val="TextBody"/>
        <w:bidi w:val="0"/>
        <w:spacing w:before="120" w:after="0"/>
        <w:jc w:val="left"/>
        <w:rPr>
          <w:rFonts w:ascii="Times New Roman" w:hAnsi="Times New Roman"/>
          <w:sz w:val="20"/>
        </w:rPr>
      </w:pPr>
      <w:r>
        <w:rPr>
          <w:rFonts w:ascii="Times New Roman" w:hAnsi="Times New Roman"/>
          <w:sz w:val="20"/>
        </w:rPr>
        <w:t xml:space="preserve">We cordially invite you to attend the 2026 Annual Meeting of Stockholders (the “Annual Meeting”) of Scilex Holding Company, a Delaware corporation (the “Company”, “Scilex”, “we”, “us” or “our”), which will be held virtually on </w:t>
      </w:r>
      <w:r>
        <w:rPr>
          <w:rFonts w:ascii="Times New Roman" w:hAnsi="Times New Roman"/>
          <w:b/>
          <w:sz w:val="20"/>
        </w:rPr>
        <w:t>Wednesday, June</w:t>
      </w:r>
      <w:r>
        <w:rPr>
          <w:rFonts w:ascii="Times New Roman" w:hAnsi="Times New Roman"/>
          <w:sz w:val="20"/>
        </w:rPr>
        <w:t> </w:t>
      </w:r>
      <w:r>
        <w:rPr>
          <w:rFonts w:ascii="Times New Roman" w:hAnsi="Times New Roman"/>
          <w:b/>
          <w:sz w:val="20"/>
        </w:rPr>
        <w:t xml:space="preserve">24, 2026 at 9:00 a.m. Pacific Time via live audio webcast on the Internet at </w:t>
      </w:r>
      <w:r>
        <w:rPr>
          <w:rFonts w:ascii="Times New Roman" w:hAnsi="Times New Roman"/>
          <w:b/>
          <w:i/>
          <w:sz w:val="20"/>
        </w:rPr>
        <w:t>www.virtualshareholdermeeting.com/SCLX2026</w:t>
      </w:r>
      <w:r>
        <w:rPr>
          <w:rFonts w:ascii="Times New Roman" w:hAnsi="Times New Roman"/>
          <w:sz w:val="20"/>
        </w:rPr>
        <w:t xml:space="preserve"> for the following purposes, as more fully described in the accompanying proxy statement for the Annual Meeting (the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Dorman Followwill as a Class I director to serve until the 2029 annual meeting of stockholders and until his successor is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2.</w:t>
            </w:r>
          </w:p>
        </w:tc>
        <w:tc>
          <w:tcPr>
            <w:tcW w:w="99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BPM LLP as our independent registered public accounting firm for our fiscal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3.</w:t>
            </w:r>
          </w:p>
        </w:tc>
        <w:tc>
          <w:tcPr>
            <w:tcW w:w="10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amendment to the Scilex Holding Company 2022 Equity Incentive Plan (as amended) to (i) increase the number of shares authorized for issuance thereunder by 1,300,000 shares to 2,765,789 shares and (ii) increase the number of shares authorized for issuance thereunder pursuant to the exercise of incentive stock options to 2,765,789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4.</w:t>
            </w:r>
          </w:p>
        </w:tc>
        <w:tc>
          <w:tcPr>
            <w:tcW w:w="9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or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provide expanded access to our stockholders, our board of directors (our “Board”) has determined to hold a live audio webcast in lieu of an in-person meeting. You will be able to vote and submit your questions during the meeting at </w:t>
      </w:r>
      <w:r>
        <w:rPr>
          <w:rFonts w:ascii="Times New Roman" w:hAnsi="Times New Roman"/>
          <w:i/>
          <w:sz w:val="20"/>
        </w:rPr>
        <w:t>www.virtualshareholdermeeting.com/SCLX2026</w:t>
      </w:r>
      <w:r>
        <w:rPr>
          <w:rFonts w:ascii="Times New Roman" w:hAnsi="Times New Roman"/>
          <w:sz w:val="20"/>
        </w:rPr>
        <w:t xml:space="preserve">. The virtual-only approach also lowers costs and aligns with our broader sustainability goals. Although no physical in-person meeting will be held, we designed the format of the Annual Meeting to ensure that our stockholders of record who attend the Annual Meeting will be afforded similar rights and opportunities to participate as they would at an in-person meeting. As always, we encourage you to vote your shares prior to the Annual Meeting either by Internet or by proxy card to help make this meeting format as efficient as possible. </w:t>
      </w:r>
    </w:p>
    <w:p>
      <w:pPr>
        <w:pStyle w:val="TextBody"/>
        <w:bidi w:val="0"/>
        <w:spacing w:before="240" w:after="0"/>
        <w:jc w:val="left"/>
        <w:rPr>
          <w:rFonts w:ascii="Times New Roman" w:hAnsi="Times New Roman"/>
          <w:sz w:val="20"/>
        </w:rPr>
      </w:pPr>
      <w:r>
        <w:rPr>
          <w:rFonts w:ascii="Times New Roman" w:hAnsi="Times New Roman"/>
          <w:sz w:val="20"/>
        </w:rPr>
        <w:t xml:space="preserve">Our Board has fixed the close of business on April 28, 2026 as the record date for the Annual Meeting. Only stockholders of record on April 28, 2026 are entitled to notice of and to vote at the Annual Meeting. Further information regarding voting rights and the matters to be voted upon is presented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the Proxy Statement, the accompanying proxy card, and our Annual Report on Form 10-K for the fiscal year ended December 31, 2025 on or about May 4, 2026 to all stockholders of record entitled to vote at the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Whether or not you plan to attend the Annual Meeting, we urge you to submit your vote via the Internet or mail as soon as possible to ensure that your shares are represented. For additional instructions on voting by the Internet, please refer to your proxy card. Returning the proxy does not deprive you of your right to attend the Annual Meeting and to vote your shares at the Annual Meeting. Please note, however, that if your shares are held of record by a broker, bank or other nominee and you wish to vote at the Annual Meeting, you must obtain a proxy issued in your name from that record holder.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appreciate your continued support of Scilex. </w:t>
      </w:r>
    </w:p>
    <w:p>
      <w:pPr>
        <w:pStyle w:val="TextBody"/>
        <w:bidi w:val="0"/>
        <w:spacing w:before="0" w:after="0"/>
        <w:jc w:val="left"/>
        <w:rPr/>
      </w:pPr>
      <w:r>
        <w:rPr/>
        <w:t> </w:t>
      </w:r>
    </w:p>
    <w:tbl>
      <w:tblPr>
        <w:tblW w:w="5930" w:type="dxa"/>
        <w:jc w:val="left"/>
        <w:tblInd w:w="0" w:type="dxa"/>
        <w:tblLayout w:type="fixed"/>
        <w:tblCellMar>
          <w:top w:w="0" w:type="dxa"/>
          <w:left w:w="0" w:type="dxa"/>
          <w:bottom w:w="0" w:type="dxa"/>
          <w:right w:w="0" w:type="dxa"/>
        </w:tblCellMar>
      </w:tblPr>
      <w:tblGrid>
        <w:gridCol w:w="5930"/>
      </w:tblGrid>
      <w:tr>
        <w:trPr/>
        <w:tc>
          <w:tcPr>
            <w:tcW w:w="593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pPr>
            <w:r>
              <w:rPr/>
              <w:t>By order of the Board of Directors,</w:t>
            </w:r>
          </w:p>
        </w:tc>
      </w:tr>
      <w:tr>
        <w:trPr/>
        <w:tc>
          <w:tcPr>
            <w:tcW w:w="5930" w:type="dxa"/>
            <w:tcBorders/>
            <w:vAlign w:val="center"/>
          </w:tcPr>
          <w:p>
            <w:pPr>
              <w:pStyle w:val="TableContents"/>
              <w:bidi w:val="0"/>
              <w:spacing w:before="0" w:after="283"/>
              <w:jc w:val="left"/>
              <w:rPr>
                <w:sz w:val="4"/>
                <w:szCs w:val="4"/>
              </w:rPr>
            </w:pPr>
            <w:r>
              <w:rPr>
                <w:sz w:val="4"/>
                <w:szCs w:val="4"/>
              </w:rPr>
            </w:r>
          </w:p>
        </w:tc>
      </w:tr>
      <w:tr>
        <w:trPr/>
        <w:tc>
          <w:tcPr>
            <w:tcW w:w="5930" w:type="dxa"/>
            <w:tcBorders>
              <w:bottom w:val="single" w:sz="6" w:space="0" w:color="000000"/>
            </w:tcBorders>
            <w:tcMar>
              <w:bottom w:w="28" w:type="dxa"/>
            </w:tcMar>
            <w:vAlign w:val="center"/>
          </w:tcPr>
          <w:p>
            <w:pPr>
              <w:pStyle w:val="TableContents"/>
              <w:bidi w:val="0"/>
              <w:spacing w:before="0" w:after="283"/>
              <w:jc w:val="left"/>
              <w:rPr/>
            </w:pPr>
            <w:r>
              <w:rPr/>
              <w:t>/s/ Henry Ji, Ph.D.</w:t>
            </w:r>
          </w:p>
        </w:tc>
      </w:tr>
      <w:tr>
        <w:trPr/>
        <w:tc>
          <w:tcPr>
            <w:tcW w:w="5930" w:type="dxa"/>
            <w:tcBorders/>
            <w:vAlign w:val="center"/>
          </w:tcPr>
          <w:p>
            <w:pPr>
              <w:pStyle w:val="TableContents"/>
              <w:bidi w:val="0"/>
              <w:spacing w:before="0" w:after="283"/>
              <w:jc w:val="left"/>
              <w:rPr/>
            </w:pPr>
            <w:r>
              <w:rPr/>
              <w:t>Henry Ji, Ph.D.</w:t>
            </w:r>
          </w:p>
        </w:tc>
      </w:tr>
      <w:tr>
        <w:trPr/>
        <w:tc>
          <w:tcPr>
            <w:tcW w:w="5930" w:type="dxa"/>
            <w:tcBorders/>
            <w:vAlign w:val="center"/>
          </w:tcPr>
          <w:p>
            <w:pPr>
              <w:pStyle w:val="TableContents"/>
              <w:bidi w:val="0"/>
              <w:spacing w:before="0" w:after="283"/>
              <w:jc w:val="left"/>
              <w:rPr>
                <w:i/>
              </w:rPr>
            </w:pPr>
            <w:r>
              <w:rPr>
                <w:i/>
              </w:rPr>
              <w:t>Chief Executive Officer, President and Executive Chairperson</w:t>
            </w:r>
          </w:p>
        </w:tc>
      </w:tr>
      <w:tr>
        <w:trPr/>
        <w:tc>
          <w:tcPr>
            <w:tcW w:w="5930" w:type="dxa"/>
            <w:tcBorders/>
            <w:vAlign w:val="center"/>
          </w:tcPr>
          <w:p>
            <w:pPr>
              <w:pStyle w:val="TableContents"/>
              <w:bidi w:val="0"/>
              <w:spacing w:before="0" w:after="283"/>
              <w:jc w:val="left"/>
              <w:rPr/>
            </w:pPr>
            <w:r>
              <w:rPr/>
              <w:t>Palo Alto, CA</w:t>
            </w:r>
          </w:p>
        </w:tc>
      </w:tr>
      <w:tr>
        <w:trPr/>
        <w:tc>
          <w:tcPr>
            <w:tcW w:w="5930" w:type="dxa"/>
            <w:tcBorders/>
            <w:vAlign w:val="center"/>
          </w:tcPr>
          <w:p>
            <w:pPr>
              <w:pStyle w:val="TableContents"/>
              <w:bidi w:val="0"/>
              <w:spacing w:before="0" w:after="283"/>
              <w:jc w:val="left"/>
              <w:rPr/>
            </w:pPr>
            <w:r>
              <w:rPr/>
              <w:t>April 30, 2026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15"/>
        <w:gridCol w:w="120"/>
        <w:gridCol w:w="124"/>
        <w:gridCol w:w="57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1">
              <w:r>
                <w:rPr>
                  <w:rStyle w:val="InternetLink"/>
                  <w:rFonts w:ascii="Times New Roman" w:hAnsi="Times New Roman"/>
                  <w:sz w:val="20"/>
                </w:rPr>
                <w:t>PROCEDURAL MATTERS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2">
              <w:r>
                <w:rPr>
                  <w:rStyle w:val="InternetLink"/>
                  <w:rFonts w:ascii="Times New Roman" w:hAnsi="Times New Roman"/>
                  <w:sz w:val="20"/>
                </w:rPr>
                <w:t>BOARD OF DIRECTORS AND CORPORATE GOVERNANCE</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3">
              <w:r>
                <w:rPr>
                  <w:rStyle w:val="InternetLink"/>
                  <w:rFonts w:ascii="Times New Roman" w:hAnsi="Times New Roman"/>
                  <w:sz w:val="20"/>
                </w:rPr>
                <w:t>PROPOSAL NO. 1 ELECTION OF DIRECTOR</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4">
              <w:r>
                <w:rPr>
                  <w:rStyle w:val="InternetLink"/>
                  <w:rFonts w:ascii="Times New Roman" w:hAnsi="Times New Roman"/>
                  <w:sz w:val="20"/>
                </w:rPr>
                <w:t>PROPOSAL NO.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5">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6">
              <w:r>
                <w:rPr>
                  <w:rStyle w:val="InternetLink"/>
                  <w:rFonts w:ascii="Times New Roman" w:hAnsi="Times New Roman"/>
                  <w:sz w:val="20"/>
                </w:rPr>
                <w:t xml:space="preserve">PROPOSAL NO. 3 APPROVAL OF THE AMENDMENT TO THE 2022 PLAN </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7">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8">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9">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10">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11">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12">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13">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46109_14">
              <w:r>
                <w:rPr>
                  <w:rStyle w:val="InternetLink"/>
                  <w:rFonts w:ascii="Times New Roman" w:hAnsi="Times New Roman"/>
                  <w:sz w:val="20"/>
                </w:rPr>
                <w:t>APPENDIX A – SCILEX HOLDING COMPANY 2022 EQUITY INCENTIVE PLAN, AS AMENDED</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SCILEX HOLDING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w:t>
      </w:r>
    </w:p>
    <w:p>
      <w:pPr>
        <w:pStyle w:val="TextBody"/>
        <w:bidi w:val="0"/>
        <w:spacing w:before="0" w:after="0"/>
        <w:jc w:val="center"/>
        <w:rPr>
          <w:rFonts w:ascii="Times New Roman" w:hAnsi="Times New Roman"/>
          <w:b/>
          <w:sz w:val="20"/>
        </w:rPr>
      </w:pPr>
      <w:r>
        <w:rPr>
          <w:rFonts w:ascii="Times New Roman" w:hAnsi="Times New Roman"/>
          <w:b/>
          <w:sz w:val="20"/>
        </w:rPr>
        <w:t xml:space="preserve">2026 ANNUAL MEETING OF STOCKHOLDERS </w:t>
      </w:r>
    </w:p>
    <w:p>
      <w:pPr>
        <w:pStyle w:val="TextBody"/>
        <w:bidi w:val="0"/>
        <w:spacing w:before="240" w:after="0"/>
        <w:jc w:val="center"/>
        <w:rPr>
          <w:rFonts w:ascii="Times New Roman" w:hAnsi="Times New Roman"/>
          <w:b/>
          <w:sz w:val="20"/>
        </w:rPr>
      </w:pPr>
      <w:bookmarkStart w:id="3" w:name="toc146109_1"/>
      <w:bookmarkEnd w:id="3"/>
      <w:r>
        <w:rPr>
          <w:rFonts w:ascii="Times New Roman" w:hAnsi="Times New Roman"/>
          <w:b/>
          <w:sz w:val="20"/>
        </w:rPr>
        <w:t xml:space="preserve">PROCEDURAL MATTERS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(this “Proxy Statement”) and the enclosed form of proxy are furnished in connection with the solicitation of proxies by our board of directors (our “Board”) for use at the 2026 Annual Meeting of Stockholders (the “Annual Meeting”) of Scilex Holding Company, a Delaware corporation (the “Company”, “Scilex”, “we”, “us” or “our”), and any adjournments or postponements thereof. The Annual Meeting will be held virtually on Wednesday, June 24, 2026, at 9:00 a.m. Pacific Time via live audio webcast. This Proxy Statement, the accompanying proxy card and our Annual Report on Form 10-K for the fiscal year ended December 31, 2025 are first being mailed on or about May 4, 2026 to all stockholders of record entitled to vote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360" w:after="0"/>
        <w:jc w:val="left"/>
        <w:rPr>
          <w:rFonts w:ascii="Times New Roman" w:hAnsi="Times New Roman"/>
          <w:b/>
          <w:sz w:val="20"/>
        </w:rPr>
      </w:pPr>
      <w:r>
        <w:rPr>
          <w:rFonts w:ascii="Times New Roman" w:hAnsi="Times New Roman"/>
          <w:b/>
          <w:sz w:val="20"/>
        </w:rPr>
        <w:t xml:space="preserve">What matters am I voting on? </w:t>
      </w:r>
    </w:p>
    <w:p>
      <w:pPr>
        <w:pStyle w:val="TextBody"/>
        <w:bidi w:val="0"/>
        <w:spacing w:before="120" w:after="0"/>
        <w:jc w:val="left"/>
        <w:rPr>
          <w:rFonts w:ascii="Times New Roman" w:hAnsi="Times New Roman"/>
          <w:sz w:val="20"/>
        </w:rPr>
      </w:pPr>
      <w:r>
        <w:rPr>
          <w:rFonts w:ascii="Times New Roman" w:hAnsi="Times New Roman"/>
          <w:sz w:val="20"/>
        </w:rPr>
        <w:t xml:space="preserve">You will be voting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Dorman Followwill as a Class I director to serve until the 2029 annual meeting of stockholders and until his successor is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BPM LLP as our independent registered public accounting firm for our fiscal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amendment to the Scilex Holding Company 2022 Equity Incentive Plan (as previously amended, the “2022 Plan”) to (i) increase the number of shares authorized for issuance thereunder by 1,300,000 shares to 2,765,789 shares and (ii) increase the number of shares authorized for issuance thereunder pursuant to the exercise of incentive stock options (“ISOs”) to 2,765,789 shares; and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business as may properly come before the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recommend I vote on these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Board recommends a vote: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Dorman Followwill as a Class I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appointment of BPM LLP as our independent registered public accounting firm for our fiscal year ending December 31,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amendment to our 2022 Plan to (i) increase the number of shares authorized for issuance thereunder by 1,300,000 shares to 2,765,789 shares and (ii) increase the number of shares authorized for issuance thereunder pursuant to the exercise of ISOs to 2,765,789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if another matter is properly brought before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Our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Who is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and holders of our Series A preferred stock, par value $0.0001 per share (“Series A Preferred Stock”), as of the close of business on April 28, 2026, the record date for the Annual Meeting (the “Record Date”), may vote at the Annual Meeting. The holders of Series A Preferred Stock are entitled to vote, together with the holders of Common Stock and not separately as a class, on an as converted to Common Stock basis, on all matters on which the holders of shares of Common Stock have the right to vote. As of the Record Date, there were 8,491,267 shares of our Common Stock and 29,057,097 shares of Series A Preferred Stock outstanding. Stockholders are not permitted to cumulate votes with respect to the election of directors. Each share of Common Stock is entitled to one vote on each proposal. The 29,057,097 shares of Series A Preferred Stock outstanding are entitled to a number of votes as determined by dividing the stated value (as determined under our Certificate of Designations of Series A Preferred Stock, filed with the Delaware Secretary of State on November 10, 2022 (the “Certificate of Designations”)) by $10.00 and, as of the Record Date, such preferred stock is entitled to an aggregate of 848,106 votes as a result of adjustments to the deemed conversion price of such preferred stock in accordance with the terms of the Certificate of Designations. The shares of Common Stock and Series A Preferred Stock are the only shares of capital stock of the Company presently outstanding and entitled to vote at the Annual Meeting. </w:t>
      </w:r>
    </w:p>
    <w:p>
      <w:pPr>
        <w:pStyle w:val="TextBody"/>
        <w:bidi w:val="0"/>
        <w:spacing w:before="240" w:after="0"/>
        <w:jc w:val="left"/>
        <w:rPr>
          <w:rFonts w:ascii="Times New Roman" w:hAnsi="Times New Roman"/>
          <w:sz w:val="20"/>
        </w:rPr>
      </w:pPr>
      <w:r>
        <w:rPr>
          <w:rFonts w:ascii="Times New Roman" w:hAnsi="Times New Roman"/>
          <w:i/>
          <w:sz w:val="20"/>
        </w:rPr>
        <w:t>Registered Stockholders</w:t>
      </w:r>
      <w:r>
        <w:rPr>
          <w:rFonts w:ascii="Times New Roman" w:hAnsi="Times New Roman"/>
          <w:sz w:val="20"/>
        </w:rPr>
        <w:t xml:space="preserve">. If shares of our Common Stock and/or Series A Preferred Stock are registered directly in your name with our transfer agent, you are considered the stockholder of record with respect to those shares, and these proxy materials have been provided to you directly by us. As the stockholder of record, you have the right to grant your voting proxy directly to the individuals listed on the proxy card, vote live at the Annual Meeting, or vote by proxy via the Internet. Throughout this Proxy Statement, we refer to these registered stockholders as “stockholders of record.”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shares of our Common Stock are held on your behalf in a brokerage account or by a bank or other nominee, you are considered to be the beneficial owner of shares that are held in “street name,” and these proxy materials have been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should follow your broker’s procedures for obtaining a legal proxy to vote your shares of our Common Stock live at the Annual Meeting.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needed for approval of each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xml:space="preserve">: The election of directors requires a plurality of the votes cast by the stockholders entitled to vote at such election to be approved. “Plurality” means that the nominees who receive the largest number of votes cast “For” such nominees are elected as directors. As a result, only “For” votes will affect the outcome, and any shares abstained from voting “For” a particular nominee (whether as a result of stockholder abstention or a broker non-vote) will not be counted in such nominee’s favor and will have no effect on the outcome of the election. You may vote “For” or “Withhold” on the nominee for election as a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2</w:t>
            </w:r>
            <w:r>
              <w:rPr>
                <w:rFonts w:ascii="Times New Roman" w:hAnsi="Times New Roman"/>
                <w:sz w:val="20"/>
              </w:rPr>
              <w:t xml:space="preserve">: The ratification of the appointment of BPM LLP as our independent registered public accounting firm for our fiscal year ending December 31, 2026 requires the affirmative vote of the holders of a majority of the votes cast affirmatively or negatively (excluding abstentions) at the Annual Meeting by the holders entitled to vote thereon to be approved. Stockholder abstentions will not have any effect on the outcome of this proposal, so long as a quorum exists. Broker non-votes will have no effect on the outcome of this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The approval of the amendment to our 2022 Plan to (i) increase the number of shares authorized for issuance thereunder by 1,300,000 shares to 2,765,789 shares and (ii) increase the number of shares authorized for issuance thereunder pursuant to the exercise of ISOs to 2,765,789 shares requires the affirmative vote of the majority of the shares present by remote communication or represented by proxy at the Annual Meeting and by the holders entitled to vote thereon to be approved. Stockholder abstentions will not have any effect on the outcome of this proposal, so long as a quorum exists. Broker non-votes will have no effect on the outcome of this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are the effects of abstentions, withheld votes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represents a stockholder’s affirmative choice to decline to vote on a proposal. If a stockholder indicates on its proxy card that it wishes to abstain from voting its shares or withholds votes as to a particular proposal, or if a broker, bank or other nominee holding its customer’s shares of record causes abstentions or withheld votes to be recorded for shares, these shares will be considered present and entitled to vote at the Annual Meeting. As a result, abstentions and withheld votes will be counted for purposes of determining the presence or absence of a quorum, but, under Delaware law (under which Scilex is incorporated), abstentions will not be counted as shares cast. Therefore, abstentions and withheld votes will have no impact on the outcome of Proposal No. 2 and Proposal No. 3 as long as a quorum exists. Further, since the outcome of Proposal No. 1 will be determined by a plurality vote, abstentions and withheld votes will have no impact on the outcome of such proposal as long as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present and entitled to vote or votes cast. Therefore, a broker non-vote will make a quorum more readily attainable but will not otherwise affect the outcome of the vote on any proposal. </w:t>
      </w:r>
    </w:p>
    <w:p>
      <w:pPr>
        <w:pStyle w:val="TextBody"/>
        <w:bidi w:val="0"/>
        <w:spacing w:before="240" w:after="0"/>
        <w:jc w:val="left"/>
        <w:rPr>
          <w:rFonts w:ascii="Times New Roman" w:hAnsi="Times New Roman"/>
          <w:i/>
          <w:sz w:val="20"/>
        </w:rPr>
      </w:pPr>
      <w:r>
        <w:rPr>
          <w:rFonts w:ascii="Times New Roman" w:hAnsi="Times New Roman"/>
          <w:i/>
          <w:sz w:val="20"/>
        </w:rPr>
        <w:t xml:space="preserve">As a reminder, if you are a beneficial owner of shares held in street name, in order to ensure your shares are voted in the way you would prefer, you must provide voting instructions to your broker, bank or other nominee by the deadline provided in the materials you receive from your broker, bank or other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What is a quorum? </w:t>
      </w:r>
    </w:p>
    <w:p>
      <w:pPr>
        <w:pStyle w:val="TextBody"/>
        <w:bidi w:val="0"/>
        <w:spacing w:before="120" w:after="0"/>
        <w:jc w:val="left"/>
        <w:rPr>
          <w:rFonts w:ascii="Times New Roman" w:hAnsi="Times New Roman"/>
          <w:sz w:val="20"/>
        </w:rPr>
      </w:pPr>
      <w:r>
        <w:rPr>
          <w:rFonts w:ascii="Times New Roman" w:hAnsi="Times New Roman"/>
          <w:sz w:val="20"/>
        </w:rPr>
        <w:t xml:space="preserve">A quorum is the minimum number of shares required to be present at the Annual Meeting to properly hold an annual meeting of stockholders and conduct business under our bylaws (our “Bylaws”) and Delaware law. The presence by remote communication or by proxy, duly authorized, of the holders of record of a majority of the voting power of the issued and outstanding shares of our Common Stock and Series A Preferred Stock entitled to vote at the Annual Meeting will constitute a quorum at the Annual Meeting. On the Record Date, there were 8,491,267 shares of Common Stock and 29,057,097 shares of Series A Preferred Stock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is entitled to one vote on each proposal. The 29,057,097 shares of Series A Preferred Stock outstanding are entitled to a number of votes on each proposal as determined by dividing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stated value (as determined under the Certificate of Designations) by $10.00 and, as of the Record Date, such preferred stock is entitled to an aggregate of 848,106 votes as a result of adjustments to the deemed conversion price of such preferred stock in accordance with the terms of the Certificate of Designations. </w:t>
      </w:r>
      <w:r>
        <w:rPr>
          <w:rFonts w:ascii="Times New Roman" w:hAnsi="Times New Roman"/>
          <w:b/>
          <w:sz w:val="20"/>
        </w:rPr>
        <w:t>Thus, the holders of shares of Common Stock and Series A Preferred Stock representing 4,669,687</w:t>
      </w:r>
      <w:r>
        <w:rPr>
          <w:rFonts w:ascii="Times New Roman" w:hAnsi="Times New Roman"/>
          <w:sz w:val="20"/>
        </w:rPr>
        <w:t xml:space="preserve"> </w:t>
      </w:r>
      <w:r>
        <w:rPr>
          <w:rFonts w:ascii="Times New Roman" w:hAnsi="Times New Roman"/>
          <w:b/>
          <w:sz w:val="20"/>
        </w:rPr>
        <w:t xml:space="preserve">votes (i.e., a majority of the voting power of the issued and outstanding shares of our Common Stock and Series A Preferred Stock entitled to vote at the Annual Meeting) must be present by remote communication or represented by proxy at the Annual Meeting to have a quorum. </w:t>
      </w:r>
      <w:r>
        <w:rPr>
          <w:rFonts w:ascii="Times New Roman" w:hAnsi="Times New Roman"/>
          <w:sz w:val="20"/>
        </w:rPr>
        <w:t xml:space="preserve">Abstentions, withheld votes and broker non-votes are counted as shares present and entitled to vote for purposes of determining a quorum.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there are three ways to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Internet at </w:t>
            </w:r>
            <w:r>
              <w:rPr>
                <w:rFonts w:ascii="Times New Roman" w:hAnsi="Times New Roman"/>
                <w:i/>
                <w:sz w:val="20"/>
              </w:rPr>
              <w:t>www.virtualshareholdermeeting.com/SCLX2026</w:t>
            </w:r>
            <w:r>
              <w:rPr>
                <w:rFonts w:ascii="Times New Roman" w:hAnsi="Times New Roman"/>
                <w:sz w:val="20"/>
              </w:rPr>
              <w:t xml:space="preserve">, 24 hours a day, seven days a week, until 11:59 p.m. Eastern Time on Tuesday, June 23, 2026 (have your proxy card in hand when you visit the website);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completing and mailing your proxy card (if you received printed proxy materials);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Internet during the Annual Meeting. Instructions on how to attend and vote at the Annual Meeting are described at </w:t>
            </w:r>
            <w:r>
              <w:rPr>
                <w:rFonts w:ascii="Times New Roman" w:hAnsi="Times New Roman"/>
                <w:i/>
                <w:sz w:val="20"/>
              </w:rPr>
              <w:t>www.virtualshareholdermeeting.com/SCLX2026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plan to attend the Annual Meeting, we recommend that you also vote by proxy so that your vote will be counted if you later decide not to attend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street name stockholder, you will receive voting instructions from your broker, bank or other nominee. You must follow the voting instructions provided by your broker, bank or other nominee in order to direct your broker, bank or other nominee, as applicable, on how to vote your shares. Street name stockholders should generally be able to vote by returning a voting instruction form or on the Internet. However, the availability of Internet voting will depend on the voting process of your broker, bank or other nominee. As discussed above, if you are a street name stockholder, you must obtain a legal proxy from your broker, bank or other nominee in order to vote your shares by remote communication in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or revoke my proxy? </w:t>
      </w:r>
    </w:p>
    <w:p>
      <w:pPr>
        <w:pStyle w:val="TextBody"/>
        <w:bidi w:val="0"/>
        <w:spacing w:before="120" w:after="0"/>
        <w:jc w:val="left"/>
        <w:rPr>
          <w:rFonts w:ascii="Times New Roman" w:hAnsi="Times New Roman"/>
          <w:sz w:val="20"/>
        </w:rPr>
      </w:pPr>
      <w:r>
        <w:rPr>
          <w:rFonts w:ascii="Times New Roman" w:hAnsi="Times New Roman"/>
          <w:sz w:val="20"/>
        </w:rPr>
        <w:t xml:space="preserve">Yes, if you are a stockholder of record, you can change your vote or revoke your proxy any time before the Annual Meeting by: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entering a new vote by Internet;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completing and returning a later-dated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notifying our Corporate Secretary, in writing, at Scilex Holding Company, 960 San Antonio Road,Palo Alto, CA 94303;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and voting electronically at the Annual Meeting (although attendance at the Annual Meeting will not, by itself, revoke a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street name stockholder, your broker, bank or other nominee can provide you with instructions on how to change your vote. </w:t>
      </w:r>
    </w:p>
    <w:p>
      <w:pPr>
        <w:pStyle w:val="TextBody"/>
        <w:bidi w:val="0"/>
        <w:spacing w:before="360" w:after="0"/>
        <w:jc w:val="left"/>
        <w:rPr>
          <w:rFonts w:ascii="Times New Roman" w:hAnsi="Times New Roman"/>
          <w:b/>
          <w:sz w:val="20"/>
        </w:rPr>
      </w:pPr>
      <w:r>
        <w:rPr>
          <w:rFonts w:ascii="Times New Roman" w:hAnsi="Times New Roman"/>
          <w:b/>
          <w:sz w:val="20"/>
        </w:rPr>
        <w:t xml:space="preserve">Will my vote be kept confidential? </w:t>
      </w:r>
    </w:p>
    <w:p>
      <w:pPr>
        <w:pStyle w:val="TextBody"/>
        <w:bidi w:val="0"/>
        <w:spacing w:before="120" w:after="0"/>
        <w:jc w:val="left"/>
        <w:rPr>
          <w:rFonts w:ascii="Times New Roman" w:hAnsi="Times New Roman"/>
          <w:sz w:val="20"/>
        </w:rPr>
      </w:pPr>
      <w:r>
        <w:rPr>
          <w:rFonts w:ascii="Times New Roman" w:hAnsi="Times New Roman"/>
          <w:sz w:val="20"/>
        </w:rPr>
        <w:t xml:space="preserve">Yes, your vote will be kept confidential and not disclosed to the Company unless: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required by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expressly request disclosure on your proxy; or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is a proxy contest.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Why isn’t the Annual Meeting being held in-person?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expanded access to our stockholders, our Board has determined to hold a live audio webcast in lieu of an in-person meeting. The virtual-only approach also lowers costs and aligns with our broader sustainability goals. Although no physical in-person meeting will be held, we designed the format of the Annual Meeting to ensure that our stockholders of record who attend the Annual Meeting will be afforded similar rights and opportunities to participate as they would at an in-person meeting. You will be able to vote and submit your questions during the meeting at </w:t>
      </w:r>
      <w:r>
        <w:rPr>
          <w:rFonts w:ascii="Times New Roman" w:hAnsi="Times New Roman"/>
          <w:i/>
          <w:sz w:val="20"/>
        </w:rPr>
        <w:t>www.virtualshareholdermeeting.com/SCLX2026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do I need to do to attend the Annual Meeting online?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our Annual Meeting via live audio webcast only. If you are a stockholder as of the Record Date and wish to virtually attend the Annual Meeting, you will need the 16-digit control number, which is located on your proxy card (if you receive a printed copy of the proxy materials). Instructions on how to participate in the Annual Meeting are also posted online at </w:t>
      </w:r>
      <w:r>
        <w:rPr>
          <w:rFonts w:ascii="Times New Roman" w:hAnsi="Times New Roman"/>
          <w:i/>
          <w:sz w:val="20"/>
        </w:rPr>
        <w:t>www.virtualshareholdermeeting.com/SCLX2026</w:t>
      </w:r>
      <w:r>
        <w:rPr>
          <w:rFonts w:ascii="Times New Roman" w:hAnsi="Times New Roman"/>
          <w:sz w:val="20"/>
        </w:rPr>
        <w:t xml:space="preserve">. The webcast will start at 9:00 a.m. Pacific Time on June 24, 2026. Stockholders may vote and ask questions while attending the Annual Meeting online. </w:t>
      </w:r>
    </w:p>
    <w:p>
      <w:pPr>
        <w:pStyle w:val="TextBody"/>
        <w:bidi w:val="0"/>
        <w:spacing w:before="240" w:after="0"/>
        <w:jc w:val="left"/>
        <w:rPr>
          <w:rFonts w:ascii="Times New Roman" w:hAnsi="Times New Roman"/>
          <w:sz w:val="20"/>
        </w:rPr>
      </w:pPr>
      <w:r>
        <w:rPr>
          <w:rFonts w:ascii="Times New Roman" w:hAnsi="Times New Roman"/>
          <w:sz w:val="20"/>
        </w:rPr>
        <w:t xml:space="preserve">Use of cameras and recording devices are prohibited while virtually attending the live audio webcast.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get help if I have trouble checking in or listening to the Annual Meeting online? </w:t>
      </w:r>
    </w:p>
    <w:p>
      <w:pPr>
        <w:pStyle w:val="TextBody"/>
        <w:bidi w:val="0"/>
        <w:spacing w:before="120" w:after="0"/>
        <w:jc w:val="left"/>
        <w:rPr>
          <w:rFonts w:ascii="Times New Roman" w:hAnsi="Times New Roman"/>
          <w:sz w:val="20"/>
        </w:rPr>
      </w:pPr>
      <w:r>
        <w:rPr>
          <w:rFonts w:ascii="Times New Roman" w:hAnsi="Times New Roman"/>
          <w:sz w:val="20"/>
        </w:rPr>
        <w:t xml:space="preserve">If you encounter any difficulties accessing the virtual platform for the Annual Meeting during the check-in or the Annual Meeting, please call the technical support number that will be posted on the Virtual Shareholder Meeting log-in page.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effect of giving a proxy?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Henry Ji, Ph.D. and Stephen Ma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How are proxies solicited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Our Board is soliciting proxies for use at the Annual Meeting. In addition to these proxy materials, our directors and employees may also solicit proxies in person, by telephone or by other means of communication. Our directors and employees will not be paid any additional compensation for soliciting proxies.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for the entire cost of soliciting proxies. Proxies may be solicited on our behalf by our directors, officers or employees in person or by telephone, mail, electronic transmission and/or facsimile transmission. We may also reimburse brokerage firms, banks and other nominees for the cost of forwarding proxy materials to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does it mean if I receive more than one proxy card?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proxy card, your shares may be registered in more than one name or in different accounts. Please follow the voting instructions on each of the proxy cards you receive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How may my brokerage firm or other intermediary vote my shares if I fail to provide timely directions? </w:t>
      </w:r>
    </w:p>
    <w:p>
      <w:pPr>
        <w:pStyle w:val="TextBody"/>
        <w:bidi w:val="0"/>
        <w:spacing w:before="120" w:after="0"/>
        <w:jc w:val="left"/>
        <w:rPr>
          <w:rFonts w:ascii="Times New Roman" w:hAnsi="Times New Roman"/>
          <w:sz w:val="20"/>
        </w:rPr>
      </w:pPr>
      <w:r>
        <w:rPr>
          <w:rFonts w:ascii="Times New Roman" w:hAnsi="Times New Roman"/>
          <w:sz w:val="20"/>
        </w:rPr>
        <w:t xml:space="preserve">Brokerage firms and other intermediaries holding shares of our Common Stock in street name for their customers are generally required to vote such shares in the manner directed by their customers. In the absence of timely directions from you, your broker will have discretion to vote your shares on our sole “routine” matter, Proposal No. 2: the proposal to ratify the appointment of BPM LLP as our independent registered public accounting firm for our fiscal year ending December 31, 2026. Your broker will not have discretion to vote on Proposal No. 1 or Proposal No. 3, each of which is a “non-routine” matter, or any other proposals that are considered “non-routine” matters, absent directions from you.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I find the voting results of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expect to announce preliminary voting results at the Annual Meeting. We will also disclose voting results on a Current Report on Form 8-K that we will file with the U.S. Securities and Exchange Commission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I share an address with another stockholder, and we received only one paper copy of the proxy materials. How may I obtain an additional copy of the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 </w:t>
      </w:r>
    </w:p>
    <w:p>
      <w:pPr>
        <w:pStyle w:val="TextBody"/>
        <w:bidi w:val="0"/>
        <w:spacing w:before="120" w:after="0"/>
        <w:jc w:val="center"/>
        <w:rPr>
          <w:rFonts w:ascii="Times New Roman" w:hAnsi="Times New Roman"/>
          <w:sz w:val="20"/>
        </w:rPr>
      </w:pPr>
      <w:r>
        <w:rPr>
          <w:rFonts w:ascii="Times New Roman" w:hAnsi="Times New Roman"/>
          <w:sz w:val="20"/>
        </w:rPr>
        <w:t xml:space="preserve">Scilex Holding Company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960 San Antonio Road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94303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investorrelations@scilexholding.com </w:t>
      </w:r>
    </w:p>
    <w:p>
      <w:pPr>
        <w:pStyle w:val="TextBody"/>
        <w:bidi w:val="0"/>
        <w:spacing w:before="0" w:after="0"/>
        <w:jc w:val="center"/>
        <w:rPr>
          <w:rFonts w:ascii="Times New Roman" w:hAnsi="Times New Roman"/>
          <w:sz w:val="20"/>
        </w:rPr>
      </w:pPr>
      <w:r>
        <w:rPr>
          <w:rFonts w:ascii="Times New Roman" w:hAnsi="Times New Roman"/>
          <w:sz w:val="20"/>
        </w:rPr>
        <w:t xml:space="preserve">(650) 516-4310 </w:t>
      </w:r>
    </w:p>
    <w:p>
      <w:pPr>
        <w:pStyle w:val="TextBody"/>
        <w:bidi w:val="0"/>
        <w:spacing w:before="240" w:after="0"/>
        <w:jc w:val="left"/>
        <w:rPr>
          <w:rFonts w:ascii="Times New Roman" w:hAnsi="Times New Roman"/>
          <w:sz w:val="20"/>
        </w:rPr>
      </w:pPr>
      <w:r>
        <w:rPr>
          <w:rFonts w:ascii="Times New Roman" w:hAnsi="Times New Roman"/>
          <w:sz w:val="20"/>
        </w:rPr>
        <w:t xml:space="preserve">We encourage stockholders to contact us by telephone or e-mail instead of physical mail to help ensure timely receipt of any request for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Street name stockholders may contact their broker, bank or other nominee to request information about householding.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is the deadline to propose actions for consideration at next year’s annual meeting of stockholders or to nominate individuals to serve as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the close of business on January 4, 2027. Stockholder proposals must comply with the requirements of Rule 14a-8 under the Securities Exchange Act of 1934, as amended (the “Exchange Act”), regarding the inclusion of stockholder proposals in company-sponsored proxy materials. Stockholder proposals should be addressed to: </w:t>
      </w:r>
    </w:p>
    <w:p>
      <w:pPr>
        <w:pStyle w:val="TextBody"/>
        <w:bidi w:val="0"/>
        <w:spacing w:before="120" w:after="0"/>
        <w:jc w:val="center"/>
        <w:rPr>
          <w:rFonts w:ascii="Times New Roman" w:hAnsi="Times New Roman"/>
          <w:sz w:val="20"/>
        </w:rPr>
      </w:pPr>
      <w:r>
        <w:rPr>
          <w:rFonts w:ascii="Times New Roman" w:hAnsi="Times New Roman"/>
          <w:sz w:val="20"/>
        </w:rPr>
        <w:t xml:space="preserve">Scilex Holding Company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960 San Antonio Road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94303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notice of such annual meeting given by or at the direction of our Board, (ii) otherwise properly brought before such annual meeting by or at the direction of our Board or (iii) otherwise properly brought before such meeting by a stockholder of record at the time of such stockholder’s timely delivery of written notice to our Corporate Secretary, which notice must contain the information specified in our Bylaws, who is entitled to vote at such annual meeting and has complied with the notice procedures set forth in our Bylaws. To be timely for the 2027 annual meeting of stockholders, our Corporate Secretary must receive the written notice at our principal executive offices: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earlier than the close of business on February 24, 2027; and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later than the close of business on March 26,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we hold the 2027 annual meeting of stockholders more than 30 days before or more than 60 days after the one-year anniversary of the Annual Meeting, then, for notice by the stockholder to be timely, it must be received by the Corporate Secretary not earlier than the close of business on the 120th day prior to such annual meeting and not later than the close of business on the later of the 90th day prior to such annual meeting or the tenth day following the day on which public announcement of the date of such annual meeting is first made.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Rule 14a-19 of the Exchange Act (“Rule 14a-19”), notices of a solicitation of proxies in support of director nominees other than our own nominees must be postmarked or electronically submitted no later than April 25, 2027, and each nomination must comply with the SEC regulations under Rule 14a-19, which require, among other things, that such notice include a statement that such person intends to solicit the holders of shares representing at least 67% of the voting power of shares entitled to vote on the election of directors. If, however, the date of the 2027 annual meeting of stockholders is more than 30 days before or after June 24, 2027, then the Rule 14a-19 deadline shall be the later of 60 calendar days prior to the date of the 2027 annual meeting of stockholders or the 10th calendar day following the day on which we first make a public announcement of the date of our 2027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who has notified us of the stockholder’s intention to present a proposal at an annual meeting of stockholders does not appear to present the stockholder’s proposal at such annual meeting, we are not required to present the proposal for a vote at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Nomination of Director Candidates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propose director candidates for consideration by our Nominating and Corporate Governance Committee. Any such recommendations should include the nominee’s name and qualifications for membership on our Board and should be directed to our Corporate Secretary at the address of our principal executive office set forth above. For additional information regarding stockholder recommendations for director candidates, see the section titled “Board of Directors and Corporate Governance — Stockholder Recommendations and Nominations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our Bylaws is available via the SEC’s website at </w:t>
      </w:r>
      <w:r>
        <w:rPr>
          <w:rFonts w:ascii="Times New Roman" w:hAnsi="Times New Roman"/>
          <w:i/>
          <w:sz w:val="20"/>
        </w:rPr>
        <w:t>http://www.sec.gov</w:t>
      </w:r>
      <w:r>
        <w:rPr>
          <w:rFonts w:ascii="Times New Roman" w:hAnsi="Times New Roman"/>
          <w:sz w:val="20"/>
        </w:rPr>
        <w:t xml:space="preserve">. You may also contact our Corporate Secretary at the address set forth above for a copy of the relevant provisions of our Bylaws regarding the requirements for making stockholder proposals and nominating director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How is your reverse stock split effected in April 2025 reflected in this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15, 2025, we effected a 1-for-35 reverse split of our common stock (the “Reverse Stock Split”). Unless indicated otherwise, all share and per share amounts for all periods presented in this Proxy Statement have been adjusted retroactively, where applicable, to reflect this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46109_2"/>
      <w:bookmarkEnd w:id="4"/>
      <w:r>
        <w:rPr>
          <w:rFonts w:ascii="Times New Roman" w:hAnsi="Times New Roman"/>
          <w:b/>
          <w:sz w:val="20"/>
        </w:rPr>
        <w:t xml:space="preserve">BOARD OF DIRECTORS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Our business and affairs are managed under the direction of our Board. Our Board consists of five directors, all of whom, other than Henry Ji, Ph.D. and Stephen Ma, qualify as “independent” under The Nasdaq Stock Market LLC (“Nasdaq”) listing rules and standards (the “Nasdaq Listing Rules”), including Rule 5605(a)(2) of the Nasdaq Listing Rules. Our Board is divided into three staggered classes of directors. At each annual meeting of stockholders, a class of directors will be elected for a three-year term to succeed the class whose term is then expiring.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as of April 1, 2026, and certain other information for the member of our Board with a term expiring at the Annual Meeting (who is also a nominee for election as a director at the Annual Meeting) and for each of the continuing members of our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4"/>
        <w:gridCol w:w="60"/>
        <w:gridCol w:w="110"/>
        <w:gridCol w:w="450"/>
        <w:gridCol w:w="60"/>
        <w:gridCol w:w="60"/>
        <w:gridCol w:w="79"/>
        <w:gridCol w:w="346"/>
        <w:gridCol w:w="60"/>
        <w:gridCol w:w="60"/>
        <w:gridCol w:w="2670"/>
        <w:gridCol w:w="60"/>
        <w:gridCol w:w="93"/>
        <w:gridCol w:w="782"/>
        <w:gridCol w:w="60"/>
        <w:gridCol w:w="60"/>
        <w:gridCol w:w="92"/>
        <w:gridCol w:w="768"/>
        <w:gridCol w:w="60"/>
        <w:gridCol w:w="60"/>
        <w:gridCol w:w="122"/>
        <w:gridCol w:w="1023"/>
        <w:gridCol w:w="76"/>
      </w:tblGrid>
      <w:tr>
        <w:trPr/>
        <w:tc>
          <w:tcPr>
            <w:tcW w:w="2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9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Director</w:t>
              <w:br/>
              <w:t>Since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Current</w:t>
              <w:br/>
              <w:t>Term</w:t>
              <w:br/>
              <w:t>Expires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Expiration</w:t>
              <w:br/>
              <w:t>of Term</w:t>
              <w:br/>
              <w:t>for Which</w:t>
              <w:br/>
              <w:t>Nominated</w:t>
            </w:r>
          </w:p>
        </w:tc>
        <w:tc>
          <w:tcPr>
            <w:tcW w:w="76" w:type="dxa"/>
            <w:tcBorders/>
            <w:vAlign w:val="center"/>
          </w:tcPr>
          <w:p>
            <w:pPr>
              <w:pStyle w:val="TableContents"/>
              <w:bidi w:val="0"/>
              <w:spacing w:before="0" w:after="283"/>
              <w:jc w:val="left"/>
              <w:rPr/>
            </w:pPr>
            <w:r>
              <w:rPr/>
              <w:t> </w:t>
            </w:r>
          </w:p>
        </w:tc>
      </w:tr>
      <w:tr>
        <w:trPr/>
        <w:tc>
          <w:tcPr>
            <w:tcW w:w="2994"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 with Terms Expiring at the Annual Meeting/Nominee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7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2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Followwill(1)(2)(3)(5)</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2029</w:t>
            </w:r>
          </w:p>
        </w:tc>
        <w:tc>
          <w:tcPr>
            <w:tcW w:w="76" w:type="dxa"/>
            <w:tcBorders/>
            <w:vAlign w:val="center"/>
          </w:tcPr>
          <w:p>
            <w:pPr>
              <w:pStyle w:val="TableContents"/>
              <w:bidi w:val="0"/>
              <w:spacing w:before="0" w:after="283"/>
              <w:jc w:val="left"/>
              <w:rPr/>
            </w:pPr>
            <w:r>
              <w:rPr/>
              <w:t> </w:t>
            </w:r>
          </w:p>
        </w:tc>
      </w:tr>
      <w:tr>
        <w:trPr/>
        <w:tc>
          <w:tcPr>
            <w:tcW w:w="2994"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Continuing Directors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7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2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Chun, M.D.,</w:t>
              <w:br/>
              <w:t>Ph.D. (1)(2)(3)(4)</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9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Ph.D.(1)(2)(3)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center"/>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0" w:type="dxa"/>
            <w:tcBorders/>
            <w:shd w:fill="CCEEFF" w:val="clear"/>
            <w:vAlign w:val="center"/>
          </w:tcPr>
          <w:p>
            <w:pPr>
              <w:pStyle w:val="TableContents"/>
              <w:bidi w:val="0"/>
              <w:spacing w:before="0" w:after="283"/>
              <w:jc w:val="left"/>
              <w:rPr/>
            </w:pPr>
            <w:r>
              <w:rPr/>
              <w:t>Director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2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Henry Ji, Ph.D.(4)</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pPr>
            <w:r>
              <w:rPr/>
              <w:t>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tcBorders/>
            <w:vAlign w:val="center"/>
          </w:tcPr>
          <w:p>
            <w:pPr>
              <w:pStyle w:val="TableContents"/>
              <w:bidi w:val="0"/>
              <w:spacing w:before="0" w:after="283"/>
              <w:jc w:val="left"/>
              <w:rPr/>
            </w:pPr>
            <w:r>
              <w:rPr/>
              <w:t>Chief Executive Officer, President and Executive Chairperson</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9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III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center"/>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0" w:type="dxa"/>
            <w:tcBorders/>
            <w:shd w:fill="CCEEFF" w:val="clear"/>
            <w:vAlign w:val="center"/>
          </w:tcPr>
          <w:p>
            <w:pPr>
              <w:pStyle w:val="TableContents"/>
              <w:bidi w:val="0"/>
              <w:spacing w:before="0" w:after="283"/>
              <w:jc w:val="left"/>
              <w:rPr/>
            </w:pPr>
            <w:r>
              <w:rPr/>
              <w:t>Chief Financial Officer, Chief Operating Officer, Senior Vice President, Secretary and Director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283"/>
              <w:jc w:val="left"/>
              <w:rPr/>
            </w:pPr>
            <w:r>
              <w:rPr/>
              <w:t>(1)</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3745" w:type="dxa"/>
        <w:jc w:val="left"/>
        <w:tblInd w:w="0" w:type="dxa"/>
        <w:tblLayout w:type="fixed"/>
        <w:tblCellMar>
          <w:top w:w="0" w:type="dxa"/>
          <w:left w:w="0" w:type="dxa"/>
          <w:bottom w:w="0" w:type="dxa"/>
          <w:right w:w="0" w:type="dxa"/>
        </w:tblCellMar>
      </w:tblPr>
      <w:tblGrid>
        <w:gridCol w:w="305"/>
        <w:gridCol w:w="3440"/>
      </w:tblGrid>
      <w:tr>
        <w:trPr/>
        <w:tc>
          <w:tcPr>
            <w:tcW w:w="305" w:type="dxa"/>
            <w:tcBorders/>
            <w:vAlign w:val="center"/>
          </w:tcPr>
          <w:p>
            <w:pPr>
              <w:pStyle w:val="TableContents"/>
              <w:bidi w:val="0"/>
              <w:spacing w:before="0" w:after="283"/>
              <w:jc w:val="left"/>
              <w:rPr/>
            </w:pPr>
            <w:r>
              <w:rPr/>
              <w:t>(2)</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755" w:type="dxa"/>
        <w:jc w:val="left"/>
        <w:tblInd w:w="0" w:type="dxa"/>
        <w:tblLayout w:type="fixed"/>
        <w:tblCellMar>
          <w:top w:w="0" w:type="dxa"/>
          <w:left w:w="0" w:type="dxa"/>
          <w:bottom w:w="0" w:type="dxa"/>
          <w:right w:w="0" w:type="dxa"/>
        </w:tblCellMar>
      </w:tblPr>
      <w:tblGrid>
        <w:gridCol w:w="305"/>
        <w:gridCol w:w="5450"/>
      </w:tblGrid>
      <w:tr>
        <w:trPr/>
        <w:tc>
          <w:tcPr>
            <w:tcW w:w="305" w:type="dxa"/>
            <w:tcBorders/>
            <w:vAlign w:val="center"/>
          </w:tcPr>
          <w:p>
            <w:pPr>
              <w:pStyle w:val="TableContents"/>
              <w:bidi w:val="0"/>
              <w:spacing w:before="0" w:after="283"/>
              <w:jc w:val="left"/>
              <w:rPr/>
            </w:pPr>
            <w:r>
              <w:rPr/>
              <w:t>(3)</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tbl>
      <w:tblPr>
        <w:tblW w:w="5470" w:type="dxa"/>
        <w:jc w:val="left"/>
        <w:tblInd w:w="0" w:type="dxa"/>
        <w:tblLayout w:type="fixed"/>
        <w:tblCellMar>
          <w:top w:w="0" w:type="dxa"/>
          <w:left w:w="0" w:type="dxa"/>
          <w:bottom w:w="0" w:type="dxa"/>
          <w:right w:w="0" w:type="dxa"/>
        </w:tblCellMar>
      </w:tblPr>
      <w:tblGrid>
        <w:gridCol w:w="305"/>
        <w:gridCol w:w="5165"/>
      </w:tblGrid>
      <w:tr>
        <w:trPr/>
        <w:tc>
          <w:tcPr>
            <w:tcW w:w="305" w:type="dxa"/>
            <w:tcBorders/>
            <w:vAlign w:val="center"/>
          </w:tcPr>
          <w:p>
            <w:pPr>
              <w:pStyle w:val="TableContents"/>
              <w:bidi w:val="0"/>
              <w:spacing w:before="0" w:after="283"/>
              <w:jc w:val="left"/>
              <w:rPr/>
            </w:pPr>
            <w:r>
              <w:rPr/>
              <w:t>(4)</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Commercialization and Transaction Committee </w:t>
            </w:r>
          </w:p>
        </w:tc>
      </w:tr>
    </w:tbl>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283"/>
              <w:jc w:val="left"/>
              <w:rPr/>
            </w:pPr>
            <w:r>
              <w:rPr/>
              <w:t>(5)</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nominee for election as a director at the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Nominees for Director </w:t>
      </w:r>
    </w:p>
    <w:p>
      <w:pPr>
        <w:pStyle w:val="TextBody"/>
        <w:bidi w:val="0"/>
        <w:spacing w:before="120" w:after="0"/>
        <w:jc w:val="left"/>
        <w:rPr>
          <w:rFonts w:ascii="Times New Roman" w:hAnsi="Times New Roman"/>
          <w:sz w:val="20"/>
        </w:rPr>
      </w:pPr>
      <w:r>
        <w:rPr>
          <w:rFonts w:ascii="Times New Roman" w:hAnsi="Times New Roman"/>
          <w:b/>
          <w:i/>
          <w:sz w:val="20"/>
        </w:rPr>
        <w:t>Dorman Followwill</w:t>
      </w:r>
      <w:r>
        <w:rPr>
          <w:rFonts w:ascii="Times New Roman" w:hAnsi="Times New Roman"/>
          <w:sz w:val="20"/>
        </w:rPr>
        <w:t xml:space="preserve">. Mr. Followwill has served as a member of our Board since November 2022. Prior to that, he served as a director of Legacy Scilex (as defined below) from April 2022 to November 2022, as a director of Sorrento from October 2017 to April 2024 and as its lead independent director from August 2020 to April 2024. Mr. Followwill was Senior Partner of Transformational Health at Frost &amp; Sullivan, a business consulting firm involved in market research and analysis, growth strategy consulting and corporate training across multiple industries, from 2016 to September 2020. Prior to that time, he served in various roles at Frost &amp; Sullivan, including Partner on the Executive Committee managing the P&amp;L of the business in Europe, Israel and Africa, and Partner overseeing the Healthcare and Life Sciences business in North America, since initially joining Frost &amp; Sullivan to help found the Consulting practice in January 1988. Mr. Followwill has more than 30 years of organizational leadership and management consulting experience, having worked on hundreds of consulting projects across all major regions and across multiple industry sectors, each project focused around the strategic imperative of growth. He holds a B.A. from Stanford University in The Management of Organizations. We believe that Mr. Followwill’s extensive knowledge and understanding of the healthcare and life sciences industries qualify him to serve on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Continuing Directors </w:t>
      </w:r>
    </w:p>
    <w:p>
      <w:pPr>
        <w:pStyle w:val="TextBody"/>
        <w:bidi w:val="0"/>
        <w:spacing w:before="120" w:after="0"/>
        <w:jc w:val="left"/>
        <w:rPr>
          <w:rFonts w:ascii="Times New Roman" w:hAnsi="Times New Roman"/>
          <w:sz w:val="20"/>
        </w:rPr>
      </w:pPr>
      <w:r>
        <w:rPr>
          <w:rFonts w:ascii="Times New Roman" w:hAnsi="Times New Roman"/>
          <w:b/>
          <w:i/>
          <w:sz w:val="20"/>
        </w:rPr>
        <w:t>Jay Chun, M.D., Ph.D.</w:t>
      </w:r>
      <w:r>
        <w:rPr>
          <w:rFonts w:ascii="Times New Roman" w:hAnsi="Times New Roman"/>
          <w:sz w:val="20"/>
        </w:rPr>
        <w:t xml:space="preserve"> Dr. Chun has served as a member of our Board since September 2023. Dr. Chun served as the Chief of Neurosurgery at Overlook Medical Center at Atlantic Health System from June 2015 to June 2023, and as Director of the Atlantic Health Spine Center at Overlook Medical Center from September 2022 to May 2024. Dr. Chun has served as a member of our Scientific Advisory Board since August 2021 and previously served as a member of Celularity, Inc.’s (Nasdaq: CELU) Scientific Advisory Board from September 2020 to January 2023. Dr. Chun completed his M.D. and Ph.D. at Columbia University College of Physicians and Surgeons. His neurosurgical residency was completed at the University of California at San Francisco, followed by specialization in the discipline of complex and minimally invasive spine surgery at Emory University in Atlanta, Georgia. Dr. Chun is board certified and specializes in complex and minimally invasive spine surgery as well as artificial discs. While a member of the Columbia University faculty from June 1995 to June 1997, Dr. Chun worked in the field of biotechnology. He has received many honors including Medical Research Fellowships from the National Institutes of Health (“NIH”), working with the late Nobel Laureate Marshall Nirenberg. He received his Ph.D. with Richard Axel, a recipient of the 2004 Nobel Prize. In honor of his stem cell research, he received the NIH Individual National Research Service Award. We believe that Dr. Chun’s experience as a member of our Scientific Advisory Board, extensive scientific background and business experience qualify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Yue Alexander Wu, Ph.D.</w:t>
      </w:r>
      <w:r>
        <w:rPr>
          <w:rFonts w:ascii="Times New Roman" w:hAnsi="Times New Roman"/>
          <w:sz w:val="20"/>
        </w:rPr>
        <w:t xml:space="preserve"> Dr. Wu has served as a member of our Board since September 2023. Dr. Wu is co-founder and Chief Executive Officer of Cothera Bioscience, Inc., a translation medicine and precision therapeutics company developing cancer therapeutics for previously undruggable targets. He was previously President, Chief Executive Officer and Chief Strategy Officer of Crown Bioscience International, a leading global drug discovery and development solutions company, which he co-founded in 2006, until 2017. From 2004 to 2006, Dr. Wu was Chief Business Officer of Starvax International Inc. in Beijing, China, a biotechnology company focusing on oncology and infectious diseases. From 2001 to 2004, Dr. Wu was a venture capitalist with Burrill &amp; Company where he was head of Asian Activities. Dr. Wu has served as a director of CASI Pharmaceuticals, Inc. (Nasdaq: CASI) since June 2013 and Sorrento from August 2016 to April 2024. Dr. Wu received his Ph.D. in Molecular Cell Biology and his M.B.A. from University of California at Berkeley. He earned an M.S. in Biochemistry from University of Illinois, Urbana-Champaign and his B.S. in Biochemistry from Fudan University in Shanghai, China. We believe that Dr. Wu’s scientific background and business experience in various roles in the life sciences industry qualify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Henry Ji, Ph.D</w:t>
      </w:r>
      <w:r>
        <w:rPr>
          <w:rFonts w:ascii="Times New Roman" w:hAnsi="Times New Roman"/>
          <w:sz w:val="20"/>
        </w:rPr>
        <w:t xml:space="preserve">. Dr. Ji has served as the Executive Chairperson and a member of our Board since September 2023 and as Chief Executive Officer and President since August 2025, and previously served as our Executive Chairperson and a member of our Board from November 2022 to August 2023. Prior to that, he served as Legacy Scilex’s Executive Chairperson and a board member from March 2019 to November 2022. Dr. Ji has served on the board of directors of Scilex Pharmaceuticals Inc., our wholly owned subsidiary (“Scilex Pharma”), since November 2016 and he served as the Chief Executive Officer of Scilex Pharma from November 2016 to March 2019. Dr. Ji has served as the Chief Executive Officer and President of Semnur Pharmaceuticals, Inc. (OTC: SMNR) (“Semnur”) since March 2026 and as Executive Chairperson and a board member since September 2025. He previously served as Semnur’s Treasurer and Secretary and a board member since its inception in 2013. He currently serves as the Chief Executive Officer of Vivasor Holding Company and Vivasor, Inc. He co-founded and has served as a director of Sorrento Therapeutics, Inc., a publicly traded company (“Sorrento”), since January 2006, served as its Chief Scientific Officer from November 2008 to September 2012, as its Interim Chief Executive Officer from April 2011 to September 2012, as its Secretary from September 2009 to June 2011, as its Chief Executive Officer and President since September 2012 and as Chairman of its board of directors since August 2017. In 2002, Dr. Ji founded BioVintage, Inc., a research and development company focusing on innovative life sciences technology and product development, and has served as its President since 2002. From 2001 to 2002, Dr. Ji served as Vice President of CombiMatrix Corporation, a publicly-traded biotechnology company that develops proprietary technologies, including products and services in the areas of drug development, genetic analysis, molecular diagnostics and nanotechnology. During his tenure at CombiMatrix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Dr. Ji was responsible for strategic technology alliances with biopharmaceutical companies. From 1999 to 2001, Dr. Ji served as Director of Business Development, and in 2001 as Vice President of Stratagene Corporation (later acquired by Agilent Technologies, Inc.) where he was responsible for novel technology and product licensing and development. In 1997, Dr. Ji co-founded Stratagene Genomics, Inc., a wholly owned subsidiary of Stratagene Corporation, and served as its President and Chief Executive Officer from its founding until 1999. Dr. Ji previously served as a director of Celularity Inc. (Nasdaq: CELU) from June 2017 to July 2021. Dr. Ji is the holder of several issued and pending patents in the life science research field and is the sole inventor of Sorrento’s intellectual property. Dr. Ji has a Ph.D. in Animal Physiology from the University of Minnesota and a B.S. in Biochemistry from Fudan University. Dr. Ji has demonstrated significant leadership skills as President and Chief Executive Officer of Stratagene Genomics, Inc. and Vice President of CombiMatrix Corporation and Stratagene Corporation and brings more than 20 years of biotechnology and biopharmaceutical experience to his position on our Board. We believe that Dr. Ji’s extensive knowledge of the industry in which we operate allows him to bring to our Board a broad understanding of the operational and strategic issues we face. </w:t>
      </w:r>
    </w:p>
    <w:p>
      <w:pPr>
        <w:pStyle w:val="TextBody"/>
        <w:bidi w:val="0"/>
        <w:spacing w:before="240" w:after="0"/>
        <w:jc w:val="left"/>
        <w:rPr>
          <w:rFonts w:ascii="Times New Roman" w:hAnsi="Times New Roman"/>
          <w:sz w:val="20"/>
        </w:rPr>
      </w:pPr>
      <w:r>
        <w:rPr>
          <w:rFonts w:ascii="Times New Roman" w:hAnsi="Times New Roman"/>
          <w:b/>
          <w:i/>
          <w:sz w:val="20"/>
        </w:rPr>
        <w:t>Stephen Ma.</w:t>
      </w:r>
      <w:r>
        <w:rPr>
          <w:rFonts w:ascii="Times New Roman" w:hAnsi="Times New Roman"/>
          <w:sz w:val="20"/>
        </w:rPr>
        <w:t xml:space="preserve"> Mr. Ma has served as a member of our Board since September 2025, as the Company’s Chief Operating Officer since October 2025, as the Company’s Chief Financial Officer and Senior Vice President since September 2023 and as the Company’s Corporate Secretary since March 2024. Mr. Ma previously served as the Company’s Chief Accounting Officer from May 2023 until his appointment as the Company’s Chief Financial Officer and as Vice President of Finance from January 2022 to April 2023. Mr. Ma has more than 15 years of finance and operational expertise across pharmaceuticals and venture backed biotechnology companies. Mr. Ma has served as Chief Operating Officer of Semnur since March 2026, and as Chief Financial Officer, Senior Vice President and Secretary of Semnur since September 2025. He previously served as Director of Finance and Operations for Anwita Biosciences, Inc., a clinical stage company, from August 2019 to January 2022. Prior to that, from May 2016 to August 2019, he served as the Senior Director of Finance and Controller of Semnur Inc. (f/k/a Semnur Pharmaceuticals, Inc.). Prior to that, he served as Controller for Globavir and part of the management team that worked on its initial public offering process. He also served as the Controller for Ardelyx, which went public in 2014. Prior to that, Mr. Ma served in various finance positions at PDL BioPharma, Inc. and Hyperion Therapeutics, Inc. Mr. Ma has a wealth of experience in finance, strategic planning, commercial launching, debt financing, public offerings and M&amp;A transactions. Mr. Ma holds a B.S. in Finance and M.A. in Economics from San Jose State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individuals who serve as our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i/>
          <w:sz w:val="20"/>
        </w:rPr>
      </w:pPr>
      <w:r>
        <w:rPr>
          <w:rFonts w:ascii="Times New Roman" w:hAnsi="Times New Roman"/>
          <w:i/>
          <w:sz w:val="20"/>
        </w:rPr>
        <w:t xml:space="preserve">Sorrento Bankruptcy </w:t>
      </w:r>
    </w:p>
    <w:p>
      <w:pPr>
        <w:pStyle w:val="TextBody"/>
        <w:bidi w:val="0"/>
        <w:spacing w:before="120" w:after="0"/>
        <w:jc w:val="left"/>
        <w:rPr>
          <w:rFonts w:ascii="Times New Roman" w:hAnsi="Times New Roman"/>
          <w:sz w:val="20"/>
        </w:rPr>
      </w:pPr>
      <w:r>
        <w:rPr>
          <w:rFonts w:ascii="Times New Roman" w:hAnsi="Times New Roman"/>
          <w:sz w:val="20"/>
        </w:rPr>
        <w:t xml:space="preserve">On February 13, 2023, Sorrento (our former controlling stockholder), together with its wholly owned direct subsidiary, Scintilla Pharmaceuticals, Inc., commenced voluntary proceedings under Chapter 11 of the United States Bankruptcy Code in the United States Bankruptcy Court for the Southern District of Texas, jointly administered under the caption In re Sorrento Therapeutics, Inc., et al. (Case Number: 23-90085 (DRJ)). While we were majority-owned by Sorrento when the voluntary proceedings were commenced, we were not (and are not) a debtor in Sorrento’s voluntary Chapter 11 filing. As of September 21, 2023, Sorrento no longer held a majority of the voting power of our outstanding capital stock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 Chapter 11 filing, Dr. Ji was and continues to serve as Chairman of the board of directors, President and Chief Executive Officer of Sorrento; Jaisim Shah (our former Chief Executive Officer, President and director) was serving as a director of Sorrento and served as a director until November 2023; Dr. Wu was serving as a director of Sorrento and served as a director until April 2024; and Mr. Followwill was serving as a director of Sorrento and served as a director until April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Sorrento Equity Holders Litigation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a complaint was filed in the United States District Court for the Southern District of California captioned Mevi et al. v. Ji et al., Case No. 3:26-cv-02113-DMS-DEB. The plaintiffs are former equity holders of Sorrento and have named as defendants, among others, the Company and our directors and executive officers. The complaint alleges, among other things, wrongful conduct relating to Sorrento’s bankruptcy proceedings and subsequent transactions involving Sorrento’s assets, and asserts claims including aiding and abetting breach of fiduciary duty and violation of California Penal Code Section 496. The complaint seeks unspecified compensatory damages, treble damages, disgorgement, punitive damages, attorneys’ fees, costs, and other relief. The Company intends to defend the action vigorously. At this time, the Company cannot predict the outcome of this matter or reasonably estimate the possible loss or range of loss, if 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which currently consists of five members. Dr. Ji serves as Executive Chairperson of our Board. The primary responsibilities of our Board are to provide oversight, strategic guidance, counseling and direction to our management. Our Board meets on a regular basis and on an </w:t>
      </w:r>
      <w:r>
        <w:rPr>
          <w:rFonts w:ascii="Times New Roman" w:hAnsi="Times New Roman"/>
          <w:i/>
          <w:sz w:val="20"/>
        </w:rPr>
        <w:t xml:space="preserve">ad hoc </w:t>
      </w:r>
      <w:r>
        <w:rPr>
          <w:rFonts w:ascii="Times New Roman" w:hAnsi="Times New Roman"/>
          <w:sz w:val="20"/>
        </w:rPr>
        <w:t xml:space="preserve">basis as required.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our restated certificate of incorporation, as amended (our “Certificate of Incorporation”), and our Bylaws, our Board is divided into three classes with staggered three-year terms, as follows: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 is Dorman Followwill, and his term will expire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Jay Chun, M.D., Ph.D. and Yue Alexander Wu, Ph.D., and their term will expire at our annual meeting of stockholders to be held in 2027;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Henry Ji, Ph.D. and Stephen Ma, and their term will expire at our annual meeting of stockholders to be held in 2028.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the successors to directors whose terms will then expire will be elected to serve from the time of election and qualification until the third annual meeting following their election. The authorized number of directors that shall constitute our Board will be determined exclusively by our Board. Any increase or decrease in the number of directors will be apportioned among the three classes so that, as nearly equal as practicable, each class will consist of one-third of the directors. No decrease in the number of directors constituting our Board will shorten the term of any incumbent director. Our directors may be removed only for cause and only by the affirmative vote of the holders of at least 66 2/3% in voting power of all the then-outstanding shares of our capital stock entitled to vote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and our Certificate of Incorporation, and subject to the rights of the holders of any series of our preferred stock, any vacancy on our Board shall be filled only by our Board and not by our stockholders. Any director elected in accordance with the preceding sentence shall hold office until the annual meeting of stockholders for the election of directors of the class to which he or she has been appointed and until his or her successor has been duly elected and qualified, subject, however, to such director’s earlier death, resignation, retirement, removal or disqualification.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Under the Nasdaq Listing Rules, a majority of the members of our Board must satisfy Nasdaq’s criteria for “independence.” Our Board has determined that each of the directors on our Board, other than Dr. Ji and Mr. Ma (as a result of their positions as our Chief Executive Officer, President and Executive Chairperson, and as our Chief Operating Officer, respectively), qualifies as an independent director, as defined by Rule 5605(a)(2) of the Nasdaq Listing Rules, and our Board consists of a majority of “independent directors” as defined under the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SEC and Nasdaq relating to director independence requirements. In addition, we are subject to the rules of the SEC and Nasdaq relating to the membership, qualifications and operations of our Audit Committee, as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encourages management to promote a culture that incorporates risk management into its corporate strategy and day-to-day business operations. Management discusses strategic and operational (including cybersecurity) risks at regular management meetings, and conducts specific strategic planning and review sessions during the year that include a focused discussion and analysis of the risks we face. Throughout the year, senior management reviews these risks with our Board at regular board meetings as part of management presentations that focus on particular business functions, operations or strategies, and presents the steps taken by management to mitigate or eliminate such risks. </w:t>
      </w:r>
    </w:p>
    <w:p>
      <w:pPr>
        <w:pStyle w:val="TextBody"/>
        <w:bidi w:val="0"/>
        <w:spacing w:before="240" w:after="0"/>
        <w:jc w:val="left"/>
        <w:rPr>
          <w:rFonts w:ascii="Times New Roman" w:hAnsi="Times New Roman"/>
          <w:sz w:val="20"/>
        </w:rPr>
      </w:pPr>
      <w:r>
        <w:rPr>
          <w:rFonts w:ascii="Times New Roman" w:hAnsi="Times New Roman"/>
          <w:sz w:val="20"/>
        </w:rPr>
        <w:t xml:space="preserve">Our Board is responsible for overseeing our overall risk management process. The responsibility for managing risk rests with executive management while the committees of our Board and our Board as a whole participate in the oversight process. Our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our Board with the discretion to combine or separate the positions of Chief Executive Officer and Executive Chairperson of our Board. Our Board has determined in its judgment that our current leadership structure is effective and achieves the optimal governance model for us and for our stockholders by having a combined Chief Executive Officer and Executive Chairperson position at this time. However, our Board will continue to periodically review its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In evaluating a director candidate’s qualifications, our Board assesses whether a candidate possesses the integrity, judgment, knowledge, experience, skills and expertise that are likely to enhance our ability, as well as the ability of the committees of our Board, to manage and direct our affairs and business. Our Board may consider many factors, such as: personal and professional integrity, ethics and values, experience in corporate management, such as serving as an officer or former officer of a publicly held company, and experience as a board member or executive officer of another publicly held company. In addition, our Board may consider diversity in identifying potential director nominees, including diversity of expertise and experience in substantive matters pertaining to our business relative to other board members and diversity of background and perspective, including, but not limited to, with respect to age, gender, race, place of residence and specialized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Board Meetings and Committees </w:t>
      </w:r>
    </w:p>
    <w:p>
      <w:pPr>
        <w:pStyle w:val="TextBody"/>
        <w:bidi w:val="0"/>
        <w:spacing w:before="120" w:after="0"/>
        <w:jc w:val="left"/>
        <w:rPr>
          <w:rFonts w:ascii="Times New Roman" w:hAnsi="Times New Roman"/>
          <w:sz w:val="20"/>
        </w:rPr>
      </w:pPr>
      <w:r>
        <w:rPr>
          <w:rFonts w:ascii="Times New Roman" w:hAnsi="Times New Roman"/>
          <w:sz w:val="20"/>
        </w:rPr>
        <w:t xml:space="preserve">During our fiscal year ended December 31, 2025, our Board held four meetings and acted by written consent 21 times. Each director, other than Annu Navani, M.D. (due to scheduling conflicts), attended at least 75% of the aggregate of (i) the total number of meetings of our Board held during the period for which the director had been a director and (ii) the total number of meetings held by all committees of our Board on which the director served during the periods that the director 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corporate governance guidelines have a formal policy regarding attendance by members of our Board at annual meetings of stockholders that encourages, but does not require, our directors to attend. Those who do attend are expected to answer appropriate questions from stockholders. Two directors attended the 2025 annual meeting of stockholders held on June 4, 2025. </w:t>
      </w:r>
    </w:p>
    <w:p>
      <w:pPr>
        <w:pStyle w:val="TextBody"/>
        <w:bidi w:val="0"/>
        <w:spacing w:before="240" w:after="0"/>
        <w:jc w:val="left"/>
        <w:rPr>
          <w:rFonts w:ascii="Times New Roman" w:hAnsi="Times New Roman"/>
          <w:sz w:val="20"/>
        </w:rPr>
      </w:pPr>
      <w:r>
        <w:rPr>
          <w:rFonts w:ascii="Times New Roman" w:hAnsi="Times New Roman"/>
          <w:sz w:val="20"/>
        </w:rPr>
        <w:t xml:space="preserve">The standing committees of our Board are as follows: an audit committee (the “Audit Committee”), a compensation committee (the “Compensation Committee”) and a nominating and corporate governance committee (the “Nominating and Corporate Governance Committee”). Our Board has adopted a charter for each of these committees, which complies with the applicable requirements of current Nasdaq Listing Rules. In addition, our Board has established a commercialization and transaction committee (the “C&amp;T Committee”). Copies of the charters for the Audit Committee, the Compensation Committee and the Nominating and Corporate Governance Committee are available on the investor relations portion of our website at </w:t>
      </w:r>
      <w:r>
        <w:rPr>
          <w:rFonts w:ascii="Times New Roman" w:hAnsi="Times New Roman"/>
          <w:i/>
          <w:sz w:val="20"/>
        </w:rPr>
        <w:t>www.scilexholding.com</w:t>
      </w:r>
      <w:r>
        <w:rPr>
          <w:rFonts w:ascii="Times New Roman" w:hAnsi="Times New Roman"/>
          <w:sz w:val="20"/>
        </w:rPr>
        <w:t xml:space="preserve">. The composition and responsibilities of each of the committees of our Board are as set forth below. The reference to our website address does not constitute incorporation by reference of the information contained at or available or accessible through our website, and you should not consider it to be a part of this Proxy Statement. Members will serve on these committees until their resignation or removal or until otherwise determined by our Board. Our Board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Dorman Followwill, Jay Chun, M.D., Ph.D. and Yue Alexander Wu, Ph.D., with Dorman Followwill serving as the chairperson of the committee. Each of the members of the Audit Committee satisfies the independence requirements under the applicable Nasdaq Listing Rules and SEC rules. Each member of the Audit Committee can read and understand fundamental financial statements under the applicable rules and regulations of the SEC and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the Audit Committee are included in a written charter. The Audit Committee assists our Board in fulfilling our Board’s oversight responsibilities with respect to our accounting and financial reporting processes, the systems of internal control over financial reporting and audits of financial statements and reports, the performance of our internal audit function, the quality and integrity of our financial statements and reports, the qualifications, independence and performance of our independent registered public accounting firm, and our compliance with legal and regulatory requirements. For this purpose, the Audit Committee performs several functions. The Audit Committee’s responsibilities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determining the compensation of, retaining, overseeing and evaluating our independent registered public accounting firm and any other registered public accounting firm engaged for the purpose of performing other review or attest services for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engagements of the independent registered public accounting firm, prior to commencement of the engagement, and the scope of and plans for the audit;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independent registered public accounting firm on our audit engagement;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registered public accounting firm any fraud that includes management or other employees who have a significant role in our internal control over financial reporting and any significant changes in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results of management’s efforts to monitor compliance with our programs and policies designed to ensure compliance with laws and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programs, policies, and procedures related to our information technology systems, including information asset security and data protection;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Dorman Followwill qualifies as an audit committee financial expert within the meaning of SEC regulations and each of Dorman Followwill, Jay Chun, M.D., Ph.D. and Yue Alexander Wu, Ph.D. meets the financial sophistication requirements under the Nasdaq Listing Rules. Our independent registered public accounting firm and our management periodically meet separately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Audit Committee complies with all applicable requirements of the Sarbanes-Oxley Act and all applicable SEC rules and Nasdaq Listing Rules. We intend to comply with future requirements to the extent they become applicable to us.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2025, the Audit Committee held seven meetings and acted by written consent one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Yue Alexander Wu, Ph.D., Dorman Followwill and Jay Chun, M.D., Ph.D., with Yue Alexander Wu, Ph.D. serving as the chairperson of the committee. Each of the members of the Compensation Committee satisfies the independence requirements under the Nasdaq Listing Rules. Each of the members of the Compensation Committee is a non-employee director as defined in Rule 16b-3 promulgated under the Exchange Act and satisfies Nasdaq independence requirements. The Compensation Committee acts on behalf of our Board to fulfill our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Compensation Committee’s responsibilities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(or, if it deems appropriate, recommending to our Board for determination and approval) the compensation and terms of employment of our Chief Executive Officer, including seeking to achieve an appropriate level of risk and reward in determining the long-term incentive component of the compensation of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(or, if it deems appropriate, recommending to our Board for determination and approval) the compensation and terms of employment of our executive officers and other members of senior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appropriate, making recommendations to our Board regarding) the terms of employment agreements, severance agreements, change-of-control protections and other compensatory arrangements for our executive officers and other members of senior management;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periodic reviews of the base compensation levels of all of our employees generally;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type and amount of compensation to be paid or awarded to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adoption, amendment and termination of our equity incentive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once we cease to be an “emerging growth company,” as defined in the Jumpstart Our Business Startups Act of 2012, as amended (the “JOBS Act”), the responsibilities of the Compensation Committee will also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our Compensation Discussion and Analysis, and recommending to our Board that the Compensation Discussion and Analysis be approved for inclusion in our annual reports on Form 10-K, registration statements and our annual meeting proxy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our Board for its consideration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Processes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agenda for each meeting is usually developed by the chairperson of our Compensation Committee, in consultation with the Chief Executive Officer. Our Compensation Committee meets regularly in executive session. However, from time to time, various members of management and other employees as well as outside advisors or consultants may be invited by our Compensation Committee to make presentations, to provide financial or other background information or advice or to otherwise participate in Compensation Committee meetings. The Chief Executive Officer and the Executive Chairperson may not participate in, or be present during, any deliberations or determinations of our Compensation Committee regarding their compensation or individual performance objectives. The charter of our Compensation Committee grants our Compensation Committee full access to all books, records, facilities and personnel of the Company. In addition, under the charter, our Compensation Committee has the authority to obtain, at the expense of the Company, advice and assistance from compensation consultants and internal and external legal, accounting or other advisors and other external resources that our Compensation Committee considers necessary or appropriate in the performance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duties. Our Compensation Committee has direct responsibility for the oversight of the work of any consultants or advisers engaged for the purpose of advising our Compensation Committee. In particular, our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our Compensation Committee may select, or receive advice from, a compensation consultant, legal counsel or other adviser to our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Compensation Committee comply with all applicable requirements of the Sarbanes-Oxley Act and all applicable SEC rules and Nasdaq Listing Rules. We intend to comply with future requirements to the extent they become applicable to us.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2025, the Compensation Committee did not hold any meetings and did not act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consists of Jay Chun, M.D., Ph.D., Dorman Followwill and Yue Alexander Wu, Ph.D., with Jay Chun, M.D., Ph.D. serving as the chairperson of the committee. Each of the members of the Nominating and Corporate Governance Committee satisfies the independence requirements under the Nasdaq Listing Rules. The responsibilities of the Nominating and Corporate Governance Committee are included in its written charter. The Nominating and Corporate Governance Committee acts on behalf of our Board to fulfill our Board’s responsibilities in overseeing all aspects of our nominating and corporate governance functions. The responsibilities of the Nominating and Corporate Governance Committee include, among others: </w:t>
      </w:r>
    </w:p>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our Board regarding corporate governance issues;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qualified candidates to serve as directors (consistent with criteria approved by our Board);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minimum qualifications for service on our Board;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incumbent directors;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instituting and overseeing director orientation and director continuing education programs;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focal point for communication between candidates, non-committee directors and our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our Board for selection candidates to serve as nominees for director for the annual meeting of stockholders;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other recommendations to our Board regarding matters relating to the directors;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succession plans for our Chief Executive Officer and our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overseeing matters of corporate responsibility and sustainability, including potential long- and short-term trends and impacts to our business of environmental, social, and governance issues, and our public reporting on these topics; and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any recommendations for nominees and proposals submitted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periodically reviews, discusses and assesses the performance of our Board and the committees of our Board. In fulfilling this responsibility, the Nominating and Corporate Governance Committee seeks input from senior management, our Board and others. In assessing our Board, the Nominating and Corporate Governance Committee evaluates the overall composition of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Board’s contribution as a whole and its effectiveness in serving our best interests and the best interests of our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our Board for its consideration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Nominating and Corporate Governance Committee comply with all applicable requirements of the Sarbanes-Oxley Act and all applicable SEC rules and Nasdaq Listing Rules. We intend to comply with future requirements to the extent they become applicable to us.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2025, the Nominating and Corporate Governance Committee did not hold any meetings and did not act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Commercialization and Transaction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C&amp;T Committee consists of Stephen Ma, Jay Chun, M.D., Ph.D. and Henry Ji, Ph.D., with Henry Ji, Ph.D. serving as the chairperson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the C&amp;T Committee are included in a written charter. The C&amp;T Committee (a) assists the Board in its oversight of the Company’s (i) commercial strategy and operations, including product launch preparation and execution, (ii) medical affairs activities, and (iii) research and development (“R&amp;D”) portfolio management and (b) evaluates certain potential strategic transactions, chooses strategic transactions which it believes are in the best interest of the stockholders and takes action to oversee the Company’s negotiation of the terms and conditions of any such transaction and recommend any such transaction to the Board, and in each case performs such other functions as may be deemed necessary or convenient in carrying out the foregoing. The C&amp;T Committee’s responsibilities include, among others, the following commercialization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strategic, directional and operational oversight and guidance to the Company regarding its commercial activities and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alignment of the Company’s commercial and R&amp;D programs and progress with the Company’s strategic goals and objectives, taking into account the results of the Company’s pre-clinical studies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reviews of the Company’s product development pipeline, intellectual property portfolio and commercial strategies, including a review and analysis of the progress and results of the Company’s pre-clinical studies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key commercial and medical launch strategies prior to regulatory approval of new products or indications as well as the R&amp;D elements of the Company’s long-range plan and lifecycle management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 on the scientific and R&amp;D aspects of business development opportunities, including licensing opportunities (both in-licensing and out-licensing), and M&amp;A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approving, modify, monitoring and directing the process and procedures related to the review and evaluation of certain potential strategic transactions and determining whether to proceed with any such process, procedures, review or evaluation;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on behalf of the Board and the Company whether a possible strategic transaction is advisable and is fair to, and in the best interests of, the Company and its stockholders (or any subset of the stockholders of the Company that the C&amp;T Committee determines to be appropriate), (ii) rejecting or approving a possible strategic transaction, or recommending such rejection or approval to the Board, (iii) approving or recommending to the Board the consummation of a possible strategic transaction, and (iv) reviewing, evaluating and monitoring proceedings and activities of the Company related to certain potential strategic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its charter, the C&amp;T Committee may form, and delegate authority to, subcommittees as appropriate. The C&amp;T Committee reviews, discusses and assesses its own performance at least annually. The C&amp;T Committee also periodically reviews the charter of the C&amp;T Committee and the compliance procedures in place to implement such charter and recommend necessary clarifications or changes to such charter to the Board for approval.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2025, the C&amp;T Committee did not hold any meetings and did not act by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adopted a written code of business conduct and ethics, applicable to directors, officers and employees, including our principal executive officer, principal financial officer, principal accounting officer or controller, or persons performing similar functions. A current copy of our code of business conduct and ethics is posted on our website at </w:t>
      </w:r>
      <w:r>
        <w:rPr>
          <w:rFonts w:ascii="Times New Roman" w:hAnsi="Times New Roman"/>
          <w:i/>
          <w:sz w:val="20"/>
        </w:rPr>
        <w:t>www.scilexholding.com</w:t>
      </w:r>
      <w:r>
        <w:rPr>
          <w:rFonts w:ascii="Times New Roman" w:hAnsi="Times New Roman"/>
          <w:sz w:val="20"/>
        </w:rPr>
        <w:t xml:space="preserve">. Information contained on or accessible through our website is not a part of this Proxy Statement, and the inclusion of the website address in this Proxy Statement is an inactive textual reference only. We intend to disclose any amendments to our code of business conduct and ethics, or any waivers of its requirements, on our website to the extent required by the applicable rules and exchange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is currently, or has been at any time in the past year, one of our officers or employees. None of our executive officers currently serves, or has served during the last completed fiscal year, as a member of the board of directors or compensation committee of any entity that has one or more executive officers serving as a member of our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has adopted a clawback policy (the “Clawback Policy”) that complies with the SEC rules and Nasdaq Listing Rules. Our Clawback Policy provides for our recovery of erroneously awarded incentive-based compensation from our current and former executive officers (as defined in Rule 10D-1 promulgated under the Exchange Act and Nasdaq Listing Rule 5608) who were employed by the Company during the applicable recovery period. Under the policy, if the Company is required to prepare an accounting restatement of its financial statements due to its material noncompliance with any financial reporting requirement under the securities laws, the Company shall promptly demand in writing and recoup the amount of any incentive-based compensation received by the applicable executive during the three completed fiscal years immediately preceding the date on which the Company is required to prepare such accounting restatement. The amount to be recouped is that which exceeds the amount of incentive-based compensation that otherwise would have been received by the applicable executive had such compensation been determined based on the restated amounts in the accounting restatement. Incentive-based compensation includes any compensation that is granted, earned or vested based wholly or in part upon the attainment of one or more measures derived from our financial statements. Our Compensation Committee administers our Clawback Policy and has the authority to determine the amount of recoverable compensation and manner of recovery. </w:t>
      </w:r>
    </w:p>
    <w:p>
      <w:pPr>
        <w:pStyle w:val="TextBody"/>
        <w:bidi w:val="0"/>
        <w:spacing w:before="240" w:after="0"/>
        <w:jc w:val="left"/>
        <w:rPr>
          <w:rFonts w:ascii="Times New Roman" w:hAnsi="Times New Roman"/>
          <w:sz w:val="20"/>
        </w:rPr>
      </w:pPr>
      <w:r>
        <w:rPr>
          <w:rFonts w:ascii="Times New Roman" w:hAnsi="Times New Roman"/>
          <w:sz w:val="20"/>
        </w:rPr>
        <w:t xml:space="preserve">Our Clawback Policy has been filed with the SEC as an exhibit (Exhibit 97.1) to our Annual Report on Form 10-K for the fiscal year ended December 31, 2023, filed on March 12, 2024.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limit the liability of our directors for monetary damages to the fullest extent permitted by the General Corporation Law of the State of Delaware,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amended (the “DGCL”). Consequently, our directors and officers will not be personally liable to us or our stockholders for monetary damages for any breach of fiduciary duties as directors or officers, except liability for the following: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our directors, unlawful payments of dividends or unlawful stock repurchases or redemptions in violation of the DGCL;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officer, any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if the DGCL is amended to permit further elimination or limitation of the personal liability of directors or officers, then the liability of our directors and officers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we shall indemnify any person who is or was a director or officer of the Company or who is or was serving at our request as a director, officer or trustee of another corporation, limited liability 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our director, officer, employee or agent or is or was our director, officer, employee or agent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We believe that these agreements are necessary to attract and retain qualified individuals to serve as directors and executive officers. We also maintain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the Certificate of Incorporation, the Bylaws and the indemnification agreements is not complete and is qualified in its entirety by reference to these documents, each of which is filed as an exhibit to the Company’s Current Report on Form 8-K filed with the SEC on November 17, 2022.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or indemnified against certain liabilities incurred in their capacity as members of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of 1933, as amended (the “Securities Act”), may be permitted to directors or executive officers, we have been informed that in the opinion of the SEC, such indemnification is against public policy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Identifying and Evaluating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is responsible for identifying, reviewing, evaluating and recommending candidates for nomination to our Board, including candidates to fill any vacancies that may occur.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assesses the qualifications of candidates in light of the policies and principles in our corporate governance guidelines and may also engage third-party search firms to identify director candidates. Our Nominating and Corporate Governance Committee may conduct interviews, detailed questionnaires and comprehensive background checks or use any other means that it deems appropriate to gather information to evaluate potential candidates. Based on the results of the evaluation process, our Nominating and Corporate Governance Committee recommends candidates to our Board for approval as director nominees for election to our Board. In assessing our Board, our Nominating and Corporate Governance Committee will evaluate the overall composition of our Board, our Board’s contribution as a whole and its effectiveness in serving our best interests and the best interests of our stockholders.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Minimum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believes that candidates for director should have certain minimum qualifications, including being able to read and understand basic financial statements, being over 21 years of age and having the highest personal integrity and ethics. Some of the qualifications that our Nominating and Corporate Governance Committee may also consider include, but are not limited to, such candidate’s (i) level of expertise, (ii) potential conflicts of interests or other commitments, (iii) demonstrated excellence in his or her field, (iv) ability to exercise sound business judgment, (v) diversity with respect to personal background, perspective and experience and (vi) commitment to rigorously representing the long-term interests of the Company’s stockholders. Our Nominating and Corporate Governance Committee also reviews director candidates in the context of the current size and composition of our Board, the operating requirements of the Company and the long-term interests of the Company’s stockholders. Although our Board does not maintain a specific policy with respect to board diversity, our Board values diversity as a factor in selecting nominees. Our Nominating and Corporate Governance Committee considers a broad range of backgrounds and experiences and may consider factors including gender, racial diversity, age, skills, and such other factors as it deems appropriate to maintain an appropriate balance of knowledge, experience and capability. In the case of incumbent directors whose terms of office are set to expire, our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our Nominating and Corporate Governance Committee also determines whether the nominee is independent for purposes of the Nasdaq Listing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Recommendations and Nominations to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submit recommendations for director candidates to our Nominating and Corporate Governance Committee by sending the individual’s name and qualifications to our Corporate Secretary at Scilex Holding Company, 960 San Antonio Road, Palo Alto, CA 94303, who will forward all recommendations to our Nominating and Corporate Governance Committee. Our Nominating and Corporate Governance Committee will evaluate any candidates recommended by stockholders against the same criteria and pursuant to the same policies and procedures applicable to the evaluation of candidates proposed by directors or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and Other Interested Party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provides to every stockholder and any other interested parties the ability to communicate with our Board as a whole, and with individual directors on the Board, through an established process for stockholder communication. For a communication directed to our Board as a whole, stockholders and other interested parties may send such communication to our Corporate Secretary at Scilex Holding Company, 960 San Antonio Road, Palo Alto, CA 94303, Attn: Board of Directors c/o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For a stockholder or other interested party communication directed to an individual director in his or her capacity as a member of our Board, stockholders and other interested parties may send such communication to the attention of the individual director at Scilex Holding Company, 960 San Antonio Road, Palo Alto, CA 94303, Attn: Name of Director. </w:t>
      </w:r>
    </w:p>
    <w:p>
      <w:pPr>
        <w:pStyle w:val="TextBody"/>
        <w:bidi w:val="0"/>
        <w:spacing w:before="240" w:after="0"/>
        <w:jc w:val="left"/>
        <w:rPr>
          <w:rFonts w:ascii="Times New Roman" w:hAnsi="Times New Roman"/>
          <w:sz w:val="20"/>
        </w:rPr>
      </w:pPr>
      <w:r>
        <w:rPr>
          <w:rFonts w:ascii="Times New Roman" w:hAnsi="Times New Roman"/>
          <w:sz w:val="20"/>
        </w:rPr>
        <w:t xml:space="preserve">Our Corporate Secretary, in consultation with appropriate members of our Board as necessary, will review all incoming communications and, if appropriate, all such communications will be forwarded to the appropriate member or members of our Board, or if none is specified, to the Chairperson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and Hedging and Pledging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an insider trading policy (the “Insider Trading Policy”). The provisions of this policy expressly prohibit directors, officers and other employees of the Company and its subsidiaries from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directly or indirectly, in securities of the Company after becoming aware of material nonpublic information related to the Company. To further ensure adherence with this policy, procedures have been established for setting blackout periods and permissible open trading windows, as well as advance notice of market transactions. The Insider Trading Policy provides guidance as to what constitutes material information and when information becomes public and addresses transactions by family members and under Company plans. The policy discusses the consequences of an insider trading violation as well as additional trading restrictions and reporting requirements applicable to directors, officers and designated key employees. The policy also contains guidelines and requirements related to the establishment of Rule </w:t>
      </w:r>
    </w:p>
    <w:p>
      <w:pPr>
        <w:pStyle w:val="TextBody"/>
        <w:bidi w:val="0"/>
        <w:spacing w:before="0" w:after="0"/>
        <w:jc w:val="left"/>
        <w:rPr>
          <w:rFonts w:ascii="Times New Roman" w:hAnsi="Times New Roman"/>
          <w:sz w:val="20"/>
        </w:rPr>
      </w:pPr>
      <w:r>
        <w:rPr>
          <w:rFonts w:ascii="Times New Roman" w:hAnsi="Times New Roman"/>
          <w:sz w:val="20"/>
        </w:rPr>
        <w:t>10b5-1</w:t>
      </w:r>
    </w:p>
    <w:p>
      <w:pPr>
        <w:pStyle w:val="TextBody"/>
        <w:bidi w:val="0"/>
        <w:spacing w:before="0" w:after="0"/>
        <w:jc w:val="left"/>
        <w:rPr>
          <w:rFonts w:ascii="Times New Roman" w:hAnsi="Times New Roman"/>
          <w:sz w:val="20"/>
        </w:rPr>
      </w:pPr>
      <w:r>
        <w:rPr>
          <w:rFonts w:ascii="Times New Roman" w:hAnsi="Times New Roman"/>
          <w:sz w:val="20"/>
        </w:rPr>
        <w:t xml:space="preserve">trading plans, in accordance with the new safe harbor requirements of Securities Exchange Act Rule </w:t>
      </w:r>
    </w:p>
    <w:p>
      <w:pPr>
        <w:pStyle w:val="TextBody"/>
        <w:bidi w:val="0"/>
        <w:spacing w:before="0" w:after="0"/>
        <w:jc w:val="left"/>
        <w:rPr>
          <w:rFonts w:ascii="Times New Roman" w:hAnsi="Times New Roman"/>
          <w:sz w:val="20"/>
        </w:rPr>
      </w:pPr>
      <w:r>
        <w:rPr>
          <w:rFonts w:ascii="Times New Roman" w:hAnsi="Times New Roman"/>
          <w:sz w:val="20"/>
        </w:rPr>
        <w:t>10b5-1.</w:t>
      </w:r>
    </w:p>
    <w:p>
      <w:pPr>
        <w:pStyle w:val="TextBody"/>
        <w:bidi w:val="0"/>
        <w:spacing w:before="240" w:after="0"/>
        <w:jc w:val="left"/>
        <w:rPr>
          <w:rFonts w:ascii="Times New Roman" w:hAnsi="Times New Roman"/>
          <w:sz w:val="20"/>
        </w:rPr>
      </w:pPr>
      <w:r>
        <w:rPr>
          <w:rFonts w:ascii="Times New Roman" w:hAnsi="Times New Roman"/>
          <w:sz w:val="20"/>
        </w:rPr>
        <w:t xml:space="preserve">Our Insider Trading Policy also prohibits any director, officer, employee or consultant from engaging in “short sales” of our equity securities, publicly trading in options, short-term trading, and hedging transactions involving our equity securities, provided that our Board, or a committee comprised solely of independent members of our Board, may approve a hedging transaction so long as the transaction does not hedge or offset any decrease in the market value of our equity securities. Further, our Insider Trading Policy restricts our designated insiders from pledging our equity securities as collateral for a loan or otherwise unless the transaction is </w:t>
      </w:r>
    </w:p>
    <w:p>
      <w:pPr>
        <w:pStyle w:val="TextBody"/>
        <w:bidi w:val="0"/>
        <w:spacing w:before="240" w:after="0"/>
        <w:jc w:val="left"/>
        <w:rPr>
          <w:rFonts w:ascii="Times New Roman" w:hAnsi="Times New Roman"/>
          <w:sz w:val="20"/>
        </w:rPr>
      </w:pPr>
      <w:r>
        <w:rPr>
          <w:rFonts w:ascii="Times New Roman" w:hAnsi="Times New Roman"/>
          <w:sz w:val="20"/>
        </w:rPr>
        <w:t>pre-cleared</w:t>
      </w:r>
    </w:p>
    <w:p>
      <w:pPr>
        <w:pStyle w:val="TextBody"/>
        <w:bidi w:val="0"/>
        <w:spacing w:before="240" w:after="0"/>
        <w:jc w:val="left"/>
        <w:rPr>
          <w:rFonts w:ascii="Times New Roman" w:hAnsi="Times New Roman"/>
          <w:sz w:val="20"/>
        </w:rPr>
      </w:pPr>
      <w:r>
        <w:rPr>
          <w:rFonts w:ascii="Times New Roman" w:hAnsi="Times New Roman"/>
          <w:sz w:val="20"/>
        </w:rPr>
        <w:t xml:space="preserve">by our Insider Trading Compliance Officer. As a condition of </w:t>
      </w:r>
    </w:p>
    <w:p>
      <w:pPr>
        <w:pStyle w:val="TextBody"/>
        <w:bidi w:val="0"/>
        <w:spacing w:before="240" w:after="0"/>
        <w:jc w:val="left"/>
        <w:rPr>
          <w:rFonts w:ascii="Times New Roman" w:hAnsi="Times New Roman"/>
          <w:sz w:val="20"/>
        </w:rPr>
      </w:pPr>
      <w:r>
        <w:rPr>
          <w:rFonts w:ascii="Times New Roman" w:hAnsi="Times New Roman"/>
          <w:sz w:val="20"/>
        </w:rPr>
        <w:t>pre-approving</w:t>
      </w:r>
    </w:p>
    <w:p>
      <w:pPr>
        <w:pStyle w:val="TextBody"/>
        <w:bidi w:val="0"/>
        <w:spacing w:before="240" w:after="0"/>
        <w:jc w:val="left"/>
        <w:rPr>
          <w:rFonts w:ascii="Times New Roman" w:hAnsi="Times New Roman"/>
          <w:sz w:val="20"/>
        </w:rPr>
      </w:pPr>
      <w:r>
        <w:rPr>
          <w:rFonts w:ascii="Times New Roman" w:hAnsi="Times New Roman"/>
          <w:sz w:val="20"/>
        </w:rPr>
        <w:t xml:space="preserve">any pledge of our equity securities, any designated insider seeking to pledge securities must clearly demonstrate his or her financial capacity to repay the loan without resort to the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Insider Trading Policy and related Rule </w:t>
      </w:r>
    </w:p>
    <w:p>
      <w:pPr>
        <w:pStyle w:val="TextBody"/>
        <w:bidi w:val="0"/>
        <w:spacing w:before="240" w:after="0"/>
        <w:jc w:val="left"/>
        <w:rPr>
          <w:rFonts w:ascii="Times New Roman" w:hAnsi="Times New Roman"/>
          <w:sz w:val="20"/>
        </w:rPr>
      </w:pPr>
      <w:r>
        <w:rPr>
          <w:rFonts w:ascii="Times New Roman" w:hAnsi="Times New Roman"/>
          <w:sz w:val="20"/>
        </w:rPr>
        <w:t>10b5-1</w:t>
      </w:r>
    </w:p>
    <w:p>
      <w:pPr>
        <w:pStyle w:val="TextBody"/>
        <w:bidi w:val="0"/>
        <w:spacing w:before="240" w:after="0"/>
        <w:jc w:val="left"/>
        <w:rPr>
          <w:rFonts w:ascii="Times New Roman" w:hAnsi="Times New Roman"/>
          <w:sz w:val="20"/>
        </w:rPr>
      </w:pPr>
      <w:r>
        <w:rPr>
          <w:rFonts w:ascii="Times New Roman" w:hAnsi="Times New Roman"/>
          <w:sz w:val="20"/>
        </w:rPr>
        <w:t xml:space="preserve">trading plan requirements have been filed with the SEC as an exhibit (Exhibit 19.1) to our Annual Report on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2023, filed on March 12,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 regard to any trading in our own securities, it is our policy to comply with the federal securities laws and the applicable exchange listing requirements. </w:t>
      </w:r>
    </w:p>
    <w:p>
      <w:pPr>
        <w:pStyle w:val="TextBody"/>
        <w:bidi w:val="0"/>
        <w:spacing w:before="360" w:after="0"/>
        <w:jc w:val="left"/>
        <w:rPr>
          <w:rFonts w:ascii="Times New Roman" w:hAnsi="Times New Roman"/>
          <w:b/>
          <w:sz w:val="20"/>
        </w:rPr>
      </w:pPr>
      <w:r>
        <w:rPr>
          <w:rFonts w:ascii="Times New Roman" w:hAnsi="Times New Roman"/>
          <w:b/>
          <w:sz w:val="20"/>
        </w:rPr>
        <w:t>Non-Employee</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 Compensation Policy for the compensation of our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during 2025, each of our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received annual retainers, subject to proration, for service on our Board and its committees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50"/>
        <w:gridCol w:w="120"/>
        <w:gridCol w:w="146"/>
        <w:gridCol w:w="714"/>
        <w:gridCol w:w="75"/>
      </w:tblGrid>
      <w:tr>
        <w:trPr/>
        <w:tc>
          <w:tcPr>
            <w:tcW w:w="9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150" w:type="dxa"/>
            <w:tcBorders/>
            <w:vAlign w:val="center"/>
          </w:tcPr>
          <w:p>
            <w:pPr>
              <w:pStyle w:val="TableContents"/>
              <w:bidi w:val="0"/>
              <w:spacing w:before="0" w:after="0"/>
              <w:jc w:val="left"/>
              <w:rPr>
                <w:b/>
              </w:rPr>
            </w:pPr>
            <w:r>
              <w:rPr>
                <w:b/>
              </w:rPr>
              <w:t>Annual Cash Compensation</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9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Members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82,500</w:t>
            </w:r>
          </w:p>
        </w:tc>
        <w:tc>
          <w:tcPr>
            <w:tcW w:w="75" w:type="dxa"/>
            <w:tcBorders/>
            <w:shd w:fill="CCEEFF" w:val="clear"/>
            <w:vAlign w:val="center"/>
          </w:tcPr>
          <w:p>
            <w:pPr>
              <w:pStyle w:val="TableContents"/>
              <w:bidi w:val="0"/>
              <w:spacing w:before="0" w:after="283"/>
              <w:jc w:val="left"/>
              <w:rPr/>
            </w:pPr>
            <w:r>
              <w:rPr/>
              <w:t> </w:t>
            </w:r>
          </w:p>
        </w:tc>
      </w:tr>
      <w:tr>
        <w:trPr/>
        <w:tc>
          <w:tcPr>
            <w:tcW w:w="9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Chairs of the Audit Committee, Compensation Committee, Nominating and Corporate Governance Committee and Commercialization and Transaction Committee</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37,500</w:t>
            </w:r>
          </w:p>
        </w:tc>
        <w:tc>
          <w:tcPr>
            <w:tcW w:w="75" w:type="dxa"/>
            <w:tcBorders/>
            <w:vAlign w:val="center"/>
          </w:tcPr>
          <w:p>
            <w:pPr>
              <w:pStyle w:val="TableContents"/>
              <w:bidi w:val="0"/>
              <w:spacing w:before="0" w:after="283"/>
              <w:jc w:val="left"/>
              <w:rPr/>
            </w:pPr>
            <w:r>
              <w:rPr/>
              <w:t> </w:t>
            </w:r>
          </w:p>
        </w:tc>
      </w:tr>
      <w:tr>
        <w:trPr/>
        <w:tc>
          <w:tcPr>
            <w:tcW w:w="9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 of the Audit Committee, Compensation Committee, Nominating and Corporate Governance Committee and Commercialization and Transaction Committee</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255"/>
        <w:gridCol w:w="120"/>
        <w:gridCol w:w="84"/>
        <w:gridCol w:w="791"/>
        <w:gridCol w:w="75"/>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0"/>
              <w:jc w:val="left"/>
              <w:rPr>
                <w:b/>
              </w:rPr>
            </w:pPr>
            <w:r>
              <w:rPr>
                <w:b/>
              </w:rPr>
              <w:t>Equity Compensation</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rPr>
            </w:pPr>
            <w:r>
              <w:rPr>
                <w:b/>
              </w:rPr>
              <w:t>Number</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Initial Stock Options</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7,142</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Stock Options</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2,857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annual cash compensation amounts for our </w:t>
      </w:r>
    </w:p>
    <w:p>
      <w:pPr>
        <w:pStyle w:val="TextBody"/>
        <w:bidi w:val="0"/>
        <w:spacing w:before="240" w:after="0"/>
        <w:jc w:val="left"/>
        <w:rPr>
          <w:rFonts w:ascii="Times New Roman" w:hAnsi="Times New Roman"/>
          <w:sz w:val="20"/>
        </w:rPr>
      </w:pPr>
      <w:r>
        <w:rPr>
          <w:rFonts w:ascii="Times New Roman" w:hAnsi="Times New Roman"/>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are payable in equal quarterly installments in arrears, following the end of each quarter in which the service occurred, </w:t>
      </w:r>
    </w:p>
    <w:p>
      <w:pPr>
        <w:pStyle w:val="TextBody"/>
        <w:bidi w:val="0"/>
        <w:spacing w:before="240" w:after="0"/>
        <w:jc w:val="left"/>
        <w:rPr>
          <w:rFonts w:ascii="Times New Roman" w:hAnsi="Times New Roman"/>
          <w:sz w:val="20"/>
        </w:rPr>
      </w:pPr>
      <w:r>
        <w:rPr>
          <w:rFonts w:ascii="Times New Roman" w:hAnsi="Times New Roman"/>
          <w:sz w:val="20"/>
        </w:rPr>
        <w:t>pro-rated</w:t>
      </w:r>
    </w:p>
    <w:p>
      <w:pPr>
        <w:pStyle w:val="TextBody"/>
        <w:bidi w:val="0"/>
        <w:spacing w:before="240" w:after="0"/>
        <w:jc w:val="left"/>
        <w:rPr>
          <w:rFonts w:ascii="Times New Roman" w:hAnsi="Times New Roman"/>
          <w:sz w:val="20"/>
        </w:rPr>
      </w:pPr>
      <w:r>
        <w:rPr>
          <w:rFonts w:ascii="Times New Roman" w:hAnsi="Times New Roman"/>
          <w:sz w:val="20"/>
        </w:rPr>
        <w:t xml:space="preserve">for any partial months of service. The equity compensation paid to our </w:t>
      </w:r>
    </w:p>
    <w:p>
      <w:pPr>
        <w:pStyle w:val="TextBody"/>
        <w:bidi w:val="0"/>
        <w:spacing w:before="240" w:after="0"/>
        <w:jc w:val="left"/>
        <w:rPr>
          <w:rFonts w:ascii="Times New Roman" w:hAnsi="Times New Roman"/>
          <w:sz w:val="20"/>
        </w:rPr>
      </w:pPr>
      <w:r>
        <w:rPr>
          <w:rFonts w:ascii="Times New Roman" w:hAnsi="Times New Roman"/>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will vest monthly over a period of 48 months from the date of grant with respect to the initial stock option grants and over a period of 12 months from the date of grant with respect to the annual stock option grants, in each case, subject to continued service through each vesting date. Additionally, we will reimburse each outside director for reasonable travel expenses related to such director’s attendance at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Employee directors receive no additional compensation for their service as a director.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Non-Employee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total compensation that was earned by or paid to each of our non-employee directors during the year ended December 31, 2025. </w:t>
      </w:r>
    </w:p>
    <w:p>
      <w:pPr>
        <w:pStyle w:val="TextBody"/>
        <w:bidi w:val="0"/>
        <w:spacing w:before="0" w:after="0"/>
        <w:jc w:val="left"/>
        <w:rPr/>
      </w:pPr>
      <w:r>
        <w:rPr/>
        <w:t> </w:t>
      </w:r>
    </w:p>
    <w:tbl>
      <w:tblPr>
        <w:tblW w:w="8963" w:type="dxa"/>
        <w:jc w:val="left"/>
        <w:tblInd w:w="0" w:type="dxa"/>
        <w:tblLayout w:type="fixed"/>
        <w:tblCellMar>
          <w:top w:w="0" w:type="dxa"/>
          <w:left w:w="0" w:type="dxa"/>
          <w:bottom w:w="0" w:type="dxa"/>
          <w:right w:w="0" w:type="dxa"/>
        </w:tblCellMar>
      </w:tblPr>
      <w:tblGrid>
        <w:gridCol w:w="2735"/>
        <w:gridCol w:w="120"/>
        <w:gridCol w:w="90"/>
        <w:gridCol w:w="1205"/>
        <w:gridCol w:w="60"/>
        <w:gridCol w:w="120"/>
        <w:gridCol w:w="103"/>
        <w:gridCol w:w="1386"/>
        <w:gridCol w:w="60"/>
        <w:gridCol w:w="120"/>
        <w:gridCol w:w="341"/>
        <w:gridCol w:w="1479"/>
        <w:gridCol w:w="60"/>
        <w:gridCol w:w="120"/>
        <w:gridCol w:w="62"/>
        <w:gridCol w:w="827"/>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b/>
              </w:rPr>
              <w:t>Name</w:t>
            </w:r>
            <w:r>
              <w:rPr/>
              <w:t>(1)</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 ($)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Current Non-Employee Directors</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173,445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248,922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422,367</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169,606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right"/>
              <w:rPr/>
            </w:pPr>
            <w:r>
              <w:rPr/>
              <w:t>248,922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418,528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142,361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248,922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391,283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Non-Employee Director</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 Navani, M.D.(3)</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114,308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114,308</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Ji, our Chief Executive Officer, President and Executive Chairperson, Mr. Shah, our former Chief Executive Officer and President, and Mr. Ma, our Chief Operating Officer, are not included in this table, as each of them was our employee and therefore received no compensation for his service as a director. Dr. Ji’s, Mr. Shah’s and Mr. Ma’s compensation as named executive officers are included in the section titled “Executive Compensation — Summary Compensation Table” below.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each of our current non-employee directors held options to purchase the following number of shares of our Common Stock: Dr. Chun: 20,000; Mr. Followwill: 20,000; and Dr. Wu: 20,000. </w:t>
            </w:r>
          </w:p>
        </w:tc>
      </w:tr>
    </w:tbl>
    <w:tbl>
      <w:tblPr>
        <w:tblW w:w="5725" w:type="dxa"/>
        <w:jc w:val="left"/>
        <w:tblInd w:w="0" w:type="dxa"/>
        <w:tblLayout w:type="fixed"/>
        <w:tblCellMar>
          <w:top w:w="0" w:type="dxa"/>
          <w:left w:w="0" w:type="dxa"/>
          <w:bottom w:w="0" w:type="dxa"/>
          <w:right w:w="0" w:type="dxa"/>
        </w:tblCellMar>
      </w:tblPr>
      <w:tblGrid>
        <w:gridCol w:w="305"/>
        <w:gridCol w:w="5420"/>
      </w:tblGrid>
      <w:tr>
        <w:trPr/>
        <w:tc>
          <w:tcPr>
            <w:tcW w:w="305" w:type="dxa"/>
            <w:tcBorders/>
            <w:vAlign w:val="center"/>
          </w:tcPr>
          <w:p>
            <w:pPr>
              <w:pStyle w:val="TableContents"/>
              <w:bidi w:val="0"/>
              <w:spacing w:before="0" w:after="283"/>
              <w:jc w:val="left"/>
              <w:rPr/>
            </w:pPr>
            <w:r>
              <w:rPr/>
              <w:t>(3)</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Navani resigned from our Board effective September 22,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46109_3"/>
      <w:bookmarkEnd w:id="5"/>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is currently composed of five members. In accordance with our Certificate of Incorporation, our Board is divided into three staggered classes of directors. At the Annual Meeting, a Class I director will be elected for a three-year term to succeed the same class whose term is then expiring. </w:t>
      </w:r>
    </w:p>
    <w:p>
      <w:pPr>
        <w:pStyle w:val="TextBody"/>
        <w:bidi w:val="0"/>
        <w:spacing w:before="240" w:after="0"/>
        <w:jc w:val="left"/>
        <w:rPr>
          <w:rFonts w:ascii="Times New Roman" w:hAnsi="Times New Roman"/>
          <w:sz w:val="20"/>
        </w:rPr>
      </w:pPr>
      <w:r>
        <w:rPr>
          <w:rFonts w:ascii="Times New Roman" w:hAnsi="Times New Roman"/>
          <w:sz w:val="20"/>
        </w:rPr>
        <w:t xml:space="preserve">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may have the effect of delaying or preventing changes in the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Nominee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has recommended, and our Board has approved, Dorman Followwill as nominee for election as a Class I director at the Annual Meeting. If elected, Dorman Followwill will serve as a Class I director until the 2029 annual meeting of stockholders and until his successor is duly elected and qualified. Dorman Followwill is currently a director of our Company. For information concerning the nominee, please see the section titled “Board of Directors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and you sign your proxy card or vote over the Internet but do not give instructions with respect to the voting of directors, your shares will be voted “FOR” the election of Dorman Followwill. We expect that Dorman Followwill will accept such nomination; however, in the event that a director nominee is unable or declines to serve as a director at the time of the Annual Meeting, the proxies will be voted for any nominee designated by our Board to fill such vacancy. If you are a street name stockholder and you do not give voting instructions to your broker or nominee, your broker will leave your shares unvoted on this matter, which will result in no effect on the vote for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Interest </w:t>
      </w:r>
    </w:p>
    <w:p>
      <w:pPr>
        <w:pStyle w:val="TextBody"/>
        <w:bidi w:val="0"/>
        <w:spacing w:before="120" w:after="0"/>
        <w:jc w:val="left"/>
        <w:rPr>
          <w:rFonts w:ascii="Times New Roman" w:hAnsi="Times New Roman"/>
          <w:sz w:val="20"/>
        </w:rPr>
      </w:pPr>
      <w:r>
        <w:rPr>
          <w:rFonts w:ascii="Times New Roman" w:hAnsi="Times New Roman"/>
          <w:sz w:val="20"/>
        </w:rPr>
        <w:t xml:space="preserve">Dorman Followwill has an interest in this Proposal No. 1, as he is currently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directors requires a plurality of the votes cast by the stockholders entitled to vote at such election to be approved. Broker non-votes will have no effect on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THE ELECTION OF </w:t>
      </w:r>
    </w:p>
    <w:p>
      <w:pPr>
        <w:pStyle w:val="TextBody"/>
        <w:bidi w:val="0"/>
        <w:spacing w:before="0" w:after="0"/>
        <w:jc w:val="center"/>
        <w:rPr>
          <w:rFonts w:ascii="Times New Roman" w:hAnsi="Times New Roman"/>
          <w:b/>
          <w:sz w:val="20"/>
        </w:rPr>
      </w:pPr>
      <w:r>
        <w:rPr>
          <w:rFonts w:ascii="Times New Roman" w:hAnsi="Times New Roman"/>
          <w:b/>
          <w:sz w:val="20"/>
        </w:rPr>
        <w:t xml:space="preserve">THE DIRECTOR NOMINEE NAMED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46109_4"/>
      <w:bookmarkEnd w:id="6"/>
      <w:r>
        <w:rPr>
          <w:rFonts w:ascii="Times New Roman" w:hAnsi="Times New Roman"/>
          <w:b/>
          <w:sz w:val="20"/>
        </w:rPr>
        <w:t xml:space="preserve">PROPOSAL NO.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APPOINTMENT OF </w:t>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BPM LLP, an independent registered public accounting firm, to audit our consolidated financial statements for our fiscal year ending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appointment of BPM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BPM LLP as our independent registered public accounting firm for our fiscal year ending December 31, 2026. Our Audit Committee is submitting the appointment of BPM LLP to our stockholders because we value our stockholders’ views on our independent registered public accounting firm and as a matter of good corporate governance. One or more representatives of BPM LLP will be present at the Annual Meeting, will have an opportunity to make a statement and will be available to respond to appropriate questions from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do not ratify the appointment of BPM LLP, our Board may reconsider the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Auditor </w:t>
      </w:r>
    </w:p>
    <w:p>
      <w:pPr>
        <w:pStyle w:val="TextBody"/>
        <w:bidi w:val="0"/>
        <w:spacing w:before="120" w:after="0"/>
        <w:jc w:val="left"/>
        <w:rPr>
          <w:rFonts w:ascii="Times New Roman" w:hAnsi="Times New Roman"/>
          <w:sz w:val="20"/>
        </w:rPr>
      </w:pPr>
      <w:r>
        <w:rPr>
          <w:rFonts w:ascii="Times New Roman" w:hAnsi="Times New Roman"/>
          <w:sz w:val="20"/>
        </w:rPr>
        <w:t xml:space="preserve">On December 5, 2024, our Audit Committee approved the appointment of BPM LLP (“BPM”) as our independent registered public accounting firm, effective immediately, for the quarter ended September 30, 2024 and the fiscal year ending December 31, 2024. BPM replaced Ernst &amp; Young LLP (“Ernst &amp; Young”) as our independent registered public accounting firm. BPM also served as independent registered public accounting firm for us with respect to the re-audit of our consolidated financial statements for the fiscal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During our two most recent fiscal years and the subsequent interim period preceding BPM’s engagement, neither we nor anyone acting on our behalf consulted BPM regarding (i) the application of accounting principles to a specified transaction, either completed or proposed, or the type of audit opinion that might be rendered on our consolidated financial statements, and BPM did not provide either a written report or oral advice to us that was an important factor considered by us in reaching a decision as to any accounting, auditing or financial reporting issue, or (ii) any matter that was either the subject of a disagreement (as that term is used in Item 304(a)(1)(iv) of Regulation S-K and the related instructions to Item 304 of Regulation S-K) on accounting principles or practices, financial statement disclosure or auditing scope or procedures or a “reportable event” (as described in Item 304(a)(1)(v)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complete its review of our financial statements as of, and for the period ended, September 30, 2024 (the “Q3 Financials”), our independent registered public accounting firm, Ernst &amp; Young, requested that the Audit Committee conduct an investigation with respect to certain contracts entered into by us in June 2024 and September 2024, and the corresponding accounting for such contracts, which may impact Ernst &amp; Young’s willingness to rely on management’s representations in connection with its review of the Q3 Financials. The contracts are comprised of the Commitment Side Letter entered into with FSF 33433 LLC (a copy of which was filed with the SEC as an exhibit to our Current Report on Form 8-K filed on June 12, 2024), a distribution agreement entered into with Endeavor Distribution LLC (“Distributor”) in June 2024, and the Satisfaction Agreement entered into with FSF 33433 LLC and Distributor (a copy of which was filed with the SEC as an exhibit to our Current Report on Form 8-K filed on September 18, 2024). As two of the contracts were entered into during our second fiscal quarter of 2024, the investigation of such contracts may have a material impact on our financial statements as of, and for the quarter ended, June 30, 2024, which are included in our Quarterly Report on Form 10-Q for the quarter ended June 30, 2024, filed with the SEC on August 13, 2024 (the “Q2 Form 10-Q”).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response to Ernst &amp; Young’s request, our Audit Committee commenced an investigation with the assistance of independent counsel with respect to an evaluation of the above referenced contracts, the accounting treatment of such contracts, and related matters. Our Audit Committee was informed by its independent counsel in November 2024 that no conclusive findings have been made yet and its investigation would not be completed for at least several weeks. In addition, Ernst &amp; Young informed our Audit Committee that, even after the investigation by independent counsel is complete, Ernst &amp; Young could not provide any assurance as to when or whether it could timely complete its review of the Q3 Financials. </w:t>
      </w:r>
    </w:p>
    <w:p>
      <w:pPr>
        <w:pStyle w:val="TextBody"/>
        <w:bidi w:val="0"/>
        <w:spacing w:before="240" w:after="0"/>
        <w:jc w:val="left"/>
        <w:rPr>
          <w:rFonts w:ascii="Times New Roman" w:hAnsi="Times New Roman"/>
          <w:sz w:val="20"/>
        </w:rPr>
      </w:pPr>
      <w:r>
        <w:rPr>
          <w:rFonts w:ascii="Times New Roman" w:hAnsi="Times New Roman"/>
          <w:sz w:val="20"/>
        </w:rPr>
        <w:t xml:space="preserve">On November 19, 2024, because of Ernst &amp; Young’s inability to provide such assurance regarding the completion of its review of the Q3 Financials, our Audit Committee (as such committee was constituted at the time the investigation commenced) voted to dismiss Ernst &amp; Young, effective immediately. Ernst &amp; Young had initially been engaged by us in 2020 when it was still a private company and was reengaged as our independent registered public accounting firm in 2022 in connection with us becoming a publicly traded company. Based on the Audit Committee’s prior discussions with Ernst &amp; Young, we do not have any disagreements with Ernst &amp; Young on any matter of accounting principles or practices, financial statement disclosure, or auditing scope or procedure. </w:t>
      </w:r>
    </w:p>
    <w:p>
      <w:pPr>
        <w:pStyle w:val="TextBody"/>
        <w:bidi w:val="0"/>
        <w:spacing w:before="240" w:after="0"/>
        <w:jc w:val="left"/>
        <w:rPr>
          <w:rFonts w:ascii="Times New Roman" w:hAnsi="Times New Roman"/>
          <w:sz w:val="20"/>
        </w:rPr>
      </w:pPr>
      <w:r>
        <w:rPr>
          <w:rFonts w:ascii="Times New Roman" w:hAnsi="Times New Roman"/>
          <w:sz w:val="20"/>
        </w:rPr>
        <w:t xml:space="preserve">The reports of Ernst &amp; Young on the consolidated financial statements of the Company as of and for the fiscal years ended December 31, 2023 and 2022 did not contain any adverse opinion or disclaimer of opinion and were not qualified or modified as to uncertainty, audit scope or accounting principles, with the exception of providing a qualification as to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years ended December 31, 2023 and December 31, 2022, and the subsequent interim period through November 19, 2024, there were no disagreements with Ernst &amp; Young on any matter of accounting principles or practices, financial statement disclosure, or auditing scope or procedures, which disagreement(s), if not resolved to the satisfaction of Ernst &amp; Young, would have caused it to make reference to the subject matter of the disagreement(s) in connection with its report. During our two most recent fiscal years and the subsequent interim period through November 19, 2024, there were no reportable events of the type described in Item 304(a)(1)(v) of Regulation S-K, except (i) for the disclosure of the material weakness in our internal control over financial reporting as disclosed in Part II, Item 9A of our Annual Report on Form 10-K for the year ended December 31, 2022 and (ii) that, as described in the Ernst &amp; Young Letter (as defined below) and subsequently disclosed by us in the Form 8-K/A (as defined below), Ernst &amp; Young advised our Audit Committee, including in a discussion on November 10, 2024, in substance, that information had come to Ernst &amp; Young’s attention that if further investigated may materially impact the fairness or reliability of the financial statements issued or to be issued for the second and third quarters, or cause Ernst &amp; Young to be unwilling to rely on management’s representations or be associated with the registrant’s financial statements, and at the time of Ernst &amp; Young’s dismissal on November 19, 2024, such investigation was not complete. </w:t>
      </w:r>
    </w:p>
    <w:p>
      <w:pPr>
        <w:pStyle w:val="TextBody"/>
        <w:bidi w:val="0"/>
        <w:spacing w:before="240" w:after="0"/>
        <w:jc w:val="left"/>
        <w:rPr>
          <w:rFonts w:ascii="Times New Roman" w:hAnsi="Times New Roman"/>
          <w:sz w:val="20"/>
        </w:rPr>
      </w:pPr>
      <w:r>
        <w:rPr>
          <w:rFonts w:ascii="Times New Roman" w:hAnsi="Times New Roman"/>
          <w:sz w:val="20"/>
        </w:rPr>
        <w:t xml:space="preserve">We provided Ernst &amp; Young with a copy of the foregoing disclosure and requested Ernst &amp; Young to furnish us with a letter addressed to the SEC stating whether it agrees with the statements made herein. On November 20, 2024, Ernst &amp; Young furnished a copy of such letter to us stating that it disagrees with certain of the statements made by us (the “Ernst &amp; Young Letter”), a copy of which was filed as an exhibit to our Current Report on Form 8-K/A filed with the SEC on November 22, 2024 (the “Form 8-K/A”). </w:t>
      </w:r>
    </w:p>
    <w:p>
      <w:pPr>
        <w:pStyle w:val="TextBody"/>
        <w:bidi w:val="0"/>
        <w:spacing w:before="240" w:after="0"/>
        <w:jc w:val="left"/>
        <w:rPr>
          <w:rFonts w:ascii="Times New Roman" w:hAnsi="Times New Roman"/>
          <w:sz w:val="20"/>
        </w:rPr>
      </w:pPr>
      <w:r>
        <w:rPr>
          <w:rFonts w:ascii="Times New Roman" w:hAnsi="Times New Roman"/>
          <w:sz w:val="20"/>
        </w:rPr>
        <w:t xml:space="preserve">As set forth below and described in the Form 8-K/A, we disagree with certain of the statements made by Ernst &amp; Young in the Ernst &amp; Young Letter. </w:t>
      </w:r>
    </w:p>
    <w:p>
      <w:pPr>
        <w:pStyle w:val="TextBody"/>
        <w:bidi w:val="0"/>
        <w:spacing w:before="240" w:after="0"/>
        <w:jc w:val="left"/>
        <w:rPr>
          <w:rFonts w:ascii="Times New Roman" w:hAnsi="Times New Roman"/>
          <w:sz w:val="20"/>
        </w:rPr>
      </w:pPr>
      <w:r>
        <w:rPr>
          <w:rFonts w:ascii="Times New Roman" w:hAnsi="Times New Roman"/>
          <w:sz w:val="20"/>
        </w:rPr>
        <w:t xml:space="preserve">First, in the fourth bullet point of the Ernst &amp; Young Letter, Ernst &amp; Young states that “The Executive Chairman asserted a view that the Audit Committee should terminate or suspend the independent investigation and/or terminate Ernst &amp; Young.” The Company disagrees with this statement, as the Executive Chairman discussed Ernst &amp; Young, among other things, the timing of Ernst &amp; Young’s completion of its review of the Q3 Financials, the potential scenarios surrounding a possible transition to a new accounting firm if determined to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by the Audit Committee due to the timing issues for Ernst &amp; Young to complete its review of the Q3 Financials, and what level of support the Company might expect to receive from Ernst &amp; Young during a transition to a new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Second, in the sixth bullet point of the Ernst &amp; Young Letter, Ernst &amp; Young states that “Subsequently, on November 19, Ernst &amp; Young learned that the person who had been Chair of the Audit Committee was no longer on the Audit Committee, and the remaining members of the Audit Committee had decided to dismiss Ernst &amp; Young as the Company’s auditor.” The Company believes that such statement suggests, incorrectly, that the Audit Committee had been reconstituted prior to a vote regarding Ernst &amp; Young’s dismissal. As noted above, in the fifth paragraph of this section titled “Change in Auditor”, the members of the Audit Committee voted to dismiss Ernst &amp; Young, and was comprised of the same members of the Audit Committee for the entirety of the investigation as of such date. </w:t>
      </w:r>
    </w:p>
    <w:p>
      <w:pPr>
        <w:pStyle w:val="TextBody"/>
        <w:bidi w:val="0"/>
        <w:spacing w:before="360" w:after="0"/>
        <w:jc w:val="left"/>
        <w:rPr>
          <w:rFonts w:ascii="Times New Roman" w:hAnsi="Times New Roman"/>
          <w:b/>
          <w:sz w:val="20"/>
        </w:rPr>
      </w:pPr>
      <w:r>
        <w:rPr>
          <w:rFonts w:ascii="Times New Roman" w:hAnsi="Times New Roman"/>
          <w:b/>
          <w:sz w:val="20"/>
        </w:rPr>
        <w:t xml:space="preserve">Fees Paid to the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fees for professional audit services and other services rendered by Ernst &amp; Young LLP, BPM LLP, Pipara Excelus LLC, Moss Adams LLP and KBF CPAs LLP to our Company for our fiscal years ended December 31, 2025 and December 31, 2024. </w:t>
      </w:r>
    </w:p>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1595"/>
        <w:gridCol w:w="120"/>
        <w:gridCol w:w="140"/>
        <w:gridCol w:w="980"/>
        <w:gridCol w:w="60"/>
        <w:gridCol w:w="120"/>
        <w:gridCol w:w="140"/>
        <w:gridCol w:w="98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5,230,045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4,677,619</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317,379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137,250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5,684,674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4,677,619</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for services rendered in connection with the annual audit and quarterly reviews of our consolidated financial statements. Audit fees also consist of services provided in connection with the issuance of auditors’ consents that were included in our registration statements filed in connection with certain of our securities offerings, consultation on accounting matters and services related to SEC filings. Audit fees also include audit fees for Semnur of $392,665 in 2025 and $1,071,000 in 2024.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 of fees for professional services rendered by the principal accountant for tax compliance, tax advice, and tax planning, and include tax fees for Semnur of $13,645 in 2025. </w:t>
            </w:r>
          </w:p>
        </w:tc>
      </w:tr>
    </w:tbl>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(3)</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consists of business combination-related fees for Semnur of $137,250 in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In our fiscal year ended December 31, 2025, there were no other professional services provided by BPM LLP, other than those listed above, that would have required our Audit Committee to consider its compatibility with maintaining the independence of BPM LLP.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required to pre-approve the audit and non-audit services performed by our independent registered public accounting firm in order to assure that the provision of such services does not impair the auditor’s independence. Any proposed services exceeding pre-approved cost levels require specific pre-approval by our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at least annually reviews and provides general pre-approval for the services that may be provided by the independent registered public accounting firm. The term of the general pre-approval is 12 months from the date of approval, unless our Audit Committee specifically provides for a different period. If our Audit Committee has not provided general pre-approval, then the type of service requires specific pre-approval by our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its charter, our Audit Committee has delegated pre-approval authority to the chairperson of our Audit Committee so long as any such pre-approval decisions are presented to the full Audit Committee at its next scheduled meeting. All services performed and related fees billed by BPM LLP during fiscal year 2025 were pre-approved by our Audit Committee pursuant to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ratification of the appointment of BPM LLP as our independent registered public accounting firm for our fiscal year ending December 31, 2026 requires the affirmative vote of the holders of a majority of the votes cast affirmatively or negatively (excluding abstentions) at the Annual Meeting by the holders entitled to vote thereon. Stockholder abstentions will not have any effect on the outcome of this proposal, so long as a quorum exists. Broker non-votes will have no effect on the outcome of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THE RATIFICATION OF THE APPOINTMENT OF BPM LLP AS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46109_5"/>
      <w:bookmarkEnd w:id="7"/>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a committee of the Board of Directors comprised solely of independent directors as required by the listing standards of The Nasdaq Stock Market LLC and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In the performance of its oversight function, the Audit Committee has: </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the audited financial statements with management and BPM LLP;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BPM LLP the matters required to be discussed by the applicable requirements of the Public Company Accounting Oversight Board (“PCAOB”) and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BPM LLP required by applicable requirements of the PCAOB regarding their communications with the Audit Committee concerning independence, and has discussed with them their independence.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with management and BPM LLP, the Audit Committee recommended to the Board of Directors that the audited financial statements be included in our Annual Report on Form 10-K for the fiscal year ended December 31, 2025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by the members of the Audit Committee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AUDIT COMMITTEE </w:t>
      </w:r>
    </w:p>
    <w:p>
      <w:pPr>
        <w:pStyle w:val="TextBody"/>
        <w:bidi w:val="0"/>
        <w:spacing w:before="0" w:after="0"/>
        <w:jc w:val="left"/>
        <w:rPr>
          <w:rFonts w:ascii="Times New Roman" w:hAnsi="Times New Roman"/>
          <w:sz w:val="20"/>
        </w:rPr>
      </w:pPr>
      <w:r>
        <w:rPr>
          <w:rFonts w:ascii="Times New Roman" w:hAnsi="Times New Roman"/>
          <w:sz w:val="20"/>
        </w:rPr>
        <w:t xml:space="preserve">Dorman Followwill, </w:t>
      </w:r>
      <w:r>
        <w:rPr>
          <w:rFonts w:ascii="Times New Roman" w:hAnsi="Times New Roman"/>
          <w:i/>
          <w:sz w:val="20"/>
        </w:rPr>
        <w:t>Chairperson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Yue Alexander Wu, Ph.D. </w:t>
      </w:r>
    </w:p>
    <w:p>
      <w:pPr>
        <w:pStyle w:val="TextBody"/>
        <w:bidi w:val="0"/>
        <w:spacing w:before="0" w:after="0"/>
        <w:jc w:val="left"/>
        <w:rPr>
          <w:rFonts w:ascii="Times New Roman" w:hAnsi="Times New Roman"/>
          <w:sz w:val="20"/>
        </w:rPr>
      </w:pPr>
      <w:r>
        <w:rPr>
          <w:rFonts w:ascii="Times New Roman" w:hAnsi="Times New Roman"/>
          <w:sz w:val="20"/>
        </w:rPr>
        <w:t xml:space="preserve">Jay Chun, M.D., Ph.D. </w:t>
      </w:r>
    </w:p>
    <w:p>
      <w:pPr>
        <w:pStyle w:val="TextBody"/>
        <w:bidi w:val="0"/>
        <w:spacing w:before="240" w:after="0"/>
        <w:jc w:val="left"/>
        <w:rPr>
          <w:rFonts w:ascii="Times New Roman" w:hAnsi="Times New Roman"/>
          <w:i/>
          <w:sz w:val="20"/>
        </w:rPr>
      </w:pPr>
      <w:r>
        <w:rPr>
          <w:rFonts w:ascii="Times New Roman" w:hAnsi="Times New Roman"/>
          <w:i/>
          <w:sz w:val="20"/>
        </w:rPr>
        <w:t xml:space="preserve">The foregoing report of the Audit Committee is required by the SEC, is not “soliciting material,”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46109_6"/>
      <w:bookmarkEnd w:id="8"/>
      <w:r>
        <w:rPr>
          <w:rFonts w:ascii="Times New Roman" w:hAnsi="Times New Roman"/>
          <w:b/>
          <w:sz w:val="20"/>
        </w:rPr>
        <w:t xml:space="preserve">PROPOSAL NO. 3 </w:t>
      </w:r>
    </w:p>
    <w:p>
      <w:pPr>
        <w:pStyle w:val="TextBody"/>
        <w:bidi w:val="0"/>
        <w:spacing w:before="0" w:after="0"/>
        <w:jc w:val="center"/>
        <w:rPr>
          <w:rFonts w:ascii="Times New Roman" w:hAnsi="Times New Roman"/>
          <w:b/>
          <w:sz w:val="20"/>
        </w:rPr>
      </w:pPr>
      <w:r>
        <w:rPr>
          <w:rFonts w:ascii="Times New Roman" w:hAnsi="Times New Roman"/>
          <w:b/>
          <w:sz w:val="20"/>
        </w:rPr>
        <w:t xml:space="preserve">APPROVAL OF THE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2022 PLAN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the amendment to the 2022 Plan (such amendment, the “Plan Amendment”) to (i) increase the number of shares authorized for issuance thereunder by 1,300,000 shares from 1,465,789 shares to 2,765,789 shares and (ii) increase the number of shares authorized for issuance thereunder pursuant to the exercise of ISOs (such limit on the number of shares issuable pursuant to ISOs, the “ISO Limit”) to 2,765,789 shares, also in both cases, subject to the automatic annual increase provisions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October 17, 2022, our Board adopted, subject to the approval by our stockholders, the 2022 Plan. On November 9, 2022, our stockholders approved the 2022 Plan. The 2022 Plan became effective on November 9, 2022, the day immediately preceding the date of the closing of the Company’s business combination (the “Business Combination”). On January 1, 2023, pursuant to the terms of the 2022 Plan, (a) 161,541 shares of Common Stock were added to the shares available thereunder, pursuant to the automatic feature thereunder, which provides that the number of shares reserved for issuance thereunder will automatically increase on January 1 of each year for a period of ten years, commencing on January 1, 2023 and ending on (and including) January 1, 2032, in an amount equal to the lesser of: (i) 4% of the total number of shares of Common Stock outstanding on December 31 of the immediately preceding year, (ii) 208,895 shares of Common Stock, and (iii) such number of shares of Common Stock determined by the Board or the Compensation Committee prior to January 1 of a given year, and (b) 161,541 shares of Common Stock were also added to the ISO Limit, in accordance with the automatic feature thereunder, which provides that the ISO Limit will increase commencing on January 1, 2023 and ending on (and including) January 1, 2032, in an amount equal to the lesser of: (x) 4% of the total number of shares of Common Stock outstanding on December 31 of the immediately preceding year, (y) 208,895 shares of Common Stock, and (z) such number of shares of Common Stock determined by the Board or the Compensation Committee prior to January 1 of a given year. </w:t>
      </w:r>
    </w:p>
    <w:p>
      <w:pPr>
        <w:pStyle w:val="TextBody"/>
        <w:bidi w:val="0"/>
        <w:spacing w:before="240" w:after="0"/>
        <w:jc w:val="left"/>
        <w:rPr>
          <w:rFonts w:ascii="Times New Roman" w:hAnsi="Times New Roman"/>
          <w:sz w:val="20"/>
        </w:rPr>
      </w:pPr>
      <w:r>
        <w:rPr>
          <w:rFonts w:ascii="Times New Roman" w:hAnsi="Times New Roman"/>
          <w:sz w:val="20"/>
        </w:rPr>
        <w:t xml:space="preserve">On March 5, 2023, our Compensation Committee approved, and on May 4, 2023, our stockholders approved, an amendment to the 2022 Plan to (i) increase the number of shares authorized for issuance thereunder by 285,714 shares from 579,332 shares to 865,046 shares , (ii) increase the ISO Limit to 865,046 shares, and (iii) modify the commencement date of the automatic increase in the ISO Limit to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2026, our Compensation Committee approved, and we are submitting to our stockholders for approval, the Plan Amendment. </w:t>
      </w:r>
    </w:p>
    <w:p>
      <w:pPr>
        <w:pStyle w:val="TextBody"/>
        <w:bidi w:val="0"/>
        <w:spacing w:before="240" w:after="0"/>
        <w:jc w:val="left"/>
        <w:rPr>
          <w:rFonts w:ascii="Times New Roman" w:hAnsi="Times New Roman"/>
          <w:sz w:val="20"/>
        </w:rPr>
      </w:pPr>
      <w:r>
        <w:rPr>
          <w:rFonts w:ascii="Times New Roman" w:hAnsi="Times New Roman"/>
          <w:sz w:val="20"/>
        </w:rPr>
        <w:t xml:space="preserve">As of April 28, 2026, 197,547 shares of our Common Stock remain available for issuance under the 2022 Plan, including pursuant to the exercise of ISOs, and 1,059,347 shares are subject to outstanding awards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Approving the Plan Amendment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Awards Are Critical to Long-Term Stockholder Value Creation </w:t>
      </w:r>
    </w:p>
    <w:p>
      <w:pPr>
        <w:pStyle w:val="TextBody"/>
        <w:bidi w:val="0"/>
        <w:spacing w:before="120" w:after="0"/>
        <w:jc w:val="left"/>
        <w:rPr>
          <w:rFonts w:ascii="Times New Roman" w:hAnsi="Times New Roman"/>
          <w:sz w:val="20"/>
        </w:rPr>
      </w:pPr>
      <w:r>
        <w:rPr>
          <w:rFonts w:ascii="Times New Roman" w:hAnsi="Times New Roman"/>
          <w:sz w:val="20"/>
        </w:rPr>
        <w:t xml:space="preserve">Our 2022 Plan is critical to our long-term goal of building stockholder value. As discussed in the “Board of Directors and Corporate Governance — Non-Employee Director Compensation” and “Executive Compensation” sections of this Proxy Statement, equity incentive awards are central to our compensation program and constitute a significant portion of our named executive officers’ total direct compensation. Our Board and its Compensation Committee believe that our ability to grant equity incentive awards to new and existing employees, directors and eligible consultants has helped us attract, retain and motivate professionals with superior ability, experience and leadership capability. Equity compensation aligns the interests of our employees, directors and consultants with the interests of our stockholders, encourages retention and promotes actions that result in long-term stockholder value creation.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Manage Our Equity Incentive Award Use Carefully </w:t>
      </w:r>
    </w:p>
    <w:p>
      <w:pPr>
        <w:pStyle w:val="TextBody"/>
        <w:bidi w:val="0"/>
        <w:spacing w:before="120" w:after="0"/>
        <w:jc w:val="left"/>
        <w:rPr>
          <w:rFonts w:ascii="Times New Roman" w:hAnsi="Times New Roman"/>
          <w:sz w:val="20"/>
        </w:rPr>
      </w:pPr>
      <w:r>
        <w:rPr>
          <w:rFonts w:ascii="Times New Roman" w:hAnsi="Times New Roman"/>
          <w:sz w:val="20"/>
        </w:rPr>
        <w:t xml:space="preserve">We manage our long-term stockholder dilution by limiting the number of equity awards granted annually. The Compensation Committee carefully monitors our total dilution and equity expense to ensure that we maximize stockholder value by granting only the appropriate number of equity awards necessary to attract, retain and motivate employees. </w:t>
      </w:r>
    </w:p>
    <w:p>
      <w:pPr>
        <w:pStyle w:val="TextBody"/>
        <w:bidi w:val="0"/>
        <w:spacing w:before="240" w:after="0"/>
        <w:jc w:val="left"/>
        <w:rPr>
          <w:rFonts w:ascii="Times New Roman" w:hAnsi="Times New Roman"/>
          <w:sz w:val="20"/>
        </w:rPr>
      </w:pPr>
      <w:r>
        <w:rPr>
          <w:rFonts w:ascii="Times New Roman" w:hAnsi="Times New Roman"/>
          <w:sz w:val="20"/>
        </w:rPr>
        <w:t xml:space="preserve">Based on historical usage and our internal growth plans, we expect that the proposed 1,300,000 share increase in the number of shares available for issuance under the 2022 Plan, together with the shares currently reserved for future awards under the 2022 Plan and the potential annual automatic share reserve increases discussed below, would be sufficient for approximately three years of awards, assuming we continue to grant awards consistent with our historical usage and current practices, as reflected in our historical burn rate for the fiscal year ended December 31, 2025 discussed below, and noting that future circumstances may require us to change our current equity grant practices. </w:t>
      </w:r>
    </w:p>
    <w:p>
      <w:pPr>
        <w:pStyle w:val="TextBody"/>
        <w:bidi w:val="0"/>
        <w:spacing w:before="240" w:after="0"/>
        <w:jc w:val="left"/>
        <w:rPr>
          <w:rFonts w:ascii="Times New Roman" w:hAnsi="Times New Roman"/>
          <w:sz w:val="20"/>
        </w:rPr>
      </w:pPr>
      <w:r>
        <w:rPr>
          <w:rFonts w:ascii="Times New Roman" w:hAnsi="Times New Roman"/>
          <w:sz w:val="20"/>
        </w:rPr>
        <w:t xml:space="preserve">The proposed 1,300,000 share increase would result in there being 2,765,789 shares of Common Stock subject to the 2022 Plan (which number is the sum of (i) 417,791 shares that were approved in connection with the initial adoption of the Equity Incentive Plan on the effective date thereof plus (ii) 161,541 shares previously added to the Equity Incentive Plan on January 1, 2023 in accordance with the automatic increase provision set forth therein plus (iii) an additional 285,714 shares approved by our stockholders at the 2023 Annual Meeting plus (iv) 182,953 shares previously added to the Equity Incentive Plan on January 1, 2024 in accordance with the automatic increase provision set forth therein plus (v) 208,895 shares previously added to the Equity Incentive Plan on January 1, 2025 in accordance with the automatic increase provision set forth therein plus (vi) 208,895 shares previously added to the Equity Incentive Plan on January 1, 2026 in accordance with the automatic increase provision set forth therein plus (vii) an additional 1,300,000 shares, if approved by our stockholders at the Annual Meeting). The Plan Amendment also increases the ISO Limit to 2,765,789 shares to correspond to the aggregate number of shares subject to the 2022 Plan, which is consistent with the terms of the 2022 Plan prior to the Plan Amendment. </w:t>
      </w:r>
    </w:p>
    <w:p>
      <w:pPr>
        <w:pStyle w:val="TextBody"/>
        <w:bidi w:val="0"/>
        <w:spacing w:before="240" w:after="0"/>
        <w:jc w:val="left"/>
        <w:rPr>
          <w:rFonts w:ascii="Times New Roman" w:hAnsi="Times New Roman"/>
          <w:sz w:val="20"/>
        </w:rPr>
      </w:pPr>
      <w:r>
        <w:rPr>
          <w:rFonts w:ascii="Times New Roman" w:hAnsi="Times New Roman"/>
          <w:sz w:val="20"/>
        </w:rPr>
        <w:t xml:space="preserve">If the Plan Amendment is approved, the share reserve under the 2022 Plan could last for a longer or shorter period of time, depending upon our future equity grant practices, which we cannot predict with any degree of certainty at this time. As discussed in further detail below, in determining the Plan Amendment, the Compensation Committee and the Board took into account, among other things, our stock price and volatility, share usage and burn rate during our fiscal year ended December 31, 2025 and dilution as of such date (or “overhang percentage”), the existing terms of our outstanding awards and the potential annual automatic share reserve increases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certain key equity metrics for the fiscal year ended December 31, 2025: </w:t>
      </w:r>
    </w:p>
    <w:p>
      <w:pPr>
        <w:pStyle w:val="TextBody"/>
        <w:bidi w:val="0"/>
        <w:spacing w:before="0" w:after="0"/>
        <w:jc w:val="left"/>
        <w:rPr/>
      </w:pPr>
      <w:r>
        <w:rPr/>
        <w:t> </w:t>
      </w:r>
    </w:p>
    <w:tbl>
      <w:tblPr>
        <w:tblW w:w="3045" w:type="dxa"/>
        <w:jc w:val="left"/>
        <w:tblInd w:w="0" w:type="dxa"/>
        <w:tblLayout w:type="fixed"/>
        <w:tblCellMar>
          <w:top w:w="0" w:type="dxa"/>
          <w:left w:w="0" w:type="dxa"/>
          <w:bottom w:w="0" w:type="dxa"/>
          <w:right w:w="0" w:type="dxa"/>
        </w:tblCellMar>
      </w:tblPr>
      <w:tblGrid>
        <w:gridCol w:w="2015"/>
        <w:gridCol w:w="120"/>
        <w:gridCol w:w="60"/>
        <w:gridCol w:w="560"/>
        <w:gridCol w:w="29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rPr>
            </w:pPr>
            <w:r>
              <w:rPr>
                <w:b/>
              </w:rPr>
              <w:t>Key Equity Metrics</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burn rate(1)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9.46</w:t>
            </w:r>
          </w:p>
        </w:tc>
        <w:tc>
          <w:tcPr>
            <w:tcW w:w="290"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Overhang(2)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12.89</w:t>
            </w:r>
          </w:p>
        </w:tc>
        <w:tc>
          <w:tcPr>
            <w:tcW w:w="29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burn rate is calculated by dividing (a) the number of shares subject to equity awards granted during the fiscal year by (b) the weighted-average number of shares outstanding during the period. Awards that were forfeited, cancelled or terminated (other than upon exercise) during 2025 are not excluded from the calculation. Our equity burn rate during the fiscal year ended December 31, 2025 is based on the following (which numbers are provided for illustrative purposes only): </w:t>
            </w:r>
          </w:p>
        </w:tc>
      </w:tr>
    </w:tbl>
    <w:p>
      <w:pPr>
        <w:pStyle w:val="TextBody"/>
        <w:bidi w:val="0"/>
        <w:spacing w:before="0" w:after="0"/>
        <w:jc w:val="left"/>
        <w:rPr/>
      </w:pPr>
      <w:r>
        <w:rPr/>
        <w:t> </w:t>
      </w:r>
    </w:p>
    <w:tbl>
      <w:tblPr>
        <w:tblW w:w="3765" w:type="dxa"/>
        <w:jc w:val="left"/>
        <w:tblInd w:w="0" w:type="dxa"/>
        <w:tblLayout w:type="fixed"/>
        <w:tblCellMar>
          <w:top w:w="0" w:type="dxa"/>
          <w:left w:w="0" w:type="dxa"/>
          <w:bottom w:w="0" w:type="dxa"/>
          <w:right w:w="0" w:type="dxa"/>
        </w:tblCellMar>
      </w:tblPr>
      <w:tblGrid>
        <w:gridCol w:w="2315"/>
        <w:gridCol w:w="120"/>
        <w:gridCol w:w="60"/>
        <w:gridCol w:w="980"/>
        <w:gridCol w:w="290"/>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granted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803,005</w:t>
            </w:r>
          </w:p>
        </w:tc>
        <w:tc>
          <w:tcPr>
            <w:tcW w:w="290"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8,491,267</w:t>
            </w:r>
          </w:p>
        </w:tc>
        <w:tc>
          <w:tcPr>
            <w:tcW w:w="29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burn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Overhang is calculated by dividing (a) the sum of (i) the number of shares subject to equity awards outstanding at the end of the fiscal year and (ii) the number of shares available for future grant, by (b) the sum of (i) the number of shares outstanding at the end of the fiscal year plus (ii) the sum of (x) the number of shares subject to equity awards outstanding at the end of the fiscal year and (y) the number of shares available for future grant. Our overhang during the fiscal year ended December 31, 2025 is based on the following (which numbers are provided for illustrative purposes only): </w:t>
            </w:r>
          </w:p>
        </w:tc>
      </w:tr>
    </w:tbl>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3590"/>
        <w:gridCol w:w="120"/>
        <w:gridCol w:w="60"/>
        <w:gridCol w:w="980"/>
        <w:gridCol w:w="290"/>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subject to equity awards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1,059,347</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available for future grant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197,547</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8,491,267</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Overhang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12.89</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Plan Amendment is approved, the issuance of the additional shares to be reserved under the 2022 Plan would dilute existing stockholders by an additional 15% on a fully diluted basis, based on 8,491,267 shares of our Common Stock outstanding as of April 1, 2026 and an aggregate of 1,532,281 shares of our Common Stock subject to equity awards outstanding or available for future issuance (including pursuant to our 2023 Inducement Plan (the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The total aggregate equity value of the additional authorized shares being requested under the 2022 Plan (above the shares currently remaining available for issuance thereunder), based on the closing price of our Common Stock on the Record Date ($6.90 per share), is $8,970,000.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factors described above, and the fact that the ability to continue to grant equity compensation is vital to our ability to continue to attract and retain employees in the competitive labor markets in which we compete, the Board has determined that the Plan Amendment is reasonable and appropriate at this time. </w:t>
      </w:r>
    </w:p>
    <w:p>
      <w:pPr>
        <w:pStyle w:val="TextBody"/>
        <w:bidi w:val="0"/>
        <w:spacing w:before="240" w:after="0"/>
        <w:jc w:val="left"/>
        <w:rPr>
          <w:rFonts w:ascii="Times New Roman" w:hAnsi="Times New Roman"/>
          <w:sz w:val="20"/>
        </w:rPr>
      </w:pPr>
      <w:r>
        <w:rPr>
          <w:rFonts w:ascii="Times New Roman" w:hAnsi="Times New Roman"/>
          <w:sz w:val="20"/>
        </w:rPr>
        <w:t xml:space="preserve">Each year, the Compensation Committee and our management review our overall compensation strategy. We are committed to effectively managing our equity compensation and we carefully review our burn rate. As evidenced by our historical burn rate, we achieve burn rates within the limits published by independent shareholder advisory groups, such as Institutional Shareholder Services, for biotechnology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2022 Plan, as Amended by the Plan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certain features of the 2022 Plan, as amended by the Plan Amendment, is intended to be a summary only. The summary is qualified in its entirety by the full text of the 2022 Plan, as amended by the Plan Amendment, a copy of which is attached hereto as </w:t>
      </w:r>
      <w:r>
        <w:rPr>
          <w:rFonts w:ascii="Times New Roman" w:hAnsi="Times New Roman"/>
          <w:i/>
          <w:sz w:val="20"/>
        </w:rPr>
        <w:t>Appendix</w:t>
      </w:r>
      <w:r>
        <w:rPr>
          <w:rFonts w:ascii="Times New Roman" w:hAnsi="Times New Roman"/>
          <w:sz w:val="20"/>
        </w:rPr>
        <w:t> </w:t>
      </w:r>
      <w:r>
        <w:rPr>
          <w:rFonts w:ascii="Times New Roman" w:hAnsi="Times New Roman"/>
          <w:i/>
          <w:sz w:val="20"/>
        </w:rPr>
        <w:t>A</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2022 Plan is to secure and retain the services of employees, directors and consultants, to provide incentives for such persons to exert maximum efforts for our success and to provide a means by which such persons may be given an opportunity to benefit from increases in value of our Common Stock through the granting of awards under the 2022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Our equity incentive program is broad-based. As of April 1, 2026, approximately 28 of our employees had received grants of equity awards, three of our non-employee directors had received grants of equity awards and approximately 22 of our consultants had received grants of equity awards. As of April 1, 2026, there were approximately 28 employees, three non-employee directors and 21 consultants eligible to participate in the 2022 Plan. As of April 1, 2026, there were no non-employees to whom an offer of employment had been extended by the Company or an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2022 Plan provides for the grant of ISOs within the meaning of Section 422 of the Internal Revenue Code of 1986, as amended (the “Code”), to our employees and our parent and subsidiary corporations’ employees, and for the grant of nonstatutory stock options (“NSOs”), stock appreciation rights, restricted stock awards, restricted stock unit awards, performance awards and other forms of awards to our employees, directors and consultants and any of our affiliates’ employees and consultants.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approve the Plan Amendment, the aggregate number of shares of our Common Stock authorized for issuance under the 2022 Plan as of the date of the Annual Meeting, subject to certain adjustments in accordance with the terms thereof, will be 2,765,789 shares, which number is the sum of (i) 417,791 shares of our Common Stock that were approved in connection with the initial adoption of the 2022 Plan on the effective date thereof plus (ii) 161,541 shares previously added to the 2022 Plan on January 1, 2023 in accordance with the automatic increase described in the 2022 Plan plus (iii) an additional 285,714 shares approved by our stockholders at the 2023 annual meeting of stockholders plus (iv) 182,953 shares previously added to the 2022 Plan on January 1, 2024 in accordance with the automatic increase described in the 2022 Plan plus (v) 208,895 shares previously added to the 2022 Plan on January 1, 2025 in accordance with the automatic increase described in the 2022 Plan plus (vi) 208,895 shares previously added to the 2022 Plan on January 1, 2026 in accordance with the automatic increase described in the 2022 Plan plus (vii) an additional 1,300,000 shares approved by our stockholders at the Annual Meeting plus (viii) an additional number of shares of our Common Stock, if any, and as such shares become available from time to time, equal to the number of shares subject to outstanding awards granted under the Scilex Holding Company 2019 Stock Option Plan (the “2019 Stock Option Plan”), that, following the effective date of the 2022 Plan, (a) were not issued because the award or any portion of the award expired or otherwise terminated without all of the shares covered by the award having been issued, (b) were not issued because the award or any portion thereof was settled in cash, (c) were forfeited back to or repurchased by us because of the failure to meet a contingency or condition required for the vesting of such shares, (d) were withheld or reacquired to satisfy the exercise, strike or purchase price or (e) were withheld or reacquired to satisfy a tax withholding obligation. In addition, the number of shares of our Common Stock reserved for issuance under the 2022 Plan automatically increases on January 1 of each year for a period of ten years, and such increases began on January 1, 2023 and will end on (and include) January 1, 2032, in an amount equal to the lesser of (1) 4% of the total number of shares of our Common Stock outstanding on December 31 of the immediately preceding year, (2) 208,895 shares of Common Stock (subject to adjustment for recapitalizations, stock splits, stock dividends and similar transactions), and (3) such number of shares of our Common Stock determined by our Board or our Compensation Committee prior to January 1 of a given year. If our stockholders approve the Plan Amendment, notwithstanding anything to the contrary in the foregoing sentences and subject to certain adjustments in accordance with the terms of the 2022 Plan, the ISO Limit will be increased to 2,765,789 shares, which amount automatically increases on January 1 of each year, and such increases commenced on January 1, 2024 and will end on (and include) January 1, 2032, in an amount equal to the lesser of (i) 4% of the total number of shares of Common Stock outstanding on December 31 of the preceding year, (ii) 208,895 shares of Common Stock (subject to adjustment for recapitalizations, stock splits, stock dividends and similar transactions), and (iii) such number of shares of our Common Stock determined by our Board or our Compensation Committee prior to January 1 of a given year. All of the foregoing share numbers are subject to adjustment as necessary to implement any changes in our capital structure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awards that will be granted under the 2022 Plan that expire or terminate without being exercised in full will not reduce the number of shares available for issuance under the 2022 Plan. The settlement of any portion of an award in cash will not reduce the number of shares available for issuance under the 2022 Plan. Shares of Common Stock withheld under an award to satisfy the exercise, strike or purchase price of an award or to satisfy a tax withholding obligation will not reduce the number of shares that will be available for issuance under the 2022 Plan. With respect to a stock appreciation right, only shares of Common Stock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upon settlement of the stock appreciation right will count towards reducing the number of shares available for issuance under the 2022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2022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or a duly authorized committee of our Board, administers the 2022 Plan. Our Board, or a duly authorized committee of our Board, may, in accordance with the terms of the 2022 Plan, delegate to one or more of our officers the authority to (i) designate employees (other than officers) to be recipients of specified awards, and to the extent permitted by applicable law, the terms of such awards; and (ii) determine the number of shares of Common Stock to be subject to such awards granted to such employees. Under the 2022 Plan, our Board, or a duly authorized committee of our Board, will have the authority to determine: award recipients; how and when each award will be granted; the types of awards to be granted; the provisions of each award, including the period of exercisability and the vesting schedule applicable to an award; the number of shares of Common Stock or cash equivalent subject to each award; the fair market value applicable to an award; and the terms of any performance award that is not valued in whole or in part by reference to, or otherwise based on,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sz w:val="20"/>
        </w:rPr>
        <w:t xml:space="preserve">Under the 2022 Plan, (i) our Board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Common Stock, cancel and re-grant or exchange such option or stock appreciation right for a new award with a lower (or no) purchase price or for cash, and (ii) a participant’s rights under any award will not be materially adversely impaired by any amendment without the participant’s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We will also designate a plan administrator to administer the day-to-day operations of the 2022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will be granted under stock option agreements adopted by our Board. Each option will be designated in writing as an ISO or an NSO. Our Board will determine the exercise price for stock options, within the terms and conditions of the 2022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2022 Plan will vest at the rate specified in the stock option agreement as will be determined by our Board. The terms and conditions of separate options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No option will be exercisable after the expiration of ten years (or five years in the case of ISOs granted to a ten percent stockholder) or a shorter period specified in the applicable award agreement.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our Board and may include (i) cash or check, bank draft or money order payable to us; (ii) a broker-assisted cashless exercise; (iii) subject to certain conditions, the tender of shares of our Common Stock previously owned by the optionholder; (iv) a net exercise of the option if it is an NSO; or (v) other legal consideration acceptable to our Board. </w:t>
      </w:r>
    </w:p>
    <w:p>
      <w:pPr>
        <w:pStyle w:val="TextBody"/>
        <w:bidi w:val="0"/>
        <w:spacing w:before="240" w:after="0"/>
        <w:jc w:val="left"/>
        <w:rPr>
          <w:rFonts w:ascii="Times New Roman" w:hAnsi="Times New Roman"/>
          <w:sz w:val="20"/>
        </w:rPr>
      </w:pPr>
      <w:r>
        <w:rPr>
          <w:rFonts w:ascii="Times New Roman" w:hAnsi="Times New Roman"/>
          <w:sz w:val="20"/>
        </w:rPr>
        <w:t xml:space="preserve">Unless our Board provides otherwise, options or stock appreciation rights generally will not be transferable except by will or the laws of descent and distribution. Subject to approval of our Board or a duly authorized officer, an option may be transferred pursuant to a domestic relations order.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ISOs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fair market value, determined at the time of grant, of our Common Stock with respect to ISOs that are exercisable for the first time by an optionholder during any calendar year under all of our stock plans or plans of our affiliates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2022 Plan, each restricted stock unit award will have such terms and conditions as determined by our Board.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be granted in consideration for a participant’s services to us or an affiliate, such that the participant will not be required to make any payment to us (other than such services) with respect to the grant or vesting of the restricted stock unit award, or the issuance of any shares of Common Stock pursuant to the restricted stock unit award. Our Board may determine that restricted stock unit awards may be granted in consideration for any form of legal consideration that may be acceptable to our Board and permissible under applicable law. A restricted stock unit award may be settled by cash, delivery of stock (or any combination of our Common Stock and cash), or in any other form of consideration determined by our Board and set forth in the restricted stock unit award agreement. At the time of grant, our Board may impose such restrictions or conditions on the award of restricted stock units that delay delivery to a date following the vesting of the award. Additionally, dividend equivalents may be paid or credited in respect of shares of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awards will be granted under restricted stock award agreements adopted by our Board. A restricted stock award may be awarded in consideration for cash, check, bank draft or money order, past services to us or any of our affiliates, or any other form of legal consideration that may be acceptable to our Board and permissible under applicable law. Our Board will determine the terms and conditions of restricted stock awards, including vesting and forfeiture terms. Dividends may be paid or credited with respect to shares subject to a restricted stock award, as determined by our Board and specified in the applicable restricted stock award agreement. If a participant’s service relationship with us ends for any reason, we may receive any or all of the shares of Common Stock held by the participant that have not vested as of the date the participant terminates service with us through a forfeiture condition or a repurchase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Stock appreciation rights will be granted under stock appreciation right agreements adopted by our Board and denominated in shares of Common Stock equivalents. The terms of separation stock appreciation rights need not be identical. Our Board will determine the purchase price or strike price for a stock appreciation right, which generally will not be less than 100% of the fair market value of our Common Stock on the date of grant. A stock appreciation right granted under the 2022 Plan will vest at the rate specified in the stock appreciation right agreement as will be determined by our Board. Stock appreciation rights may be settled in cash or shares of our Common Stock (or any combination of our Common Stock and cash) or in any other form of payment, as determined by our Board and specified in the stock appreciation right agreement. </w:t>
      </w:r>
    </w:p>
    <w:p>
      <w:pPr>
        <w:pStyle w:val="TextBody"/>
        <w:bidi w:val="0"/>
        <w:spacing w:before="240" w:after="0"/>
        <w:jc w:val="left"/>
        <w:rPr>
          <w:rFonts w:ascii="Times New Roman" w:hAnsi="Times New Roman"/>
          <w:sz w:val="20"/>
        </w:rPr>
      </w:pPr>
      <w:r>
        <w:rPr>
          <w:rFonts w:ascii="Times New Roman" w:hAnsi="Times New Roman"/>
          <w:sz w:val="20"/>
        </w:rPr>
        <w:t xml:space="preserve">Our Board will determine the term of stock appreciation rights granted under the 2022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stock appreciation rights generally terminate upon the termination date.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2022 Plan will permit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 The performance goals may be based on any measure of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selected by our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at the time the performance award is granted, our Board will appropriately make adjustments in the method of calculating the attainment of performance goals for a performance period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Our Board retains the discretion to reduce or eliminate the compensation or economic benefit due upon attainment of performance goals and to define the manner of calculating the performance criteria it selects to use for the performance period. Partial achievement of the specified criteria may result in the payment or vesting corresponding to the degree of achievement as specified in the performance award agreement or the written terms of a performance cash award. Our Board will determine the length of any performance period, the performance goals to be achieved during a performance period and the other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 Awards </w:t>
      </w:r>
    </w:p>
    <w:p>
      <w:pPr>
        <w:pStyle w:val="TextBody"/>
        <w:bidi w:val="0"/>
        <w:spacing w:before="120" w:after="0"/>
        <w:jc w:val="left"/>
        <w:rPr>
          <w:rFonts w:ascii="Times New Roman" w:hAnsi="Times New Roman"/>
          <w:sz w:val="20"/>
        </w:rPr>
      </w:pPr>
      <w:r>
        <w:rPr>
          <w:rFonts w:ascii="Times New Roman" w:hAnsi="Times New Roman"/>
          <w:sz w:val="20"/>
        </w:rPr>
        <w:t xml:space="preserve">Our Board will be permitted to grant other awards, based in whole or in part by reference to, or otherwise based on, our Common Stock, either alone or in addition to other awards. Our Board will have the sole and complete discretion to determine the persons to whom and the time or times at which other stock awards will be granted, the number of shares under the other stock award (or cash equivalent) and all other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Limit </w:t>
      </w:r>
    </w:p>
    <w:p>
      <w:pPr>
        <w:pStyle w:val="TextBody"/>
        <w:bidi w:val="0"/>
        <w:spacing w:before="120" w:after="0"/>
        <w:jc w:val="left"/>
        <w:rPr>
          <w:rFonts w:ascii="Times New Roman" w:hAnsi="Times New Roman"/>
          <w:sz w:val="20"/>
        </w:rPr>
      </w:pPr>
      <w:r>
        <w:rPr>
          <w:rFonts w:ascii="Times New Roman" w:hAnsi="Times New Roman"/>
          <w:sz w:val="20"/>
        </w:rPr>
        <w:t xml:space="preserve">The aggregate value of all compensation granted or paid following the effective date of the 2022 Plan to any individual for service as a non-employee director with respect to any fiscal year, including awards granted under the 2022 Plan (valued based on the grant date fair value for financial reporting purposes) and cash fees paid by us to such non-employee director, will not exceed $750,000 in total value, except such amount will increase to $1,000,000 for the year in which a non-employee director is first appointed or elected to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there is a specified type of change in our capital structure, such as a stock split, reverse stock split, or recapitalization, our Board will appropriately and proportionately adjust (i) the class(es) and maximum number of shares subject to the 2022 Plan and the maximum number of shares by which the share reserve may annually increase pursuant to the 2022 Plan; (ii) the class(es) and maximum number of shares that may be issued on the exercise of ISOs; and (iii) the class(es) and number of shares and exercise price, strike price, or purchase price, if applicable, of all outstanding awards granted under the 2022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corporate transaction (as defined below), unless otherwise provided in a participant’s award agreement or other written agreement with us or one of our affiliates or unless otherwise expressly provided by our Board at the time of grant, any awards outstanding under the 2022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as our Board determines (or, if our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award will terminate if not exercised prior to the effective time of a corporate transaction, our Board may provide, in its sole discretion, that the holder of such award may not exercise such award but instead will receive a payment, in such form as may be determined by our Board,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2022 Plan governing a corporate transaction involving us. </w:t>
      </w:r>
    </w:p>
    <w:p>
      <w:pPr>
        <w:pStyle w:val="TextBody"/>
        <w:bidi w:val="0"/>
        <w:spacing w:before="240" w:after="0"/>
        <w:jc w:val="left"/>
        <w:rPr>
          <w:rFonts w:ascii="Times New Roman" w:hAnsi="Times New Roman"/>
          <w:sz w:val="20"/>
        </w:rPr>
      </w:pPr>
      <w:r>
        <w:rPr>
          <w:rFonts w:ascii="Times New Roman" w:hAnsi="Times New Roman"/>
          <w:sz w:val="20"/>
        </w:rPr>
        <w:t xml:space="preserve">Under the 2022 Plan, a “corporate transaction” generally will be the consummation, in a single transaction or in a series of related transactions, of (i) a sale or other disposition of all or substantially all, as determined by our Board,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provided in the 2022 Plan or the form of award agreement, awards granted under the 2022 Plan may not be 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trading policy and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Clawback/Recovery </w:t>
      </w:r>
    </w:p>
    <w:p>
      <w:pPr>
        <w:pStyle w:val="TextBody"/>
        <w:bidi w:val="0"/>
        <w:spacing w:before="120" w:after="0"/>
        <w:jc w:val="left"/>
        <w:rPr>
          <w:rFonts w:ascii="Times New Roman" w:hAnsi="Times New Roman"/>
          <w:sz w:val="20"/>
        </w:rPr>
      </w:pPr>
      <w:r>
        <w:rPr>
          <w:rFonts w:ascii="Times New Roman" w:hAnsi="Times New Roman"/>
          <w:sz w:val="20"/>
        </w:rPr>
        <w:t xml:space="preserve">All awards granted under the 2022 Plan will be subject to recoupment in accordance with any clawback policy that we are required to adopt pursuant to the listing standards of any national securities exchange or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which our securities are listed or as is otherwise required by the Dodd-Frank Wall Street Reform and Consumer Protection Act or other applicable law and any clawback policy that we otherwise adopt, to the extent applicable and permissible under applicable law. In addition, our Board may impose such other clawback, recovery or recoupment provisions in an award agreement as our Board determines necessary or appropriate, including, but not limited to, a reacquisition right in respect of previously acquired shares of Common Stock or other cash or property upon the occurrence of cause.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may accelerate the time at which an award granted under the 2022 Plan may first be exercised or the time during which an award grant under the 2022 Plan or any part thereof will vest, notwithstanding the provisions in the award agreement stating the time at which it may first be exercised or the time during which it will vest. Our Board will have the authority to amend, suspend, or terminate the 2022 Plan at any 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adopts the 2022 Plan. No awards may be granted under the 2022 Plan while it is suspended or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Associated with the 2022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summary under current law of the material federal income tax consequences to participants in the 2022 Plan. This summary deals with the general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The summary does not discuss all aspects of income taxation that may be relevant in light of a holder’s personal investment circumstances. This summarized tax information is not tax advice. </w:t>
      </w:r>
    </w:p>
    <w:p>
      <w:pPr>
        <w:pStyle w:val="TextBody"/>
        <w:bidi w:val="0"/>
        <w:spacing w:before="240" w:after="0"/>
        <w:jc w:val="left"/>
        <w:rPr>
          <w:rFonts w:ascii="Times New Roman" w:hAnsi="Times New Roman"/>
          <w:sz w:val="20"/>
        </w:rPr>
      </w:pPr>
      <w:r>
        <w:rPr>
          <w:rFonts w:ascii="Times New Roman" w:hAnsi="Times New Roman"/>
          <w:b/>
          <w:i/>
          <w:sz w:val="20"/>
        </w:rPr>
        <w:t>Nonstatutory Stock Options</w:t>
      </w:r>
      <w:r>
        <w:rPr>
          <w:rFonts w:ascii="Times New Roman" w:hAnsi="Times New Roman"/>
          <w:sz w:val="20"/>
        </w:rPr>
        <w:t xml:space="preserve">. For federal income tax purposes, if an optionee is granted an NSO under the 2022 Plan, the optionee will not have taxable income on the grant of the option, nor will we be entitled to any deduction. Generally, upon exercise of NSOs, the optionee will recognize ordinary income, and we will be entitled to a deduction, in an amount equal to the excess of the fair market value of a share of our Common Stock over the option exercise price on the date each such option is exercised. The optionee’s basis for the stock for purposes of determining gain or loss on subsequent disposition of such shares generally will be the fair market value of our Common Stock on the date the optionee exercises such option. Any subsequent gain or loss will be generally taxable as capital gains or losses. </w:t>
      </w:r>
    </w:p>
    <w:p>
      <w:pPr>
        <w:pStyle w:val="TextBody"/>
        <w:bidi w:val="0"/>
        <w:spacing w:before="240" w:after="0"/>
        <w:jc w:val="left"/>
        <w:rPr>
          <w:rFonts w:ascii="Times New Roman" w:hAnsi="Times New Roman"/>
          <w:sz w:val="20"/>
        </w:rPr>
      </w:pPr>
      <w:r>
        <w:rPr>
          <w:rFonts w:ascii="Times New Roman" w:hAnsi="Times New Roman"/>
          <w:b/>
          <w:i/>
          <w:sz w:val="20"/>
        </w:rPr>
        <w:t>Incentive Stock Options</w:t>
      </w:r>
      <w:r>
        <w:rPr>
          <w:rFonts w:ascii="Times New Roman" w:hAnsi="Times New Roman"/>
          <w:sz w:val="20"/>
        </w:rPr>
        <w:t xml:space="preserve">. There is no taxable income to an optionee when an optionee is granted an ISO or when that option is exercised. However, the amount by which the fair market value of the shares at the time of exercise exceeds the option price will be an “item of adjustment” for the optionee for purposes of the alternative minimum tax. Gain realized by the optionee on the sale of an ISO is taxable at capital gains rates, and no tax deduction is available to us, unless the optionee disposes of the shares within (a) two years after the date of grant of the option or (b) within one year of the date the shares were transferred to the optionee. If the shares acquired upon exercise of the ISO are sold or otherwise disposed of before the end of the two-year and one-year periods specified above, the excess of the fair market value of a share of our Common Stock over the option exercise price on the date of the option’s exercise will be taxed at ordinary income rates (or, if less, the gain on the sale), and we will be entitled to a deduction to the extent the optionee must recognize ordinary income. If such a sale or disposition takes place in the year in which the optionee exercises the option, the income the optionee recognizes upon sale or disposition of the shares will not be considered an item of adjustment for alternative minimum tax purposes. </w:t>
      </w:r>
    </w:p>
    <w:p>
      <w:pPr>
        <w:pStyle w:val="TextBody"/>
        <w:bidi w:val="0"/>
        <w:spacing w:before="240" w:after="0"/>
        <w:jc w:val="left"/>
        <w:rPr>
          <w:rFonts w:ascii="Times New Roman" w:hAnsi="Times New Roman"/>
          <w:sz w:val="20"/>
        </w:rPr>
      </w:pPr>
      <w:r>
        <w:rPr>
          <w:rFonts w:ascii="Times New Roman" w:hAnsi="Times New Roman"/>
          <w:sz w:val="20"/>
        </w:rPr>
        <w:t xml:space="preserve">An ISO exercised more than three months after an optionee terminates employment, for reasons other than death or disability, will be taxed as an NSO, and the optionee will recognize ordinary income on the exercise. We will be entitled to a tax deduction equal to the ordinary income, if any, realized by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Restricted Stock. </w:t>
      </w:r>
      <w:r>
        <w:rPr>
          <w:rFonts w:ascii="Times New Roman" w:hAnsi="Times New Roman"/>
          <w:sz w:val="20"/>
        </w:rPr>
        <w:t xml:space="preserve">An individual to whom restricted stock is issued generally will not recognize taxable income upon such issuance, and we generally will not then be entitled to a deduction, unless an election is made by the participant under Section 83(b) of the Code (“Section 83(b)”). However, when restrictions on shares of restricted stock lapse, such that the shares are no longer subject to a substantial risk of forfeiture, the individual generally will recognize ordinary income, and we generally will be entitled to a deduction for an amount equal to the excess of the fair market value of the shares at the date such restrictions lapse over the purchase price. If a timely election is made under Section 83(b) with respect to restricted stock, the participant generally will recognize ordinary income on the date of the issuance equal to the excess, if any, of the fair market value of the shares at that date over the purchase price of such shares, and we will be entitled to a deduction for the same amount. </w:t>
      </w:r>
    </w:p>
    <w:p>
      <w:pPr>
        <w:pStyle w:val="TextBody"/>
        <w:bidi w:val="0"/>
        <w:spacing w:before="24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A participant will not be taxed upon the grant of a stock appreciation right. Upon the exercise of the stock appreciation right, the participant will recognize ordinary income equal to the amount of cash or the fair market value of the stock received upon exercise. At the time of exercise, we will be eligible for a tax deduction as a compensation expense equal to the amount that the participant recognizes as ordinary income. </w:t>
      </w:r>
    </w:p>
    <w:p>
      <w:pPr>
        <w:pStyle w:val="TextBody"/>
        <w:bidi w:val="0"/>
        <w:spacing w:before="240" w:after="0"/>
        <w:jc w:val="left"/>
        <w:rPr>
          <w:rFonts w:ascii="Times New Roman" w:hAnsi="Times New Roman"/>
          <w:sz w:val="20"/>
        </w:rPr>
      </w:pPr>
      <w:r>
        <w:rPr>
          <w:rFonts w:ascii="Times New Roman" w:hAnsi="Times New Roman"/>
          <w:b/>
          <w:i/>
          <w:sz w:val="20"/>
        </w:rPr>
        <w:t>Performance Awards and Other Stock Awards</w:t>
      </w:r>
      <w:r>
        <w:rPr>
          <w:rFonts w:ascii="Times New Roman" w:hAnsi="Times New Roman"/>
          <w:sz w:val="20"/>
        </w:rPr>
        <w:t xml:space="preserve">. The participant will have ordinary income upon receipt of stock or cash payable under performance awards, dividend equivalents, restricted stock units and stock payments. We will be eligible for a tax deduction as a compensation expense equal to the amount of ordinary income recognized by the participant. </w:t>
      </w:r>
    </w:p>
    <w:p>
      <w:pPr>
        <w:pStyle w:val="TextBody"/>
        <w:bidi w:val="0"/>
        <w:spacing w:before="240" w:after="0"/>
        <w:jc w:val="left"/>
        <w:rPr>
          <w:rFonts w:ascii="Times New Roman" w:hAnsi="Times New Roman"/>
          <w:sz w:val="20"/>
        </w:rPr>
      </w:pPr>
      <w:r>
        <w:rPr>
          <w:rFonts w:ascii="Times New Roman" w:hAnsi="Times New Roman"/>
          <w:b/>
          <w:i/>
          <w:sz w:val="20"/>
        </w:rPr>
        <w:t>Section</w:t>
      </w:r>
      <w:r>
        <w:rPr>
          <w:rFonts w:ascii="Times New Roman" w:hAnsi="Times New Roman"/>
          <w:sz w:val="20"/>
        </w:rPr>
        <w:t> </w:t>
      </w:r>
      <w:r>
        <w:rPr>
          <w:rFonts w:ascii="Times New Roman" w:hAnsi="Times New Roman"/>
          <w:b/>
          <w:i/>
          <w:sz w:val="20"/>
        </w:rPr>
        <w:t>162(m) of the Code</w:t>
      </w:r>
      <w:r>
        <w:rPr>
          <w:rFonts w:ascii="Times New Roman" w:hAnsi="Times New Roman"/>
          <w:sz w:val="20"/>
        </w:rPr>
        <w:t xml:space="preserve">. Section 162(m) of the Code generally limits to $1.0 million the amount of compensation that we may deduct in any calendar year for certain current and former executive officers. For grants under the 2022 Plan, we will not be able to take a deduction for any compensation in excess of $1.0 million that is paid to a covered officer. </w:t>
      </w:r>
    </w:p>
    <w:p>
      <w:pPr>
        <w:pStyle w:val="TextBody"/>
        <w:bidi w:val="0"/>
        <w:spacing w:before="240" w:after="0"/>
        <w:jc w:val="left"/>
        <w:rPr>
          <w:rFonts w:ascii="Times New Roman" w:hAnsi="Times New Roman"/>
          <w:sz w:val="20"/>
        </w:rPr>
      </w:pPr>
      <w:r>
        <w:rPr>
          <w:rFonts w:ascii="Times New Roman" w:hAnsi="Times New Roman"/>
          <w:b/>
          <w:i/>
          <w:sz w:val="20"/>
        </w:rPr>
        <w:t>Requirements of Section</w:t>
      </w:r>
      <w:r>
        <w:rPr>
          <w:rFonts w:ascii="Times New Roman" w:hAnsi="Times New Roman"/>
          <w:sz w:val="20"/>
        </w:rPr>
        <w:t> </w:t>
      </w:r>
      <w:r>
        <w:rPr>
          <w:rFonts w:ascii="Times New Roman" w:hAnsi="Times New Roman"/>
          <w:b/>
          <w:i/>
          <w:sz w:val="20"/>
        </w:rPr>
        <w:t>409A of the Code</w:t>
      </w:r>
      <w:r>
        <w:rPr>
          <w:rFonts w:ascii="Times New Roman" w:hAnsi="Times New Roman"/>
          <w:sz w:val="20"/>
        </w:rPr>
        <w:t xml:space="preserve">. Certain awards under the 2022 Plan may be considered “nonqualified deferred compensation” for purposes of Section 409A of the Code (“Section 409A”), which imposes certain requirements on compensation that is deemed under Section 409A to involve nonqualified deferred compensation. Among other things, the requirements relate to the timing of elections to defer, the timing of distributions and prohibitions on the acceleration of distributions. Failure to comply with these requirements (or an exception from such requirements) may result in the immediate taxation of all amounts deferred under the nonqualified deferred compensation plan for the taxable year and all preceding taxable years, by or for any participant with respect to whom the failure relates, the imposition of an additional 20% income tax on the participant for the amounts required to be included in gross income and the possible imposition of penalty interest on the unpaid tax. Generally, Section 409A does not apply to incentive awards that are paid at the time the award vests. Likewise, Section 409A typically does not apply to restricted stock. Section 409A may, however, apply to incentive awards the payment of which is delayed beyond the calendar year in which the award vests. Treasury regulations generally provide that the type of awards provided under the 2022 Plan will not be considered nonqualified deferred compensation. However, to the extent that Section 409A applies to an award issued under the 2022 Plan, the 2022 Plan and all such awards will, to the extent practicable, be construed in accordance with Section 409A. Under the 2022 Plan, the administrator has the discretion to grant or to unilaterally modify any award issued under the 2022 Plan in a manner that conforms with the requirements of Section 409A with respect to deferred compensation or voids any participant election to the extent it would violate Section 409A. The administrator also has sole discretion to interpret the requirements of the Code, including Section 409A, for purposes of the 2022 Plan and all awards issued under the 2022 Plan.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Future awards, if any, that will be made to eligible persons under the 2022 Plan are subject to the discretion of the administrator and, therefore, we cannot currently determine the benefits or number of shares of our Common Stock subject to awards that may be granted in the future to our employees, directors and consultants under the 2022 Plan. No awards have been granted that are contingent on the approval of the Plan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illustrative purposes only, the following table sets forth (i) the aggregate number of shares subject to options granted under the 2022 Plan to our named executive officers (other than Mr. Shah), to all current executive officers, as a group, to all directors who are not executive officers, as a group, and to all employees who are not executive officers, as a group (even if not currently outstanding) and (ii) the weighted-average per share exercise price of such options.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60"/>
        <w:gridCol w:w="120"/>
        <w:gridCol w:w="107"/>
        <w:gridCol w:w="1428"/>
        <w:gridCol w:w="60"/>
        <w:gridCol w:w="120"/>
        <w:gridCol w:w="307"/>
        <w:gridCol w:w="1228"/>
        <w:gridCol w:w="75"/>
      </w:tblGrid>
      <w:tr>
        <w:trPr/>
        <w:tc>
          <w:tcPr>
            <w:tcW w:w="6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760" w:type="dxa"/>
            <w:tcBorders/>
            <w:vAlign w:val="center"/>
          </w:tcPr>
          <w:p>
            <w:pPr>
              <w:pStyle w:val="TableContents"/>
              <w:bidi w:val="0"/>
              <w:spacing w:before="0" w:after="283"/>
              <w:jc w:val="left"/>
              <w:rPr>
                <w:b/>
              </w:rPr>
            </w:pPr>
            <w:r>
              <w:rPr>
                <w:b/>
              </w:rPr>
              <w:t>Name of Individual or Group and Position</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Subject</w:t>
              <w:br/>
              <w:t>to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 Per</w:t>
              <w:br/>
              <w:t>Share Exercise</w:t>
              <w:br/>
              <w:t>Price ($)</w:t>
            </w:r>
          </w:p>
        </w:tc>
        <w:tc>
          <w:tcPr>
            <w:tcW w:w="75" w:type="dxa"/>
            <w:tcBorders/>
            <w:vAlign w:val="center"/>
          </w:tcPr>
          <w:p>
            <w:pPr>
              <w:pStyle w:val="TableContents"/>
              <w:bidi w:val="0"/>
              <w:spacing w:before="0" w:after="283"/>
              <w:jc w:val="left"/>
              <w:rPr/>
            </w:pPr>
            <w:r>
              <w:rPr/>
              <w:t> </w:t>
            </w:r>
          </w:p>
        </w:tc>
      </w:tr>
      <w:tr>
        <w:trPr/>
        <w:tc>
          <w:tcPr>
            <w:tcW w:w="6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Henry Ji, Ph.D. </w:t>
              <w:br/>
            </w:r>
            <w:r>
              <w:rPr>
                <w:rFonts w:ascii="Times New Roman" w:hAnsi="Times New Roman"/>
                <w:i/>
                <w:sz w:val="20"/>
              </w:rPr>
              <w:t>Chief Executive Officer, President and Executive Chairperson</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382,856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17.53</w:t>
            </w:r>
          </w:p>
        </w:tc>
        <w:tc>
          <w:tcPr>
            <w:tcW w:w="75" w:type="dxa"/>
            <w:tcBorders/>
            <w:shd w:fill="CCEEFF" w:val="clear"/>
            <w:vAlign w:val="center"/>
          </w:tcPr>
          <w:p>
            <w:pPr>
              <w:pStyle w:val="TableContents"/>
              <w:bidi w:val="0"/>
              <w:spacing w:before="0" w:after="283"/>
              <w:jc w:val="left"/>
              <w:rPr/>
            </w:pPr>
            <w:r>
              <w:rPr/>
              <w:t> </w:t>
            </w:r>
          </w:p>
        </w:tc>
      </w:tr>
      <w:tr>
        <w:trPr/>
        <w:tc>
          <w:tcPr>
            <w:tcW w:w="6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Stephen Ma </w:t>
              <w:br/>
            </w:r>
            <w:r>
              <w:rPr>
                <w:rFonts w:ascii="Times New Roman" w:hAnsi="Times New Roman"/>
                <w:i/>
                <w:sz w:val="20"/>
              </w:rPr>
              <w:t>Chief Financial Officer, Chief Operating Officer, Senior Vice President and Secretary</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74,284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16.46</w:t>
            </w:r>
          </w:p>
        </w:tc>
        <w:tc>
          <w:tcPr>
            <w:tcW w:w="75" w:type="dxa"/>
            <w:tcBorders/>
            <w:vAlign w:val="center"/>
          </w:tcPr>
          <w:p>
            <w:pPr>
              <w:pStyle w:val="TableContents"/>
              <w:bidi w:val="0"/>
              <w:spacing w:before="0" w:after="283"/>
              <w:jc w:val="left"/>
              <w:rPr/>
            </w:pPr>
            <w:r>
              <w:rPr/>
              <w:t> </w:t>
            </w:r>
          </w:p>
        </w:tc>
      </w:tr>
      <w:tr>
        <w:trPr/>
        <w:tc>
          <w:tcPr>
            <w:tcW w:w="6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 (2 persons)</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457,140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17.36</w:t>
            </w:r>
          </w:p>
        </w:tc>
        <w:tc>
          <w:tcPr>
            <w:tcW w:w="75" w:type="dxa"/>
            <w:tcBorders/>
            <w:shd w:fill="CCEEFF" w:val="clear"/>
            <w:vAlign w:val="center"/>
          </w:tcPr>
          <w:p>
            <w:pPr>
              <w:pStyle w:val="TableContents"/>
              <w:bidi w:val="0"/>
              <w:spacing w:before="0" w:after="283"/>
              <w:jc w:val="left"/>
              <w:rPr/>
            </w:pPr>
            <w:r>
              <w:rPr/>
              <w:t> </w:t>
            </w:r>
          </w:p>
        </w:tc>
      </w:tr>
      <w:tr>
        <w:trPr/>
        <w:tc>
          <w:tcPr>
            <w:tcW w:w="6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current executive officers, as a group (3 persons)</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90,410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23.51</w:t>
            </w:r>
          </w:p>
        </w:tc>
        <w:tc>
          <w:tcPr>
            <w:tcW w:w="75" w:type="dxa"/>
            <w:tcBorders/>
            <w:vAlign w:val="center"/>
          </w:tcPr>
          <w:p>
            <w:pPr>
              <w:pStyle w:val="TableContents"/>
              <w:bidi w:val="0"/>
              <w:spacing w:before="0" w:after="283"/>
              <w:jc w:val="left"/>
              <w:rPr/>
            </w:pPr>
            <w:r>
              <w:rPr/>
              <w:t> </w:t>
            </w:r>
          </w:p>
        </w:tc>
      </w:tr>
      <w:tr>
        <w:trPr/>
        <w:tc>
          <w:tcPr>
            <w:tcW w:w="6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who are not current executive officers, as a group (0 persons as of April 1, 2026)</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S-8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a registration statement on Form S-8 to register all of the additional shares of our Common Stock to be reserved for issuance under the 2022 Plan pursuant to the Plan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Interest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and executive officers have an interest in this Proposal No. 3 because our directors and executive officers are eligible to participate in the 2022 Plan.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Plan Amendment requires the affirmative vote of the majority of the shares present by remote communication or represented by proxy at the Annual Meeting and by the holders entitled to vote thereon to be approved. Stockholder abstentions will not have any effect on the outcome of this proposal, so long as a quorum exists. Broker non-votes will have no effect on the outcome of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THE APPROVAL OF THE PLAN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46109_7"/>
      <w:bookmarkEnd w:id="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identifies certain information about our executive officers as of April 1, 2026. Each of our executive officers is appointed by, and serves at the discretion of, our Board and holds office until his successor is duly elected and qualified or until his earlier resignation or removal. </w:t>
      </w:r>
    </w:p>
    <w:p>
      <w:pPr>
        <w:pStyle w:val="TextBody"/>
        <w:bidi w:val="0"/>
        <w:spacing w:before="0" w:after="0"/>
        <w:jc w:val="left"/>
        <w:rPr/>
      </w:pPr>
      <w:r>
        <w:rPr/>
        <w:t> </w:t>
      </w:r>
    </w:p>
    <w:tbl>
      <w:tblPr>
        <w:tblW w:w="9570" w:type="dxa"/>
        <w:jc w:val="left"/>
        <w:tblInd w:w="0" w:type="dxa"/>
        <w:tblLayout w:type="fixed"/>
        <w:tblCellMar>
          <w:top w:w="0" w:type="dxa"/>
          <w:left w:w="0" w:type="dxa"/>
          <w:bottom w:w="0" w:type="dxa"/>
          <w:right w:w="0" w:type="dxa"/>
        </w:tblCellMar>
      </w:tblPr>
      <w:tblGrid>
        <w:gridCol w:w="1235"/>
        <w:gridCol w:w="120"/>
        <w:gridCol w:w="79"/>
        <w:gridCol w:w="346"/>
        <w:gridCol w:w="60"/>
        <w:gridCol w:w="120"/>
        <w:gridCol w:w="761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Executive Chairperson</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Chief Operating Officer, Senior Vice President, Secretary and 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Henry Ji, Ph.D.</w:t>
      </w:r>
      <w:r>
        <w:rPr>
          <w:rFonts w:ascii="Times New Roman" w:hAnsi="Times New Roman"/>
          <w:sz w:val="20"/>
        </w:rPr>
        <w:t xml:space="preserve"> Please see the section titled “Board of Directors and Corporate Governance Continuing Directors” above for Dr. Ji’s biography. </w:t>
      </w:r>
    </w:p>
    <w:p>
      <w:pPr>
        <w:pStyle w:val="TextBody"/>
        <w:bidi w:val="0"/>
        <w:spacing w:before="240" w:after="0"/>
        <w:jc w:val="left"/>
        <w:rPr>
          <w:rFonts w:ascii="Times New Roman" w:hAnsi="Times New Roman"/>
          <w:sz w:val="20"/>
        </w:rPr>
      </w:pPr>
      <w:r>
        <w:rPr>
          <w:rFonts w:ascii="Times New Roman" w:hAnsi="Times New Roman"/>
          <w:b/>
          <w:i/>
          <w:sz w:val="20"/>
        </w:rPr>
        <w:t>Stephen Ma.</w:t>
      </w:r>
      <w:r>
        <w:rPr>
          <w:rFonts w:ascii="Times New Roman" w:hAnsi="Times New Roman"/>
          <w:sz w:val="20"/>
        </w:rPr>
        <w:t xml:space="preserve"> Please see the section titled “Board of Directors and Corporate Governance Continuing Directors” above for Mr. Ma’s biography.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46109_8"/>
      <w:bookmarkEnd w:id="10"/>
      <w:r>
        <w:rPr>
          <w:rFonts w:ascii="Times New Roman" w:hAnsi="Times New Roman"/>
          <w:b/>
          <w:sz w:val="20"/>
        </w:rPr>
        <w:t xml:space="preserve">EXECUTIVE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the Company and align executive incentives with the long-term interests of our stockholders. This section provides an overview of the material components of our executive compensation programs, including a narrative description of the material factors necessary to understand the information disclosed in the summary compensation table below. The following is a discussion and analysis of the material components of the compensation arrangements of Scilex’s named executive officers in 2025. As an “emerging growth company” as defined in the JOBS Act, we are not required to include a Compensation Discussion and Analysis section and have elected to comply with the scaled disclosure requirements applicable to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Our Board or the Compensation Committee, with input from our Executive Chairperson and Chief Executive Officer, historically determined the compensation for Scilex’s named executive officers. Our named executive officers for the year ended December 31, 2025, were Jaisim Shah, our former Chief Executive Officer and President, Henry Ji, Ph.D., our Chief Executive Officer, President and Executive Chairperson, and Stephen Ma, our Chief Financial Officer, Chief Operating Officer, Senior Vice President and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the compensation paid or accrued to our named executive officers for the fiscal years ended December 31, 2025 and December 31, 2024: </w:t>
      </w:r>
    </w:p>
    <w:p>
      <w:pPr>
        <w:pStyle w:val="TextBody"/>
        <w:bidi w:val="0"/>
        <w:spacing w:before="0" w:after="0"/>
        <w:jc w:val="left"/>
        <w:rPr/>
      </w:pPr>
      <w:r>
        <w:rPr/>
        <w:t> </w:t>
      </w:r>
    </w:p>
    <w:tbl>
      <w:tblPr>
        <w:tblW w:w="12015" w:type="dxa"/>
        <w:jc w:val="left"/>
        <w:tblInd w:w="0" w:type="dxa"/>
        <w:tblLayout w:type="fixed"/>
        <w:tblCellMar>
          <w:top w:w="0" w:type="dxa"/>
          <w:left w:w="0" w:type="dxa"/>
          <w:bottom w:w="0" w:type="dxa"/>
          <w:right w:w="0" w:type="dxa"/>
        </w:tblCellMar>
      </w:tblPr>
      <w:tblGrid>
        <w:gridCol w:w="965"/>
        <w:gridCol w:w="60"/>
        <w:gridCol w:w="60"/>
        <w:gridCol w:w="500"/>
        <w:gridCol w:w="60"/>
        <w:gridCol w:w="60"/>
        <w:gridCol w:w="60"/>
        <w:gridCol w:w="980"/>
        <w:gridCol w:w="215"/>
        <w:gridCol w:w="60"/>
        <w:gridCol w:w="124"/>
        <w:gridCol w:w="541"/>
        <w:gridCol w:w="60"/>
        <w:gridCol w:w="60"/>
        <w:gridCol w:w="155"/>
        <w:gridCol w:w="675"/>
        <w:gridCol w:w="60"/>
        <w:gridCol w:w="60"/>
        <w:gridCol w:w="60"/>
        <w:gridCol w:w="980"/>
        <w:gridCol w:w="60"/>
        <w:gridCol w:w="60"/>
        <w:gridCol w:w="279"/>
        <w:gridCol w:w="1211"/>
        <w:gridCol w:w="60"/>
        <w:gridCol w:w="60"/>
        <w:gridCol w:w="279"/>
        <w:gridCol w:w="1211"/>
        <w:gridCol w:w="60"/>
        <w:gridCol w:w="60"/>
        <w:gridCol w:w="120"/>
        <w:gridCol w:w="1370"/>
        <w:gridCol w:w="215"/>
        <w:gridCol w:w="60"/>
        <w:gridCol w:w="60"/>
        <w:gridCol w:w="980"/>
        <w:gridCol w:w="7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center"/>
              <w:rPr>
                <w:b/>
              </w:rPr>
            </w:pPr>
            <w:r>
              <w:rPr>
                <w:b/>
              </w:rPr>
              <w:t>Name and Principal</w:t>
              <w:br/>
              <w:t>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Non-Qualified</w:t>
              <w:br/>
              <w:t>Deferred</w:t>
              <w:br/>
              <w:t>Compensation</w:t>
              <w:br/>
              <w:t>Earnings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Jaisim Shah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21,044</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1,271,044</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i/>
                <w:sz w:val="17"/>
              </w:rPr>
            </w:pPr>
            <w:r>
              <w:rPr>
                <w:rFonts w:ascii="Times New Roman" w:hAnsi="Times New Roman"/>
                <w:i/>
                <w:sz w:val="17"/>
              </w:rPr>
              <w:t>Former Chief Executive Officer, President and Director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1,250,000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16,574</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1,266,574</w:t>
            </w:r>
          </w:p>
        </w:tc>
        <w:tc>
          <w:tcPr>
            <w:tcW w:w="7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Henry Ji,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1,557,663</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18,300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3,069,495</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i/>
                <w:sz w:val="17"/>
              </w:rPr>
            </w:pPr>
            <w:r>
              <w:rPr>
                <w:rFonts w:ascii="Times New Roman" w:hAnsi="Times New Roman"/>
                <w:i/>
                <w:sz w:val="17"/>
              </w:rPr>
              <w:t>Chief Executive Officer, President and Executive Chairperson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1,250,000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11,651</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1,261,651</w:t>
            </w:r>
          </w:p>
        </w:tc>
        <w:tc>
          <w:tcPr>
            <w:tcW w:w="7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Stephen Ma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696,494</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746,766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22,289</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1,465,549</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i/>
                <w:sz w:val="17"/>
              </w:rPr>
            </w:pPr>
            <w:r>
              <w:rPr>
                <w:rFonts w:ascii="Times New Roman" w:hAnsi="Times New Roman"/>
                <w:i/>
                <w:sz w:val="17"/>
              </w:rPr>
              <w:t>Chief Financial Officer, Chief Operating Officer, Senior Vice President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13,821</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613,821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400" w:type="dxa"/>
        <w:jc w:val="left"/>
        <w:tblInd w:w="0" w:type="dxa"/>
        <w:tblLayout w:type="fixed"/>
        <w:tblCellMar>
          <w:top w:w="0" w:type="dxa"/>
          <w:left w:w="0" w:type="dxa"/>
          <w:bottom w:w="0" w:type="dxa"/>
          <w:right w:w="0" w:type="dxa"/>
        </w:tblCellMar>
      </w:tblPr>
      <w:tblGrid>
        <w:gridCol w:w="305"/>
        <w:gridCol w:w="9095"/>
      </w:tblGrid>
      <w:tr>
        <w:trPr/>
        <w:tc>
          <w:tcPr>
            <w:tcW w:w="305" w:type="dxa"/>
            <w:tcBorders/>
            <w:vAlign w:val="center"/>
          </w:tcPr>
          <w:p>
            <w:pPr>
              <w:pStyle w:val="TableContents"/>
              <w:bidi w:val="0"/>
              <w:spacing w:before="0" w:after="283"/>
              <w:jc w:val="left"/>
              <w:rPr/>
            </w:pPr>
            <w:r>
              <w:rPr/>
              <w:t>(1)</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includes Mr. Shah’s salary of $427,083 for his role as an executive officer of Semnur during 2025. </w:t>
            </w:r>
          </w:p>
        </w:tc>
      </w:tr>
    </w:tbl>
    <w:tbl>
      <w:tblPr>
        <w:tblW w:w="9085" w:type="dxa"/>
        <w:jc w:val="left"/>
        <w:tblInd w:w="0" w:type="dxa"/>
        <w:tblLayout w:type="fixed"/>
        <w:tblCellMar>
          <w:top w:w="0" w:type="dxa"/>
          <w:left w:w="0" w:type="dxa"/>
          <w:bottom w:w="0" w:type="dxa"/>
          <w:right w:w="0" w:type="dxa"/>
        </w:tblCellMar>
      </w:tblPr>
      <w:tblGrid>
        <w:gridCol w:w="305"/>
        <w:gridCol w:w="8780"/>
      </w:tblGrid>
      <w:tr>
        <w:trPr/>
        <w:tc>
          <w:tcPr>
            <w:tcW w:w="305" w:type="dxa"/>
            <w:tcBorders/>
            <w:vAlign w:val="center"/>
          </w:tcPr>
          <w:p>
            <w:pPr>
              <w:pStyle w:val="TableContents"/>
              <w:bidi w:val="0"/>
              <w:spacing w:before="0" w:after="283"/>
              <w:jc w:val="left"/>
              <w:rPr/>
            </w:pPr>
            <w:r>
              <w:rPr/>
              <w:t>(2)</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includes Dr. Ji’s salary of $312,871 for his role as an executive officer of Semnur during 2025. </w:t>
            </w:r>
          </w:p>
        </w:tc>
      </w:tr>
    </w:tbl>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(3)</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includes Mr. Ma’s salary of $151,494 for his role as an executive officer of Semnur during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matching contributions made to the named executive officer under the Company’s 401(k) plan and (b) life insurance premiums paid by the Company for his benefit.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Arrangements with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each of Mr. Shah and Dr. Ji was an executive officer of Semnur. During the year ended December 31, 2025, each of Mr. Shah, Dr. Ji and Mr. Ma was an executive officer of Semnur. As Semnur is a majority owned subsidiary of Scilex and executives of Scilex are required to provide services to Scilex’s subsidiaries, neither Dr. Ji nor Mr. Shah nor Mr. Ma received any additional cash or equity compensation from Semnur for services rendered to Semnur for the year ended December 31, 2024 and Semnur had not entered into any employment agreements with Dr. Ji, Mr. Shah or Mr. Ma, prior to the closing of Semnur’s business combination. Instead, the costs associated with the time spent by Dr. Ji, Mr. Shah and Mr. Ma, and any other employees of Scilex, working on matters for Semnur is allocated to Semnur and reflected in the Summary Compensation Table above. These costs are then included in Semnur’s operating expenses as either research and development expenses, if such individual is engaged in research and development functions related to the SP-102 program, or general and administrative expenses, if such individual is engaged in executive, marketing, finance, corporate and business development and administrative functions. </w:t>
      </w:r>
    </w:p>
    <w:p>
      <w:pPr>
        <w:pStyle w:val="TextBody"/>
        <w:bidi w:val="0"/>
        <w:spacing w:before="240" w:after="0"/>
        <w:jc w:val="left"/>
        <w:rPr>
          <w:rFonts w:ascii="Times New Roman" w:hAnsi="Times New Roman"/>
          <w:sz w:val="20"/>
        </w:rPr>
      </w:pPr>
      <w:r>
        <w:rPr>
          <w:rFonts w:ascii="Times New Roman" w:hAnsi="Times New Roman"/>
          <w:sz w:val="20"/>
        </w:rPr>
        <w:t xml:space="preserve">After the consummation of Semnur’s business combination, Dr. Ji and Mr. Ma continue to dedicate time to both Scilex and Semnur. During the year ended December 31, 2024, Mr. Shah previously dedicated approximately 80% of his time to Scilex and 20% to Semnur, Dr. Ji dedicated approximately 99% of his time to Scilex and 1% to Semnur and Mr. Ma dedicated approximately 80% of his time to Scilex and 20% to Semnur. Each officer’s hours fluctuated weekly based on the specific needs of Scilex and Semnur. After the consummation of Semnur’s business combination, each of Dr. Ji and Mr. Ma increased the aggregate number of hours he is working and splits his time equally between Scilex and Semnur. </w:t>
      </w:r>
    </w:p>
    <w:p>
      <w:pPr>
        <w:pStyle w:val="TextBody"/>
        <w:bidi w:val="0"/>
        <w:spacing w:before="240" w:after="0"/>
        <w:jc w:val="left"/>
        <w:rPr>
          <w:rFonts w:ascii="Times New Roman" w:hAnsi="Times New Roman"/>
          <w:sz w:val="20"/>
        </w:rPr>
      </w:pPr>
      <w:r>
        <w:rPr>
          <w:rFonts w:ascii="Times New Roman" w:hAnsi="Times New Roman"/>
          <w:sz w:val="20"/>
        </w:rPr>
        <w:t xml:space="preserve">Scilex entered into an offer letter with Mr. Shah in connection with his service as Chief Executive Officer and President, from which he resigned in August 2025. The material terms of the offer letter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Shah Offer Letter and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Scilex entered into an offer letter with Mr. Shah (the “Shah Offer Letter”), dated April 19, 2019, pursuant to which Mr. Shah serves as the Chief Executive Officer of Scilex Pharma. Under the Shah Offer Letter, Mr. Shah’s annual base salary was initially set at $407,925, which was increased to $579,280 in 2020 and to $792,000 on November 11, 2022 (but became effective as of March 17, 2022). On September 22, 2023, our Compensation Committee approved an increase in Mr. Shah’s annual base salary to $1,250,000 and a bonus target of 150% of his base salary, effective as of October 16, 2023. Mr. Shah’s employment with Scilex is at-will, and either Scilex or Mr. Shah may terminate the terms and conditions of the employment relationship at any time, with or without cause and with or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On June 6, 2019, Scilex issued to Mr. Shah an option to purchase 232,195 shares of Common Stock, with an exercise price equal to $60.55 per share. On December 21, 2020, Scilex issued to Mr. Shah an option to purchase 46,470 shares of Common Stock, with an exercise price equal to $60.55 per share. The shares subject to the forgoing options are now fully vested. The foregoing number of shares and exercise prices for Mr. Shah’s options reflect the application of the Exchange Ratio (as defined below) in the Business Combination. On January 17, 2023, Scilex issued to Mr. Shah an option to purchase 48,571 shares of Common Stock, with an exercise price of $282.80 per share, and on October 4, 2023, Scilex issued to Mr. Shah an option to purchase 5,714 shares of Common Stock, with an exercise price of $49.35 per share. The shares subject to such options vest in 48 equal monthly installments following the respective grant date, subject to Mr. Shah providing continuous service (as defined in the 2022 Plan) on each such vesting date, inclusive. To the extent such options are unvested, the foregoing options will vest in full if there is a Change in Control (as defined in the Severance Agreement (as defined below) to which Mr. Shah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Ji Compensation </w:t>
      </w:r>
    </w:p>
    <w:p>
      <w:pPr>
        <w:pStyle w:val="TextBody"/>
        <w:bidi w:val="0"/>
        <w:spacing w:before="120" w:after="0"/>
        <w:jc w:val="left"/>
        <w:rPr>
          <w:rFonts w:ascii="Times New Roman" w:hAnsi="Times New Roman"/>
          <w:sz w:val="20"/>
        </w:rPr>
      </w:pPr>
      <w:r>
        <w:rPr>
          <w:rFonts w:ascii="Times New Roman" w:hAnsi="Times New Roman"/>
          <w:sz w:val="20"/>
        </w:rPr>
        <w:t xml:space="preserve">Scilex has not entered into an offer letter or employment agreement in connection with Dr. Ji’s service as our Executive Chairperson or Chief Executive Officer and President. On November 11, 2022, our Compensation Committee approved Dr. Ji’s annual base salary of $792,000 and bonus of $554,400, effective as of March 17, 2022. On September 22, 2023, our Compensation Committee approved an increase in Dr. Ji’s annual base salary to $1,250,000 and a bonus target of 150% of his base salary, effective as of October 16, 2023. </w:t>
      </w:r>
    </w:p>
    <w:p>
      <w:pPr>
        <w:pStyle w:val="TextBody"/>
        <w:bidi w:val="0"/>
        <w:spacing w:before="240" w:after="0"/>
        <w:jc w:val="left"/>
        <w:rPr>
          <w:rFonts w:ascii="Times New Roman" w:hAnsi="Times New Roman"/>
          <w:sz w:val="20"/>
        </w:rPr>
      </w:pPr>
      <w:r>
        <w:rPr>
          <w:rFonts w:ascii="Times New Roman" w:hAnsi="Times New Roman"/>
          <w:sz w:val="20"/>
        </w:rPr>
        <w:t xml:space="preserve">On September 20, 2019, Scilex issued to Dr. Ji, in connection with his service as a director, an option to purchase 58,048 shares of Common Stock, with an exercise price equal to $60.55 per share. The shares subject to such option are now fully vested. The foregoing number of shares and exercise price for Dr. Ji’s option reflects the application of the Exchange Ratio in the Business Combination. On January 17, 2023, Scilex issued to Dr. Ji an option to purchase 257,142 shares of Common Stock, with an exercise price of $282.80 per share, and on October 4, 2023, Scilex issued to Dr. Ji an option to purchase 5,714 shares of Common Stock, with an exercise price of $49.35 per share. The shares subject to such options vest in 48 equal monthly installments following the respective grant date, subject to Dr. Ji providing continuous service (as defined in the 2022 Plan) on each such vesting date, inclusive. To the extent such options are unvested, the foregoing options will vest in full if there is a Change in Control (as defined in the Severance Agreement (as defined below) to which Dr. Ji is a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 Compensation </w:t>
      </w:r>
    </w:p>
    <w:p>
      <w:pPr>
        <w:pStyle w:val="TextBody"/>
        <w:bidi w:val="0"/>
        <w:spacing w:before="120" w:after="0"/>
        <w:jc w:val="left"/>
        <w:rPr>
          <w:rFonts w:ascii="Times New Roman" w:hAnsi="Times New Roman"/>
          <w:sz w:val="20"/>
        </w:rPr>
      </w:pPr>
      <w:r>
        <w:rPr>
          <w:rFonts w:ascii="Times New Roman" w:hAnsi="Times New Roman"/>
          <w:sz w:val="20"/>
        </w:rPr>
        <w:t xml:space="preserve">Scilex has not entered into an offer letter or employment agreement in connection with Mr. Ma’s service as our Chief Financial Officer, Senior Vice President and Secretary or as Chief Operating Officer. On September 22, 2023, our Compensation Committee approved Mr. Ma’s annual base salary of $600,000 and a bonus target of 60% of his base salary, effective as of October 16, 2023.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2023, Scilex issued to Mr. Ma an option to purchase 10,000 shares of Common Stock, with an exercise price of $282.80 per share, and on October 4, 2023, Scilex issued to Mr. Ma an option to purchase 4,285 shares of Common Stock, with an exercise price of $49.35 per share. The shares subject to such options vest in 48 equal monthly installments following the respective grant date, subject to Mr. Ma providing continuous service (as defined in the 2022 Plan) on each such vesting date, inclusive. To the extent such options are unvested, the foregoing options will vest in full if there is a Change in Control (as defined in the Severance Agreement (as defined below) to which Mr. Ma is a party).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Severance and Change in Control Agreements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22, 2023, our Compensation Committee approved the material terms of, and authorized us to enter into, severance and change in control arrangements with our Executive Chairperson, Chief Executive Officer, Chief Financial Officer and each other executive of the Company holding a senior vice president position or above (each, a “Participating Executive”), with such arrangements to be set forth in severance and change in control agreements (each a “Severance Agreement”). The named executive officers executed their respective Severance Agreements on November 8, 2023. </w:t>
      </w:r>
    </w:p>
    <w:p>
      <w:pPr>
        <w:pStyle w:val="TextBody"/>
        <w:bidi w:val="0"/>
        <w:spacing w:before="240" w:after="0"/>
        <w:jc w:val="left"/>
        <w:rPr>
          <w:rFonts w:ascii="Times New Roman" w:hAnsi="Times New Roman"/>
          <w:sz w:val="20"/>
        </w:rPr>
      </w:pPr>
      <w:r>
        <w:rPr>
          <w:rFonts w:ascii="Times New Roman" w:hAnsi="Times New Roman"/>
          <w:sz w:val="20"/>
        </w:rPr>
        <w:t xml:space="preserve">The Severance Agreements generally provide for, among other things, the following benefits in the event of (i) the executive’s termination without cause or resignation for good reason and (ii) a change in control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without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If any Participating Executive (including each of our named executive officers) is terminated without cause or resigns for good reason, in either case, prior to a change in control, and subject to an irrevocably effective general release of claims in our favor, such executive shall be entitled to receive (i) one year’s base salary, paid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monthly basis, (ii) 12 months of benefits and (iii) with respect to any Company stock options held by such executive that have vested as of the date of such termination or resignation, such stock options shall be exercisable for a period of 24 months following such date of termination or resignation (or, if earlier, until the expiration of the maximum term of the option).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upon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in control of the Company, Dr. Ji, our Executive Chairperson, and Mr. Shah, our Chief Executive Officer, each shall be entitled to received (i) a lump sum payment equal to three times such executive’s annual base salary, (ii) a lump sum payment equal to three times such executive’s target bonus amount, (iii) a lump sum payment equal to $3,000 multiplied by 36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 </w:t>
      </w:r>
    </w:p>
    <w:p>
      <w:pPr>
        <w:pStyle w:val="TextBody"/>
        <w:bidi w:val="0"/>
        <w:spacing w:before="240" w:after="0"/>
        <w:jc w:val="left"/>
        <w:rPr>
          <w:rFonts w:ascii="Times New Roman" w:hAnsi="Times New Roman"/>
          <w:sz w:val="20"/>
        </w:rPr>
      </w:pPr>
      <w:r>
        <w:rPr>
          <w:rFonts w:ascii="Times New Roman" w:hAnsi="Times New Roman"/>
          <w:sz w:val="20"/>
        </w:rPr>
        <w:t xml:space="preserve">Upon a change in control of the Company, Mr. Ma, our Chief Financial Officer, Senior Vice President and Secretary, shall be entitled to receive (i) a lump sum payment equal to two times such executive’s annual base salary, (ii) a lump sum payment equal to two times such executive’s target bonus amount, (iii) a lump sum payment equal to $3,000 multiplied by 24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 </w:t>
      </w:r>
    </w:p>
    <w:p>
      <w:pPr>
        <w:pStyle w:val="TextBody"/>
        <w:bidi w:val="0"/>
        <w:spacing w:before="240" w:after="0"/>
        <w:jc w:val="left"/>
        <w:rPr>
          <w:rFonts w:ascii="Times New Roman" w:hAnsi="Times New Roman"/>
          <w:sz w:val="20"/>
        </w:rPr>
      </w:pPr>
      <w:r>
        <w:rPr>
          <w:rFonts w:ascii="Times New Roman" w:hAnsi="Times New Roman"/>
          <w:sz w:val="20"/>
        </w:rPr>
        <w:t xml:space="preserve">For any other Participating Executive, upon a change in control, such executive shall be entitled to receive (i) a lump sum payment equal to such executive’s annual base salary, (ii) a lump sum payment equal to such executive’s target bonus amount, (iii) a lump sum payment equal to $3,000 multiplied by 12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during their employment with us, are eligible to participate in our employee benefit plans, including our medical, vision and dental insurance plans, in each case on the same basis as all of our other employees. We generally do not provide perquisites or personal benefits to our named executive officers, except in limited circumstances. We do, however, pay the premiums for medical, vision and dental insurance for all of our employees, including our named executive officers. Our Board may elect to adopt qualified or nonqualified benefit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Pension Benefits and 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defined contribution 401(k) plan available to eligible employees. Employee contributions are voluntary and are determined on an individual basis, limited to the maximum amount allowable under federal tax regulations. We made matching contributions to the 401(k) plan totaling $0.4 million and $0.6 million for each of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Dr. Ji and Mr. Ma participate (and Mr. Shah participated) in our tax-qualified Section 401(k) plan and we provide a 4% matching contribution up to an annual compensation limit ($350,000 in 2025). </w:t>
      </w:r>
    </w:p>
    <w:p>
      <w:pPr>
        <w:pStyle w:val="TextBody"/>
        <w:bidi w:val="0"/>
        <w:spacing w:before="240" w:after="0"/>
        <w:jc w:val="left"/>
        <w:rPr>
          <w:rFonts w:ascii="Times New Roman" w:hAnsi="Times New Roman"/>
          <w:sz w:val="20"/>
        </w:rPr>
      </w:pPr>
      <w:r>
        <w:rPr>
          <w:rFonts w:ascii="Times New Roman" w:hAnsi="Times New Roman"/>
          <w:sz w:val="20"/>
        </w:rPr>
        <w:t xml:space="preserve">We do not provide any other pension plan for our employees, and none of our named executive officers participated in a nonqualified deferred compensation plan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certain information concerning outstanding equity awards held by each of our named executive officers as of December 31, 2025. Following the Business Combination, each outstanding equity award with respect to our Common Stock reflected in the table below was equitably adjusted in accordance with the terms of the Merger Agreement (as defined below) and the 2019 Stock Option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33"/>
        <w:gridCol w:w="120"/>
        <w:gridCol w:w="60"/>
        <w:gridCol w:w="1029"/>
        <w:gridCol w:w="60"/>
        <w:gridCol w:w="120"/>
        <w:gridCol w:w="178"/>
        <w:gridCol w:w="1492"/>
        <w:gridCol w:w="324"/>
        <w:gridCol w:w="60"/>
        <w:gridCol w:w="88"/>
        <w:gridCol w:w="1177"/>
        <w:gridCol w:w="60"/>
        <w:gridCol w:w="120"/>
        <w:gridCol w:w="100"/>
        <w:gridCol w:w="1345"/>
        <w:gridCol w:w="60"/>
        <w:gridCol w:w="120"/>
        <w:gridCol w:w="161"/>
        <w:gridCol w:w="786"/>
        <w:gridCol w:w="324"/>
        <w:gridCol w:w="60"/>
        <w:gridCol w:w="60"/>
        <w:gridCol w:w="1091"/>
        <w:gridCol w:w="77"/>
      </w:tblGrid>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7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Option Awards(1)(2)</w:t>
            </w:r>
          </w:p>
        </w:tc>
        <w:tc>
          <w:tcPr>
            <w:tcW w:w="77" w:type="dxa"/>
            <w:tcBorders/>
            <w:vAlign w:val="center"/>
          </w:tcPr>
          <w:p>
            <w:pPr>
              <w:pStyle w:val="TableContents"/>
              <w:bidi w:val="0"/>
              <w:spacing w:before="0" w:after="283"/>
              <w:jc w:val="left"/>
              <w:rPr/>
            </w:pPr>
            <w:r>
              <w:rPr/>
              <w:t> </w:t>
            </w:r>
          </w:p>
        </w:tc>
      </w:tr>
      <w:tr>
        <w:trPr/>
        <w:tc>
          <w:tcPr>
            <w:tcW w:w="113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Per</w:t>
              <w:br/>
              <w:t>Share ($)</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6/6/2019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3/18/2019</w:t>
            </w:r>
          </w:p>
        </w:tc>
        <w:tc>
          <w:tcPr>
            <w:tcW w:w="32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231,795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60.55</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6/6/2029</w:t>
            </w:r>
          </w:p>
        </w:tc>
        <w:tc>
          <w:tcPr>
            <w:tcW w:w="77" w:type="dxa"/>
            <w:tcBorders/>
            <w:shd w:fill="CCEEFF" w:val="clear"/>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12/21/2020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12/21/2020</w:t>
            </w:r>
          </w:p>
        </w:tc>
        <w:tc>
          <w:tcPr>
            <w:tcW w:w="32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46,470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60.55</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12/21/2030</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1/17/2023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1/17/2023</w:t>
            </w:r>
          </w:p>
        </w:tc>
        <w:tc>
          <w:tcPr>
            <w:tcW w:w="32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35,416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13,154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282.80</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1/17/2033</w:t>
            </w:r>
          </w:p>
        </w:tc>
        <w:tc>
          <w:tcPr>
            <w:tcW w:w="77" w:type="dxa"/>
            <w:tcBorders/>
            <w:shd w:fill="CCEEFF" w:val="clear"/>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10/4/2023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10/4/2023</w:t>
            </w:r>
          </w:p>
        </w:tc>
        <w:tc>
          <w:tcPr>
            <w:tcW w:w="32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2,619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49.35</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10/4/2033</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9/20/2019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3/18/2019</w:t>
            </w:r>
          </w:p>
        </w:tc>
        <w:tc>
          <w:tcPr>
            <w:tcW w:w="32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58,048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60.55</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9/20/2029</w:t>
            </w:r>
          </w:p>
        </w:tc>
        <w:tc>
          <w:tcPr>
            <w:tcW w:w="77" w:type="dxa"/>
            <w:tcBorders/>
            <w:shd w:fill="CCEEFF" w:val="clear"/>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1/17/2023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1/17/2023</w:t>
            </w:r>
          </w:p>
        </w:tc>
        <w:tc>
          <w:tcPr>
            <w:tcW w:w="32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187,498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69,644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16.80</w:t>
            </w:r>
          </w:p>
        </w:tc>
        <w:tc>
          <w:tcPr>
            <w:tcW w:w="32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1/17/2033</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10/4/2023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10/4/2023</w:t>
            </w:r>
          </w:p>
        </w:tc>
        <w:tc>
          <w:tcPr>
            <w:tcW w:w="32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2,924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49.35</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10/4/2033</w:t>
            </w:r>
          </w:p>
        </w:tc>
        <w:tc>
          <w:tcPr>
            <w:tcW w:w="77" w:type="dxa"/>
            <w:tcBorders/>
            <w:shd w:fill="CCEEFF" w:val="clear"/>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10/8/2025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10/8/2025</w:t>
            </w:r>
          </w:p>
        </w:tc>
        <w:tc>
          <w:tcPr>
            <w:tcW w:w="32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17.58</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10/8/2035</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6/13/2019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3/18/2019</w:t>
            </w:r>
          </w:p>
        </w:tc>
        <w:tc>
          <w:tcPr>
            <w:tcW w:w="32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1,924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60.55</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6/13/2029</w:t>
            </w:r>
          </w:p>
        </w:tc>
        <w:tc>
          <w:tcPr>
            <w:tcW w:w="77" w:type="dxa"/>
            <w:tcBorders/>
            <w:shd w:fill="CCEEFF" w:val="clear"/>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12/21/2020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12/21/2020</w:t>
            </w:r>
          </w:p>
        </w:tc>
        <w:tc>
          <w:tcPr>
            <w:tcW w:w="32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1,443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60.55</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12/21/2030</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1/17/2023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1/17/2023</w:t>
            </w:r>
          </w:p>
        </w:tc>
        <w:tc>
          <w:tcPr>
            <w:tcW w:w="32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7,291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16.80</w:t>
            </w:r>
          </w:p>
        </w:tc>
        <w:tc>
          <w:tcPr>
            <w:tcW w:w="32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1/17/2033</w:t>
            </w:r>
          </w:p>
        </w:tc>
        <w:tc>
          <w:tcPr>
            <w:tcW w:w="77" w:type="dxa"/>
            <w:tcBorders/>
            <w:shd w:fill="CCEEFF" w:val="clear"/>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10/4/2023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10/4/2023</w:t>
            </w:r>
          </w:p>
        </w:tc>
        <w:tc>
          <w:tcPr>
            <w:tcW w:w="32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2,265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49.35</w:t>
            </w:r>
          </w:p>
        </w:tc>
        <w:tc>
          <w:tcPr>
            <w:tcW w:w="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right"/>
              <w:rPr/>
            </w:pPr>
            <w:r>
              <w:rPr/>
              <w:t>10/4/2033</w:t>
            </w:r>
          </w:p>
        </w:tc>
        <w:tc>
          <w:tcPr>
            <w:tcW w:w="77" w:type="dxa"/>
            <w:tcBorders/>
            <w:vAlign w:val="center"/>
          </w:tcPr>
          <w:p>
            <w:pPr>
              <w:pStyle w:val="TableContents"/>
              <w:bidi w:val="0"/>
              <w:spacing w:before="0" w:after="283"/>
              <w:jc w:val="left"/>
              <w:rPr/>
            </w:pPr>
            <w:r>
              <w:rPr/>
              <w:t> </w:t>
            </w:r>
          </w:p>
        </w:tc>
      </w:tr>
      <w:tr>
        <w:trPr/>
        <w:tc>
          <w:tcPr>
            <w:tcW w:w="113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10/8/2025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10/8/2025</w:t>
            </w:r>
          </w:p>
        </w:tc>
        <w:tc>
          <w:tcPr>
            <w:tcW w:w="32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57,500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17.58</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10/8/2035</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November 10, 2022 (the “Closing Date”), the Company consummated the previously announced business combination (the “Business Combination”) pursuant to the terms of the Agreement and Plan of Merger, dated as of March 17, 2022 and as amended by Amendment No. 1 to Agreement and Plan of Merger, dated September 12, 2022 (the “Merger Agreement”), by and among Vickers Vantage Corp. I (“Vickers”), Vantage Merger Sub Inc., a then-wholly-owned subsidiary of Vickers (“Merger Sub”), and the pre-Business Combination Scilex Holding Company (now named Scilex, Inc.) (“Legacy Scilex”), a then-majority-owned subsidiary of Sorrento. Pursuant to the terms of the Merger Agreement, on the Closing Date, (i) Merger Sub merged with and into Legacy Scilex, with Legacy Scilex as the surviving company in the Business Combination, and, after giving effect to such Business Combination, Legacy Scilex became a wholly owned subsidiary of Vickers and changed its name to “Scilex, Inc.”, and (ii) Vickers changed its name to “Scilex Holding Company”. Pursuant to the terms of the Merger Agreement, effective as of the closing of the Business Combination on November 10, 2022, outstanding equity awards under the 2017 Scilex Pharmaceuticals Inc. Equity Incentive Plan (the “Scilex Pharma 2017 Plan”) and 2019 Stock Option Plan were adjusted as follows: (i) each option to purchase Legacy Scilex common stock that was outstanding as of immediately prior to the effective time of the Business Combination (the “Effective Time”) was converted into the right to receive an option relating to our Common Stock upon substantially the same terms and conditions as were in effect with respect to such option immediately prior to the Effective Time (the “Option”) except that (x) such Option relates to that whole number of shares of our Common Stock (rounded down to the nearest whole share) equal to the number of Legacy Scilex common stock subject to such Option, multiplied by the Exchange Ratio of 0.673498:1 (the “Exchange Ratio”), and (y) the exercise price per share for each such share of our Common Stock equals the exercise price per share of such Option in effect immediately prior to the Effective Time, divided by the Exchange Ratio (rounded up to the nearest whole cent). The numbers in the table reflect the share numbers outstanding and exercise prices as of December 31, 2025, in each case after giving effect to the Exchange Ratio.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granted in 2019 and 2020 were granted under the 2019 Stock Option Plan, and options granted in 2023 and 2025 were granted under the 2022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15" w:type="dxa"/>
        <w:jc w:val="left"/>
        <w:tblInd w:w="0" w:type="dxa"/>
        <w:tblLayout w:type="fixed"/>
        <w:tblCellMar>
          <w:top w:w="0" w:type="dxa"/>
          <w:left w:w="0" w:type="dxa"/>
          <w:bottom w:w="0" w:type="dxa"/>
          <w:right w:w="0" w:type="dxa"/>
        </w:tblCellMar>
      </w:tblPr>
      <w:tblGrid>
        <w:gridCol w:w="305"/>
        <w:gridCol w:w="2210"/>
      </w:tblGrid>
      <w:tr>
        <w:trPr/>
        <w:tc>
          <w:tcPr>
            <w:tcW w:w="305" w:type="dxa"/>
            <w:tcBorders/>
            <w:vAlign w:val="center"/>
          </w:tcPr>
          <w:p>
            <w:pPr>
              <w:pStyle w:val="TableContents"/>
              <w:bidi w:val="0"/>
              <w:spacing w:before="0" w:after="283"/>
              <w:jc w:val="left"/>
              <w:rPr/>
            </w:pPr>
            <w:r>
              <w:rPr/>
              <w:t>(3)</w:t>
            </w:r>
          </w:p>
        </w:tc>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have fully vested.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option vested and shall vest as to 1/48th of the shares subject to the option on each monthly anniversary commencing on the vesting commencement date, subject to full acceleration in the event of a Corporate Transaction (as defined in the 2022 Plan) in which the surviving corporation or acquiring corporation (or its parent company) does not assume or continue such outstanding awards or substitute similar awards for such outstanding awards.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Option Repricing (as defined below), the exercise price of the repriced options has been modified to be $16.80, the closing price of our Common Stock on December 11, 2025, the date of the Option Repricing. There was no change to the vesting schedules, expiration dates or number of shares underlying the repriced options in connection with the Option Repricing.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 Repricing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our stockholders approved the </w:t>
      </w:r>
    </w:p>
    <w:p>
      <w:pPr>
        <w:pStyle w:val="TextBody"/>
        <w:bidi w:val="0"/>
        <w:spacing w:before="120" w:after="0"/>
        <w:jc w:val="left"/>
        <w:rPr>
          <w:rFonts w:ascii="Times New Roman" w:hAnsi="Times New Roman"/>
          <w:sz w:val="20"/>
        </w:rPr>
      </w:pPr>
      <w:r>
        <w:rPr>
          <w:rFonts w:ascii="Times New Roman" w:hAnsi="Times New Roman"/>
          <w:sz w:val="20"/>
        </w:rPr>
        <w:t>one-time</w:t>
      </w:r>
    </w:p>
    <w:p>
      <w:pPr>
        <w:pStyle w:val="TextBody"/>
        <w:bidi w:val="0"/>
        <w:spacing w:before="120" w:after="0"/>
        <w:jc w:val="left"/>
        <w:rPr>
          <w:rFonts w:ascii="Times New Roman" w:hAnsi="Times New Roman"/>
          <w:sz w:val="20"/>
        </w:rPr>
      </w:pPr>
      <w:r>
        <w:rPr>
          <w:rFonts w:ascii="Times New Roman" w:hAnsi="Times New Roman"/>
          <w:sz w:val="20"/>
        </w:rPr>
        <w:t xml:space="preserve">repricing of certain outstanding stock options that had been granted to, and held by, certain of our current employees, including our executive officers and named executive officers (namely, Henry Ji, Ph.D. and Stephen Ma), and members of our Board under the 2022 Plan (the “Option Repricing”). The Option Repricing was previously approved by our Board on October 27, 2025, subject to approval by our stockholders. The Option Repricing impacted stock options with exercise prices of $282.80 per share, covering up to an aggregate of 289,405 shares of our Common Stock, and each eligible stock option was repriced to have a per share exercise price of $16.80. No changes were made to the vesting schedules, expiration dates or number of shares underlying the repriced stock options. The incremental fair values from the Option Repricing to the impacted stock options for the named executive officers are included in the “Option Awards” column in the Summary Compensation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Equity Award Timing Procedures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402(x)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under the Securities Act, we are providing information regarding our procedures related to the grant of certain equity awards close in time to the release of material </w:t>
      </w:r>
    </w:p>
    <w:p>
      <w:pPr>
        <w:pStyle w:val="TextBody"/>
        <w:bidi w:val="0"/>
        <w:spacing w:before="120" w:after="0"/>
        <w:jc w:val="left"/>
        <w:rPr>
          <w:rFonts w:ascii="Times New Roman" w:hAnsi="Times New Roman"/>
          <w:sz w:val="20"/>
        </w:rPr>
      </w:pPr>
      <w:r>
        <w:rPr>
          <w:rFonts w:ascii="Times New Roman" w:hAnsi="Times New Roman"/>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(“MNPI”). We generally grant equity awards annually, and any such equity awards granted are recommended by the Compensation Committee and approved by our Board on or before the grant date. We do not grant equity awards in anticipation of the release of material </w:t>
      </w:r>
    </w:p>
    <w:p>
      <w:pPr>
        <w:pStyle w:val="TextBody"/>
        <w:bidi w:val="0"/>
        <w:spacing w:before="120" w:after="0"/>
        <w:jc w:val="left"/>
        <w:rPr>
          <w:rFonts w:ascii="Times New Roman" w:hAnsi="Times New Roman"/>
          <w:sz w:val="20"/>
        </w:rPr>
      </w:pPr>
      <w:r>
        <w:rPr>
          <w:rFonts w:ascii="Times New Roman" w:hAnsi="Times New Roman"/>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and do not time, and do not plan to time, the release of material </w:t>
      </w:r>
    </w:p>
    <w:p>
      <w:pPr>
        <w:pStyle w:val="TextBody"/>
        <w:bidi w:val="0"/>
        <w:spacing w:before="120" w:after="0"/>
        <w:jc w:val="left"/>
        <w:rPr>
          <w:rFonts w:ascii="Times New Roman" w:hAnsi="Times New Roman"/>
          <w:sz w:val="20"/>
        </w:rPr>
      </w:pPr>
      <w:r>
        <w:rPr>
          <w:rFonts w:ascii="Times New Roman" w:hAnsi="Times New Roman"/>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in coordination with grants of equity awards in a manner that intentionally affects the value of executive compensation. Additionally, our Insider Trading Policy prohibits directors, officers and employees from trading our securities while in possession of or on the basis of MNPI about us. We have not timed, and do not plan to time, the disclosure of MNPI for the purpose of affecting the value of executive compensation. </w:t>
      </w:r>
    </w:p>
    <w:p>
      <w:pPr>
        <w:pStyle w:val="TextBody"/>
        <w:bidi w:val="0"/>
        <w:spacing w:before="240" w:after="0"/>
        <w:jc w:val="left"/>
        <w:rPr>
          <w:rFonts w:ascii="Times New Roman" w:hAnsi="Times New Roman"/>
          <w:sz w:val="20"/>
        </w:rPr>
      </w:pPr>
      <w:r>
        <w:rPr>
          <w:rFonts w:ascii="Times New Roman" w:hAnsi="Times New Roman"/>
          <w:sz w:val="20"/>
        </w:rPr>
        <w:t>In the year ended December 31, 2025, no options were granted to our named executive officers within four business days prior to, or one business day following, the filing or furnishing of a periodic or current report by us that disclosed MNPI.</w:t>
      </w:r>
    </w:p>
    <w:p>
      <w:pPr>
        <w:pStyle w:val="TextBody"/>
        <w:bidi w:val="0"/>
        <w:spacing w:before="360" w:after="0"/>
        <w:jc w:val="left"/>
        <w:rPr>
          <w:rFonts w:ascii="Times New Roman" w:hAnsi="Times New Roman"/>
          <w:b/>
          <w:sz w:val="20"/>
        </w:rPr>
      </w:pPr>
      <w:r>
        <w:rPr>
          <w:rFonts w:ascii="Times New Roman" w:hAnsi="Times New Roman"/>
          <w:b/>
          <w:sz w:val="20"/>
        </w:rPr>
        <w:t xml:space="preserve">Rule </w:t>
      </w:r>
    </w:p>
    <w:p>
      <w:pPr>
        <w:pStyle w:val="TextBody"/>
        <w:bidi w:val="0"/>
        <w:spacing w:before="360" w:after="0"/>
        <w:jc w:val="left"/>
        <w:rPr>
          <w:rFonts w:ascii="Times New Roman" w:hAnsi="Times New Roman"/>
          <w:b/>
          <w:sz w:val="20"/>
        </w:rPr>
      </w:pPr>
      <w:r>
        <w:rPr>
          <w:rFonts w:ascii="Times New Roman" w:hAnsi="Times New Roman"/>
          <w:b/>
          <w:sz w:val="20"/>
        </w:rPr>
        <w:t>10b5-1</w:t>
      </w:r>
    </w:p>
    <w:p>
      <w:pPr>
        <w:pStyle w:val="TextBody"/>
        <w:bidi w:val="0"/>
        <w:spacing w:before="360" w:after="0"/>
        <w:jc w:val="left"/>
        <w:rPr>
          <w:rFonts w:ascii="Times New Roman" w:hAnsi="Times New Roman"/>
          <w:b/>
          <w:sz w:val="20"/>
        </w:rPr>
      </w:pPr>
      <w:r>
        <w:rPr>
          <w:rFonts w:ascii="Times New Roman" w:hAnsi="Times New Roman"/>
          <w:b/>
          <w:sz w:val="20"/>
        </w:rPr>
        <w:t xml:space="preserve">Plans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officers and key employees may adopt written plans, known as Rule </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plans, in which they will contract with a broker to buy or sell shares of our common stock on a periodic basis. Under a Rule </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plan, a broker executes trades under parameters established by the director or officer when entering into the plan, without further direction from the director or officer. The director or officer may amend or terminate a Rule </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plan, subject to certain requirements. Our directors and executive officers may also buy or sell additional shares outside of a Rule </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plan when they are not in possession of MNPI, subject to compliance with the terms of our Insider Trading Policy and any applicable Rule </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guidelines. </w:t>
      </w:r>
    </w:p>
    <w:p>
      <w:pPr>
        <w:pStyle w:val="TextBody"/>
        <w:bidi w:val="0"/>
        <w:spacing w:before="360" w:after="0"/>
        <w:jc w:val="left"/>
        <w:rPr>
          <w:rFonts w:ascii="Times New Roman" w:hAnsi="Times New Roman"/>
          <w:b/>
          <w:i/>
          <w:sz w:val="20"/>
        </w:rPr>
      </w:pPr>
      <w:r>
        <w:rPr>
          <w:rFonts w:ascii="Times New Roman" w:hAnsi="Times New Roman"/>
          <w:b/>
          <w:i/>
          <w:sz w:val="20"/>
        </w:rPr>
        <w:t>10b5-1</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Activity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quarter ended December 31, 2025, none of our directors or officers (as defined in Section 16 of the Exchange Act) adopted or terminated any contract, instruction or written plan for the purchase or sale of our securities that was intended to satisfy the affirmative defense conditions of Rule </w:t>
      </w:r>
    </w:p>
    <w:p>
      <w:pPr>
        <w:pStyle w:val="TextBody"/>
        <w:bidi w:val="0"/>
        <w:spacing w:before="120" w:after="0"/>
        <w:jc w:val="left"/>
        <w:rPr>
          <w:rFonts w:ascii="Times New Roman" w:hAnsi="Times New Roman"/>
          <w:sz w:val="20"/>
        </w:rPr>
      </w:pPr>
      <w:r>
        <w:rPr>
          <w:rFonts w:ascii="Times New Roman" w:hAnsi="Times New Roman"/>
          <w:sz w:val="20"/>
        </w:rPr>
        <w:t>10b5-1(c)</w:t>
      </w:r>
    </w:p>
    <w:p>
      <w:pPr>
        <w:pStyle w:val="TextBody"/>
        <w:bidi w:val="0"/>
        <w:spacing w:before="120" w:after="0"/>
        <w:jc w:val="left"/>
        <w:rPr>
          <w:rFonts w:ascii="Times New Roman" w:hAnsi="Times New Roman"/>
          <w:sz w:val="20"/>
        </w:rPr>
      </w:pPr>
      <w:r>
        <w:rPr>
          <w:rFonts w:ascii="Times New Roman" w:hAnsi="Times New Roman"/>
          <w:sz w:val="20"/>
        </w:rPr>
        <w:t xml:space="preserve">under the Exchange Act or any </w:t>
      </w:r>
    </w:p>
    <w:p>
      <w:pPr>
        <w:pStyle w:val="TextBody"/>
        <w:bidi w:val="0"/>
        <w:spacing w:before="120" w:after="0"/>
        <w:jc w:val="left"/>
        <w:rPr/>
      </w:pPr>
      <w:r>
        <w:rPr/>
        <w:t>“</w:t>
      </w:r>
      <w:r>
        <w:rPr>
          <w:rFonts w:ascii="Times New Roman" w:hAnsi="Times New Roman"/>
          <w:sz w:val="20"/>
        </w:rPr>
        <w:t>non-Rule</w:t>
      </w:r>
    </w:p>
    <w:p>
      <w:pPr>
        <w:pStyle w:val="TextBody"/>
        <w:bidi w:val="0"/>
        <w:spacing w:before="120" w:after="0"/>
        <w:jc w:val="left"/>
        <w:rPr>
          <w:rFonts w:ascii="Times New Roman" w:hAnsi="Times New Roman"/>
          <w:sz w:val="20"/>
        </w:rPr>
      </w:pPr>
      <w:r>
        <w:rPr>
          <w:rFonts w:ascii="Times New Roman" w:hAnsi="Times New Roman"/>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as defined in Item 408(c)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46109_9"/>
      <w:bookmarkEnd w:id="11"/>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2022 Plan and the Company’s 2022 Employee Stock Purchase Plan (the “ESPP”) were the only compensation plans under which securities of the Company were authorized for future grant. Each of the 2022 Plan and the ESPP were approved by our stockholders. In March 2019, the Scilex Pharma 2017 Plan, which was adopted by the board of directors and stockholders of Scilex Pharma on June 26, 2017, and amended and restated on July 5, 2018, terminated in connection with a corporate reorganization that was effected in March 2019. However, the Scilex Pharma 2017 Plan continues to govern awards outstanding thereunder. Additionally, the 2019 Stock Option Plan, which was adopted by the board of directors and stockholders of Legacy Scilex on May 28, 2019 and June 24, 2019, respectively, and amended on December 21, 2020, terminated at the closing of the Business Combination. However, the 2019 Stock Option Plan continues to govern awards outstanding thereunder. On January 17, 2023, the Compensation Committee adopted the Company’s 2023 Inducement Plan (the “Inducement Plan”). The Inducement Plan has not been approved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the Company’s existing and predecessor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37"/>
        <w:gridCol w:w="120"/>
        <w:gridCol w:w="84"/>
        <w:gridCol w:w="1376"/>
        <w:gridCol w:w="60"/>
        <w:gridCol w:w="120"/>
        <w:gridCol w:w="282"/>
        <w:gridCol w:w="1253"/>
        <w:gridCol w:w="331"/>
        <w:gridCol w:w="60"/>
        <w:gridCol w:w="103"/>
        <w:gridCol w:w="1387"/>
        <w:gridCol w:w="592"/>
      </w:tblGrid>
      <w:tr>
        <w:trPr/>
        <w:tc>
          <w:tcPr>
            <w:tcW w:w="4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43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b/>
              </w:rPr>
              <w:t>(a) Number</w:t>
              <w:br/>
              <w:t>of Securities</w:t>
              <w:br/>
              <w:t>to be Issued</w:t>
              <w:br/>
              <w:t>Upon</w:t>
              <w:br/>
              <w:t>Exercise</w:t>
            </w:r>
            <w:r>
              <w:rPr/>
              <w:br/>
            </w:r>
            <w:r>
              <w:rPr>
                <w:b/>
              </w:rPr>
              <w:t>of</w:t>
              <w:br/>
              <w:t>Outstanding</w:t>
              <w:br/>
              <w:t>Options,</w:t>
              <w:br/>
              <w:t>Warrants and</w:t>
              <w:br/>
              <w:t>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 Weighted-</w:t>
              <w:br/>
              <w:t>Average</w:t>
              <w:br/>
              <w:t>Exercise Price</w:t>
              <w:br/>
              <w:t>of Outstanding</w:t>
              <w:br/>
              <w:t>Options,</w:t>
              <w:br/>
              <w:t>Warrants and</w:t>
              <w:br/>
              <w:t>Rights</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 Number of</w:t>
              <w:br/>
              <w:t>Securities</w:t>
              <w:br/>
              <w:t>Remaining</w:t>
              <w:br/>
              <w:t>Available for</w:t>
              <w:br/>
              <w:t>Future</w:t>
              <w:br/>
              <w:t>Issuance</w:t>
              <w:br/>
              <w:t>Under Equity</w:t>
              <w:br/>
              <w:t>Compensation</w:t>
              <w:br/>
              <w:t>Plans</w:t>
              <w:br/>
              <w:t>(Excluding</w:t>
              <w:br/>
              <w:t>Securities</w:t>
              <w:br/>
              <w:t>Reflected in</w:t>
              <w:br/>
              <w:t>Column (a))</w:t>
            </w:r>
          </w:p>
        </w:tc>
        <w:tc>
          <w:tcPr>
            <w:tcW w:w="592" w:type="dxa"/>
            <w:tcBorders/>
            <w:vAlign w:val="center"/>
          </w:tcPr>
          <w:p>
            <w:pPr>
              <w:pStyle w:val="TableContents"/>
              <w:bidi w:val="0"/>
              <w:spacing w:before="0" w:after="283"/>
              <w:jc w:val="left"/>
              <w:rPr/>
            </w:pPr>
            <w:r>
              <w:rPr/>
              <w:t> </w:t>
            </w:r>
          </w:p>
        </w:tc>
      </w:tr>
      <w:tr>
        <w:trPr/>
        <w:tc>
          <w:tcPr>
            <w:tcW w:w="44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stockholders(1)</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1,503,907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 </w:t>
            </w:r>
            <w:r>
              <w:rPr/>
              <w:t>46.59</w:t>
            </w:r>
          </w:p>
        </w:tc>
        <w:tc>
          <w:tcPr>
            <w:tcW w:w="331"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178,299</w:t>
            </w:r>
          </w:p>
        </w:tc>
        <w:tc>
          <w:tcPr>
            <w:tcW w:w="592" w:type="dxa"/>
            <w:tcBorders/>
            <w:shd w:fill="CCEEFF" w:val="clear"/>
            <w:vAlign w:val="center"/>
          </w:tcPr>
          <w:p>
            <w:pPr>
              <w:pStyle w:val="TableContents"/>
              <w:bidi w:val="0"/>
              <w:spacing w:before="0" w:after="283"/>
              <w:jc w:val="left"/>
              <w:rPr/>
            </w:pPr>
            <w:r>
              <w:rPr/>
              <w:t>(4)(5) </w:t>
            </w:r>
          </w:p>
        </w:tc>
      </w:tr>
      <w:tr>
        <w:trPr/>
        <w:tc>
          <w:tcPr>
            <w:tcW w:w="44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stockholders(2)</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40,000</w:t>
            </w:r>
          </w:p>
        </w:tc>
        <w:tc>
          <w:tcPr>
            <w:tcW w:w="592" w:type="dxa"/>
            <w:tcBorders/>
            <w:vAlign w:val="center"/>
          </w:tcPr>
          <w:p>
            <w:pPr>
              <w:pStyle w:val="TableContents"/>
              <w:bidi w:val="0"/>
              <w:spacing w:before="0" w:after="283"/>
              <w:jc w:val="left"/>
              <w:rPr/>
            </w:pPr>
            <w:r>
              <w:rPr/>
              <w:t> </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37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pBdr>
                <w:top w:val="single" w:sz="2" w:space="1" w:color="000000"/>
              </w:pBdr>
              <w:bidi w:val="0"/>
              <w:spacing w:before="0" w:after="0"/>
              <w:jc w:val="left"/>
              <w:rPr/>
            </w:pPr>
            <w:r>
              <w:rPr/>
              <w:t> </w:t>
            </w:r>
          </w:p>
        </w:tc>
        <w:tc>
          <w:tcPr>
            <w:tcW w:w="1253" w:type="dxa"/>
            <w:tcBorders/>
            <w:vAlign w:val="center"/>
          </w:tcPr>
          <w:p>
            <w:pPr>
              <w:pStyle w:val="TableContents"/>
              <w:pBdr>
                <w:top w:val="single" w:sz="2"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pBdr>
                <w:top w:val="single" w:sz="2" w:space="1" w:color="000000"/>
              </w:pBdr>
              <w:bidi w:val="0"/>
              <w:spacing w:before="0" w:after="0"/>
              <w:jc w:val="left"/>
              <w:rPr/>
            </w:pPr>
            <w:r>
              <w:rPr/>
              <w:t> </w:t>
            </w:r>
          </w:p>
        </w:tc>
        <w:tc>
          <w:tcPr>
            <w:tcW w:w="1387" w:type="dxa"/>
            <w:tcBorders/>
            <w:vAlign w:val="center"/>
          </w:tcPr>
          <w:p>
            <w:pPr>
              <w:pStyle w:val="TableContents"/>
              <w:pBdr>
                <w:top w:val="single" w:sz="2" w:space="1" w:color="000000"/>
              </w:pBdr>
              <w:bidi w:val="0"/>
              <w:spacing w:before="0" w:after="0"/>
              <w:jc w:val="left"/>
              <w:rPr/>
            </w:pPr>
            <w:r>
              <w:rPr/>
              <w:t> </w:t>
            </w:r>
          </w:p>
        </w:tc>
        <w:tc>
          <w:tcPr>
            <w:tcW w:w="592" w:type="dxa"/>
            <w:tcBorders/>
            <w:vAlign w:val="center"/>
          </w:tcPr>
          <w:p>
            <w:pPr>
              <w:pStyle w:val="TableContents"/>
              <w:bidi w:val="0"/>
              <w:spacing w:before="0" w:after="283"/>
              <w:jc w:val="left"/>
              <w:rPr/>
            </w:pPr>
            <w:r>
              <w:rPr/>
              <w:t> </w:t>
            </w:r>
          </w:p>
        </w:tc>
      </w:tr>
      <w:tr>
        <w:trPr/>
        <w:tc>
          <w:tcPr>
            <w:tcW w:w="44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1,503,907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 </w:t>
            </w:r>
            <w:r>
              <w:rPr/>
              <w:t>46.59</w:t>
            </w:r>
          </w:p>
        </w:tc>
        <w:tc>
          <w:tcPr>
            <w:tcW w:w="331"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218,299</w:t>
            </w:r>
          </w:p>
        </w:tc>
        <w:tc>
          <w:tcPr>
            <w:tcW w:w="592" w:type="dxa"/>
            <w:tcBorders/>
            <w:shd w:fill="CCEEFF" w:val="clear"/>
            <w:vAlign w:val="center"/>
          </w:tcPr>
          <w:p>
            <w:pPr>
              <w:pStyle w:val="TableContents"/>
              <w:bidi w:val="0"/>
              <w:spacing w:before="0" w:after="283"/>
              <w:jc w:val="left"/>
              <w:rPr/>
            </w:pPr>
            <w:r>
              <w:rPr/>
              <w:t>(4)(5) </w:t>
            </w:r>
          </w:p>
        </w:tc>
      </w:tr>
      <w:tr>
        <w:trPr/>
        <w:tc>
          <w:tcPr>
            <w:tcW w:w="4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double" w:sz="6" w:space="1" w:color="000000"/>
              </w:pBdr>
              <w:bidi w:val="0"/>
              <w:spacing w:before="0" w:after="0"/>
              <w:jc w:val="left"/>
              <w:rPr/>
            </w:pPr>
            <w:r>
              <w:rPr/>
              <w:t> </w:t>
            </w:r>
          </w:p>
        </w:tc>
        <w:tc>
          <w:tcPr>
            <w:tcW w:w="137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pBdr>
                <w:top w:val="double" w:sz="6" w:space="1" w:color="000000"/>
              </w:pBdr>
              <w:bidi w:val="0"/>
              <w:spacing w:before="0" w:after="0"/>
              <w:jc w:val="left"/>
              <w:rPr/>
            </w:pPr>
            <w:r>
              <w:rPr/>
              <w:t> </w:t>
            </w:r>
          </w:p>
        </w:tc>
        <w:tc>
          <w:tcPr>
            <w:tcW w:w="1253" w:type="dxa"/>
            <w:tcBorders/>
            <w:vAlign w:val="center"/>
          </w:tcPr>
          <w:p>
            <w:pPr>
              <w:pStyle w:val="TableContents"/>
              <w:pBdr>
                <w:top w:val="double" w:sz="6"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pBdr>
                <w:top w:val="double" w:sz="6" w:space="1" w:color="000000"/>
              </w:pBdr>
              <w:bidi w:val="0"/>
              <w:spacing w:before="0" w:after="0"/>
              <w:jc w:val="left"/>
              <w:rPr/>
            </w:pPr>
            <w:r>
              <w:rPr/>
              <w:t> </w:t>
            </w:r>
          </w:p>
        </w:tc>
        <w:tc>
          <w:tcPr>
            <w:tcW w:w="1387" w:type="dxa"/>
            <w:tcBorders/>
            <w:vAlign w:val="center"/>
          </w:tcPr>
          <w:p>
            <w:pPr>
              <w:pStyle w:val="TableContents"/>
              <w:pBdr>
                <w:top w:val="double" w:sz="6" w:space="1" w:color="000000"/>
              </w:pBdr>
              <w:bidi w:val="0"/>
              <w:spacing w:before="0" w:after="0"/>
              <w:jc w:val="left"/>
              <w:rPr/>
            </w:pPr>
            <w:r>
              <w:rPr/>
              <w:t> </w:t>
            </w:r>
          </w:p>
        </w:tc>
        <w:tc>
          <w:tcPr>
            <w:tcW w:w="59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850" w:type="dxa"/>
        <w:jc w:val="left"/>
        <w:tblInd w:w="0" w:type="dxa"/>
        <w:tblLayout w:type="fixed"/>
        <w:tblCellMar>
          <w:top w:w="0" w:type="dxa"/>
          <w:left w:w="0" w:type="dxa"/>
          <w:bottom w:w="0" w:type="dxa"/>
          <w:right w:w="0" w:type="dxa"/>
        </w:tblCellMar>
      </w:tblPr>
      <w:tblGrid>
        <w:gridCol w:w="305"/>
        <w:gridCol w:w="9545"/>
      </w:tblGrid>
      <w:tr>
        <w:trPr/>
        <w:tc>
          <w:tcPr>
            <w:tcW w:w="305" w:type="dxa"/>
            <w:tcBorders/>
            <w:vAlign w:val="center"/>
          </w:tcPr>
          <w:p>
            <w:pPr>
              <w:pStyle w:val="TableContents"/>
              <w:bidi w:val="0"/>
              <w:spacing w:before="0" w:after="283"/>
              <w:jc w:val="left"/>
              <w:rPr/>
            </w:pPr>
            <w:r>
              <w:rPr/>
              <w:t>(1)</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following plans: the 2022 Plan, the ESPP, the Scilex Pharma 2017 Plan and the 2019 Stock Option Plan.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283"/>
              <w:jc w:val="left"/>
              <w:rPr/>
            </w:pPr>
            <w:r>
              <w:rPr/>
              <w:t>(2)</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Inducement Plan.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is based on the weighted-average exercise price of vested and unvested stock options outstanding under the 2022 Plan, the Scilex Pharma 2017 Plan and the 2019 Stock Option Plan.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 total of 13,221 shares of our Common Stock were reserved for future issuance pursuant to the 2022 Plan, the Scilex Pharma 2017 Plan and the 2019 Stock Option Plan, which number excludes the 208,895 shares that were added to the 2022 Plan as a result of the automatic annual increase on January 1, 2026. The 2022 Plan provides that the number of shares of our Common Stock reserved and available for issuance under the 2022 Plan will automatically increase on January 1 of each year for a period of ten years, beginning on January 1, 2023 and ending on (and including) January 1, 2032, in an amount equal to the lesser of (A) 4% of the total number of shares of our Common Stock outstanding on December 31 of the immediately preceding year, (B) 208,895 shares of our Common Stock (subject to the adjustment for recapitalizations, stock splits, stock dividends and similar transactions), and (C) such number of shares of our Common Stock determined by our Board or our Compensation Committee prior to January 1 of a given year. All of the foregoing share numbers are subject to adjustment in the event of a stock split, stock dividend or other change in our capitalization. Shares subject to awards granted under the 2022 Plan that expire or terminate without being exercised in full will not reduce the number of shares available for issuance under the 2022 Plan. The settlement of any portion of an award in cash will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reduce the number of shares available for issuance under the 2022 Plan. Shares of our Common Stock withheld under an award to satisfy. The exercise, strike or purchase price of an award or to satisfy a tax withholding obligation will not reduce the number of shares available for issuance under the 2022 Plan. With respect to a stock appreciation right, only shares of our Common Stock that are issued upon settlement of the stock appreciation right will count towards reducing the number of shares available for issuance under the 2022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2022 Plan. The Company no longer makes grants under the Scilex Pharma 2017 Plan or the 2019 Stock Option Plan.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 total of 165,078 shares of our Common Stock have been reserved for future issuance pursuant to the ESPP, which number excludes the 52,223 shares that were added to the ESPP as a result of the automatic annual increase on January 1, 2026. The ESPP provides that the number of shares of our Common Stock reserved and available for issuance under the ESPP will automatically increase on January 1 of each year for a period of up to ten years, commencing on January 1, 2023 and ending on (and including) January 1, 2032, in an amount equal to the lesser of (A) 1% of the total number of shares of our Common Stock outstanding on December 31 of the immediately preceding calendar year, (B) 52,223 shares of our Common Stock (subject to the adjustment for recapitalizations, stock splits, stock dividends and similar transactions), and (C) such number of shares of our Common Stock determined by our Board or our Compensation Committee prior to January 1 of a given year, provided however, that our Board may act prior to January 1 of a given calendar year to provide that there will be no increase for such calendar year or the increase for such year will be a lesser number of shares than the amount set forth in clauses (A) to (C)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46109_10"/>
      <w:bookmarkEnd w:id="12"/>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Record Date by: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known to be the beneficial owner of more than 5% of our outstanding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named in the Summary Compensation Table included under “Executive Compensation” herein;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nominee; and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current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the Record Date are considered outstanding and beneficially owned by the person holding such options or warrants for the purpose of computing the percentage ownership of that person,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our Common Stock is based on 8,491,267 shares of such common stock outstanding as of the Record Date. Voting power is based on 8,491,267 shares of Common Stock and 29,057,097 shares of Series A Preferred Stock outstanding as of the Record Date, with the Series A Preferred Stock entitled to an aggregate of 848,106 votes as a result of adjustments to the deemed conversion price of such preferred stock in accordance with the terms of the Certificate of Designations. Shares of Series A Preferred Stock are held solely by SCLX Stock Acquisition JV LLC, our indirect wholly owned subsidiary (“SCLX JV”).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we believe, based on information available to us, that all persons and entities named in the table have sole voting and investment power with respect to all shares shown as beneficially owned by them.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49"/>
        <w:gridCol w:w="120"/>
        <w:gridCol w:w="68"/>
        <w:gridCol w:w="1122"/>
        <w:gridCol w:w="397"/>
        <w:gridCol w:w="60"/>
        <w:gridCol w:w="115"/>
        <w:gridCol w:w="850"/>
        <w:gridCol w:w="275"/>
        <w:gridCol w:w="60"/>
        <w:gridCol w:w="73"/>
        <w:gridCol w:w="1221"/>
        <w:gridCol w:w="66"/>
        <w:gridCol w:w="132"/>
        <w:gridCol w:w="81"/>
        <w:gridCol w:w="929"/>
        <w:gridCol w:w="275"/>
        <w:gridCol w:w="60"/>
        <w:gridCol w:w="67"/>
        <w:gridCol w:w="493"/>
        <w:gridCol w:w="292"/>
      </w:tblGrid>
      <w:tr>
        <w:trPr/>
        <w:tc>
          <w:tcPr>
            <w:tcW w:w="3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4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 Preferred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3449" w:type="dxa"/>
            <w:tcBorders/>
            <w:vAlign w:val="center"/>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Name and Address of Beneficial Owner(1)</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br/>
              <w:t>Beneficially</w:t>
              <w:br/>
              <w:t>Owned</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br/>
              <w:t>Common</w:t>
              <w:br/>
              <w:t>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A</w:t>
              <w:br/>
              <w:t>Preferred</w:t>
              <w:br/>
              <w:t>Stock</w:t>
              <w:br/>
              <w:t>Beneficially</w:t>
              <w:br/>
              <w:t>Owned</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br/>
              <w:t>Series A</w:t>
              <w:br/>
              <w:t>Preferred</w:t>
              <w:br/>
              <w:t>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br/>
              <w:t>Vote</w:t>
            </w:r>
          </w:p>
        </w:tc>
        <w:tc>
          <w:tcPr>
            <w:tcW w:w="292" w:type="dxa"/>
            <w:tcBorders/>
            <w:vAlign w:val="center"/>
          </w:tcPr>
          <w:p>
            <w:pPr>
              <w:pStyle w:val="TableContents"/>
              <w:bidi w:val="0"/>
              <w:spacing w:before="0" w:after="283"/>
              <w:jc w:val="left"/>
              <w:rPr/>
            </w:pPr>
            <w:r>
              <w:rPr/>
              <w:t> </w:t>
            </w:r>
          </w:p>
        </w:tc>
      </w:tr>
      <w:tr>
        <w:trPr/>
        <w:tc>
          <w:tcPr>
            <w:tcW w:w="3449"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34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Shah(2)</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331,043</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3.4</w:t>
            </w:r>
          </w:p>
        </w:tc>
        <w:tc>
          <w:tcPr>
            <w:tcW w:w="292" w:type="dxa"/>
            <w:tcBorders/>
            <w:vAlign w:val="center"/>
          </w:tcPr>
          <w:p>
            <w:pPr>
              <w:pStyle w:val="TableContents"/>
              <w:bidi w:val="0"/>
              <w:spacing w:before="0" w:after="283"/>
              <w:jc w:val="left"/>
              <w:rPr/>
            </w:pPr>
            <w:r>
              <w:rPr/>
              <w:t>% </w:t>
            </w:r>
          </w:p>
        </w:tc>
      </w:tr>
      <w:tr>
        <w:trPr/>
        <w:tc>
          <w:tcPr>
            <w:tcW w:w="34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Ph.D.(3)</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320,697</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3.3</w:t>
            </w:r>
          </w:p>
        </w:tc>
        <w:tc>
          <w:tcPr>
            <w:tcW w:w="292" w:type="dxa"/>
            <w:tcBorders/>
            <w:shd w:fill="CCEEFF" w:val="clear"/>
            <w:vAlign w:val="center"/>
          </w:tcPr>
          <w:p>
            <w:pPr>
              <w:pStyle w:val="TableContents"/>
              <w:bidi w:val="0"/>
              <w:spacing w:before="0" w:after="283"/>
              <w:jc w:val="left"/>
              <w:rPr/>
            </w:pPr>
            <w:r>
              <w:rPr/>
              <w:t>% </w:t>
            </w:r>
          </w:p>
        </w:tc>
      </w:tr>
      <w:tr>
        <w:trPr/>
        <w:tc>
          <w:tcPr>
            <w:tcW w:w="34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Ma(4)</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25,362</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34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Ph.D.(5)</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14,023</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jc w:val="left"/>
              <w:rPr/>
            </w:pPr>
            <w:r>
              <w:rPr/>
              <w:t> </w:t>
            </w:r>
          </w:p>
        </w:tc>
      </w:tr>
      <w:tr>
        <w:trPr/>
        <w:tc>
          <w:tcPr>
            <w:tcW w:w="34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Followwill(6)</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13,152</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34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Ph.D.(7)</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23,068</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jc w:val="left"/>
              <w:rPr/>
            </w:pPr>
            <w:r>
              <w:rPr/>
              <w:t> </w:t>
            </w:r>
          </w:p>
        </w:tc>
      </w:tr>
      <w:tr>
        <w:trPr/>
        <w:tc>
          <w:tcPr>
            <w:tcW w:w="344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Directors and Executive Officers as a Group (5 individuals)(8)</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396,302</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4.1</w:t>
            </w:r>
          </w:p>
        </w:tc>
        <w:tc>
          <w:tcPr>
            <w:tcW w:w="292" w:type="dxa"/>
            <w:tcBorders/>
            <w:vAlign w:val="center"/>
          </w:tcPr>
          <w:p>
            <w:pPr>
              <w:pStyle w:val="TableContents"/>
              <w:bidi w:val="0"/>
              <w:spacing w:before="0" w:after="283"/>
              <w:jc w:val="left"/>
              <w:rPr/>
            </w:pPr>
            <w:r>
              <w:rPr/>
              <w:t>% </w:t>
            </w:r>
          </w:p>
        </w:tc>
      </w:tr>
      <w:tr>
        <w:trPr/>
        <w:tc>
          <w:tcPr>
            <w:tcW w:w="3449"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5% Beneficial Owners</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34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SCLX Stock Acquisition JV LLC</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1,472,281</w:t>
            </w:r>
          </w:p>
        </w:tc>
        <w:tc>
          <w:tcPr>
            <w:tcW w:w="397"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29,057,097</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right"/>
              <w:rPr/>
            </w:pPr>
            <w:r>
              <w:rPr/>
              <w:t>24.8</w:t>
            </w:r>
          </w:p>
        </w:tc>
        <w:tc>
          <w:tcPr>
            <w:tcW w:w="292" w:type="dxa"/>
            <w:tcBorders/>
            <w:vAlign w:val="center"/>
          </w:tcPr>
          <w:p>
            <w:pPr>
              <w:pStyle w:val="TableContents"/>
              <w:bidi w:val="0"/>
              <w:spacing w:before="0" w:after="283"/>
              <w:jc w:val="left"/>
              <w:rPr/>
            </w:pPr>
            <w:r>
              <w:rPr/>
              <w:t>% </w:t>
            </w:r>
          </w:p>
        </w:tc>
      </w:tr>
      <w:tr>
        <w:trPr/>
        <w:tc>
          <w:tcPr>
            <w:tcW w:w="34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Armistice Capital LLC</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517,217</w:t>
            </w:r>
          </w:p>
        </w:tc>
        <w:tc>
          <w:tcPr>
            <w:tcW w:w="397"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5.5</w:t>
            </w:r>
          </w:p>
        </w:tc>
        <w:tc>
          <w:tcPr>
            <w:tcW w:w="292"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each of the following individuals is 960 San Antonio Road, Palo Alto, CA 94303.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322,610 shares subject to options exercisable within 60 days of the Record Date and 8,433 shares held directly. Mr. Shah resigned as Chief Executive Officer and President effective as of August 17, 2025 and as a director effective as of September 22,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301,327 shares subject to options exercisable within 60 days of the Record Date, an aggregate of 9,146 shares held through an entity owned by Dr. Ji, 1,713 shares held through an entity owned by BioVintage, Inc., 161 shares held by Dr. Ji’s spouse and an aggregate of 8,350 shares held by family trusts for the benefit of Dr. Ji, his spouse and his children. </w:t>
            </w:r>
          </w:p>
        </w:tc>
      </w:tr>
    </w:tbl>
    <w:tbl>
      <w:tblPr>
        <w:tblW w:w="10060" w:type="dxa"/>
        <w:jc w:val="left"/>
        <w:tblInd w:w="0" w:type="dxa"/>
        <w:tblLayout w:type="fixed"/>
        <w:tblCellMar>
          <w:top w:w="0" w:type="dxa"/>
          <w:left w:w="0" w:type="dxa"/>
          <w:bottom w:w="0" w:type="dxa"/>
          <w:right w:w="0" w:type="dxa"/>
        </w:tblCellMar>
      </w:tblPr>
      <w:tblGrid>
        <w:gridCol w:w="305"/>
        <w:gridCol w:w="9755"/>
      </w:tblGrid>
      <w:tr>
        <w:trPr/>
        <w:tc>
          <w:tcPr>
            <w:tcW w:w="305" w:type="dxa"/>
            <w:tcBorders/>
            <w:vAlign w:val="center"/>
          </w:tcPr>
          <w:p>
            <w:pPr>
              <w:pStyle w:val="TableContents"/>
              <w:bidi w:val="0"/>
              <w:spacing w:before="0" w:after="283"/>
              <w:jc w:val="left"/>
              <w:rPr/>
            </w:pPr>
            <w:r>
              <w:rPr/>
              <w:t>(4)</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24,710 shares subject to options exercisable within 60 days of the Record Date and 652 shares held directly.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(5)</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10,809 shares subject to options exercisable within 60 days of the Record Date and 3,214 shares held directly. </w:t>
            </w:r>
          </w:p>
        </w:tc>
      </w:tr>
    </w:tbl>
    <w:tbl>
      <w:tblPr>
        <w:tblW w:w="9955" w:type="dxa"/>
        <w:jc w:val="left"/>
        <w:tblInd w:w="0" w:type="dxa"/>
        <w:tblLayout w:type="fixed"/>
        <w:tblCellMar>
          <w:top w:w="0" w:type="dxa"/>
          <w:left w:w="0" w:type="dxa"/>
          <w:bottom w:w="0" w:type="dxa"/>
          <w:right w:w="0" w:type="dxa"/>
        </w:tblCellMar>
      </w:tblPr>
      <w:tblGrid>
        <w:gridCol w:w="305"/>
        <w:gridCol w:w="9650"/>
      </w:tblGrid>
      <w:tr>
        <w:trPr/>
        <w:tc>
          <w:tcPr>
            <w:tcW w:w="305" w:type="dxa"/>
            <w:tcBorders/>
            <w:vAlign w:val="center"/>
          </w:tcPr>
          <w:p>
            <w:pPr>
              <w:pStyle w:val="TableContents"/>
              <w:bidi w:val="0"/>
              <w:spacing w:before="0" w:after="283"/>
              <w:jc w:val="left"/>
              <w:rPr/>
            </w:pPr>
            <w:r>
              <w:rPr/>
              <w:t>(6)</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13,087 shares subject to options exercisable within 60 days of the Record Date and 65 shares held directly. </w:t>
            </w:r>
          </w:p>
        </w:tc>
      </w:tr>
    </w:tbl>
    <w:tbl>
      <w:tblPr>
        <w:tblW w:w="10060" w:type="dxa"/>
        <w:jc w:val="left"/>
        <w:tblInd w:w="0" w:type="dxa"/>
        <w:tblLayout w:type="fixed"/>
        <w:tblCellMar>
          <w:top w:w="0" w:type="dxa"/>
          <w:left w:w="0" w:type="dxa"/>
          <w:bottom w:w="0" w:type="dxa"/>
          <w:right w:w="0" w:type="dxa"/>
        </w:tblCellMar>
      </w:tblPr>
      <w:tblGrid>
        <w:gridCol w:w="305"/>
        <w:gridCol w:w="9755"/>
      </w:tblGrid>
      <w:tr>
        <w:trPr/>
        <w:tc>
          <w:tcPr>
            <w:tcW w:w="305" w:type="dxa"/>
            <w:tcBorders/>
            <w:vAlign w:val="center"/>
          </w:tcPr>
          <w:p>
            <w:pPr>
              <w:pStyle w:val="TableContents"/>
              <w:bidi w:val="0"/>
              <w:spacing w:before="0" w:after="283"/>
              <w:jc w:val="left"/>
              <w:rPr/>
            </w:pPr>
            <w:r>
              <w:rPr/>
              <w:t>(7)</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22,354 shares subject to options exercisable within 60 days of the Record Date and 714 shares held directly.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Mr. Shah, who resigned as Chief Executive Officer and President effective as of August 17, 2025 and as a director effective as of September 22,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(9)</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1,458,263 shares of Common Stock held directly and (b) 14,018 shares underlying the Private Warrants (as defined in the Company’s Annual Report on Form 10-K, as amended, for the fiscal year ended December 31, 2024 (the “2024 Form 10-K”)) held by SCLX JV, all of which are currently exercisable, in each case, transferred to SCLX JV in connection with the purchase from Sorrento of (i) 1,716,245 shares of Common Stock, (ii) 29,057,097 shares of Series A Preferred Stock, and (iii) warrants exercisable for 128,304 shares of Common Stock, each with an exercise price of $402.50 per whole share. Does not include any shares of Series A Preferred Stock. SCLX JV holds 490,617 Private Warrants. In connection with the Reverse Stock Split, the SPAC Warrants (as defined in the 2024 Form 10-K and which include the Private Warrants) were adjusted in accordance with their terms such that the number of SPAC Warrants outstanding was unchanged, but each SPAC Warrant now entitles the holder to purchase 1/35th of a share of Common Stock at an exercise price of $402.50 per whole share (provided that in no event shall the holder of any such warrants be entitled, upon the exercise of such warrants, to receive a fractional interest in a share of Common Stock upon such exercise and the Company shall, upon such exercise, round up to the nearest whole number of shares of Common Stock to be issued to such holder). Accordingly, the Private Warrants held by SCLX JV are currently exercisable for 14,018 shares of Common Stock. The voting and dispositive power of the equity securities of the Company (including the Series A Preferred Stock) held by SCLX JV are subject to the control of an independent manager, Xiao Xu, until such time as the Oramed Note and any Additional Notes (each as defined below) are paid in full. The business address of SCLX Stock Acquisition JV LLC is 960 San Antonio Road, Palo Alto, CA 94303.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(10)</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517,217 shares of Common Stock held directly. This excludes an aggregate of 1,832,418 shares underlying certain warrants to purchase Common Stock held by the Selling Stockholder comprised of: (i) 475,824 shares underlying certain warrants issued in connection with our December 2024 registered direct offering and (ii) 1,356,594 shares underlying the certain warrants issued in November 2025. The warrants are subject to a beneficial ownership limitation of 4.99%, and the number of shares of Common Stock set forth in the table above gives effect to such limitation.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46109_11"/>
      <w:bookmarkEnd w:id="13"/>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The following is a summary of transactions since January 1, 2024 and any currently proposed transactions to which the Company was or is to be a participant in which the amount involved exceeded or will exceed $120,000 or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sections of this Proxy Statement titled “</w:t>
      </w:r>
      <w:r>
        <w:rPr>
          <w:rFonts w:ascii="Times New Roman" w:hAnsi="Times New Roman"/>
          <w:i/>
          <w:sz w:val="20"/>
        </w:rPr>
        <w:t xml:space="preserve">Executive Compensation” </w:t>
      </w:r>
      <w:r>
        <w:rPr>
          <w:rFonts w:ascii="Times New Roman" w:hAnsi="Times New Roman"/>
          <w:sz w:val="20"/>
        </w:rPr>
        <w:t>and “</w:t>
      </w:r>
      <w:r>
        <w:rPr>
          <w:rFonts w:ascii="Times New Roman" w:hAnsi="Times New Roman"/>
          <w:i/>
          <w:sz w:val="20"/>
        </w:rPr>
        <w:t>Non-Employee Director Compensation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Subsidiary Guarantee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in connection with the Scilex-Oramed SPA, we and each of our subsidiaries (collectively, the “Guarantors”) entered into a subsidiary guarantee (the “Subsidiary Guarantee”) with Oramed (together with its successors and permitted assigns, the “Holder”) and Acquiom Agency Services LLC, as the collateral agent (the “Agent”) for the holder of the senior secured promissory note due 18 months from the date of issuance in the principal amount of $101,875,000 issued pursuant to the Scilex-Oramed SPA (the “Oramed Note”), pursuant to which, the Guarantors have agreed to guarantee and act as surety for payment of the Oramed Note and any additional notes issued by us after the closing date of the transactions contemplated by the Scilex-Oramed SPA in full or partial substitution of the Oramed Note (the “Additional Notes”). </w:t>
      </w:r>
    </w:p>
    <w:p>
      <w:pPr>
        <w:pStyle w:val="TextBody"/>
        <w:bidi w:val="0"/>
        <w:spacing w:before="240" w:after="0"/>
        <w:jc w:val="left"/>
        <w:rPr>
          <w:rFonts w:ascii="Times New Roman" w:hAnsi="Times New Roman"/>
          <w:sz w:val="20"/>
        </w:rPr>
      </w:pPr>
      <w:r>
        <w:rPr>
          <w:rFonts w:ascii="Times New Roman" w:hAnsi="Times New Roman"/>
          <w:sz w:val="20"/>
        </w:rPr>
        <w:t>In connection with the refinancing disclosed below under “</w:t>
      </w:r>
      <w:r>
        <w:rPr>
          <w:rFonts w:ascii="Times New Roman" w:hAnsi="Times New Roman"/>
          <w:i/>
          <w:sz w:val="20"/>
        </w:rPr>
        <w:t>October 2024 — Registered Convertible Financing</w:t>
      </w:r>
      <w:r>
        <w:rPr>
          <w:rFonts w:ascii="Times New Roman" w:hAnsi="Times New Roman"/>
          <w:sz w:val="20"/>
        </w:rPr>
        <w:t xml:space="preserve">”, our Company, the Guarantors, Oramed and the Agent agreed to amend the Subsidiary Guarantee by entering into the Subsidiary Guarantee Amendment (the “Subsidiary Guarantee Amendment”), dated October 8, 2024, to reflect the refinancing arrangement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Subsidiary Guarantee and the Subsidiary Guarantee Amendment do not purport to be complete and are qualified in their entirety by reference to the full text of the Subsidiary Guarantee and the Subsidiary Guarantee Amendment, a copy of each of which is filed as an exhibit to our Current Report on Form 8-K filed on September 26, 2023 and October 8,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we and the Guarantors entered into a security agreement (the “Security Agreement”) with the Holder and the Agent, pursuant to which we and the Guarantors granted to the Agent (on behalf of and for the benefit of the holder of the Oramed Note and any Additional Notes) a security interest in all or substantially all of our and each Guarantor’s property, respectively, to secure the prompt payment, performance and discharge in full of all of our obligations under the Oramed Note and Additional Notes and the Guarantors’ obligations under the Subsidiary Guarantee, subject to certain customary limitations. The Security Agreement contains certain customary representations, warranties and covenants regarding the collateral thereunder, in each case as more fully set forth in the Security Agreement. </w:t>
      </w:r>
    </w:p>
    <w:p>
      <w:pPr>
        <w:pStyle w:val="TextBody"/>
        <w:bidi w:val="0"/>
        <w:spacing w:before="240" w:after="0"/>
        <w:jc w:val="left"/>
        <w:rPr>
          <w:rFonts w:ascii="Times New Roman" w:hAnsi="Times New Roman"/>
          <w:sz w:val="20"/>
        </w:rPr>
      </w:pPr>
      <w:r>
        <w:rPr>
          <w:rFonts w:ascii="Times New Roman" w:hAnsi="Times New Roman"/>
          <w:sz w:val="20"/>
        </w:rPr>
        <w:t>In connection with the refinancing disclosed below under “</w:t>
      </w:r>
      <w:r>
        <w:rPr>
          <w:rFonts w:ascii="Times New Roman" w:hAnsi="Times New Roman"/>
          <w:i/>
          <w:sz w:val="20"/>
        </w:rPr>
        <w:t>October 2024 — Registered Convertible Financing</w:t>
      </w:r>
      <w:r>
        <w:rPr>
          <w:rFonts w:ascii="Times New Roman" w:hAnsi="Times New Roman"/>
          <w:sz w:val="20"/>
        </w:rPr>
        <w:t xml:space="preserve">”, we, the Guarantors, Oramed and the Agent agreed to amend and restate the Security Agreement by entering into the Amended and Restated Security Agreement (the “Amended and Restated Security Agreement”), dated October 8, 2024, to grant to the Agent (on behalf of and for the benefit of the holder of the Oramed Note, any Additional Notes and the Tranche B Notes) a security interest in all or substantially all of the property of our Company and each Guarantor, respectively, to secure the prompt payment, performance and discharge in full of all of our Company’s obligations under the Tranche B Notes in addition to the obligations under the Oramed Note, the Additional Notes and the Guarantors’ obligations under the Subsidiary Guarantee, which had previously been secured under the Security Agreement, subject to certain customary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Amended and Restated Security Agreement, Semnur will be excluded as a Guarantor after the consummation of the business combination contemplated by that certain agreement and plan of merger between Semnur, Denali Capital Acquisition Corp. and Denali Merger Sub Inc.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Security Agreement and the Amended and Restated Security Agreement do not purport to be complete and are qualified in their entirety by reference to the full text of the Security Agreement and the Amended and Restated Security Agreement, a copy of each of which is filed as an exhibit to our Current Report on Form 8-K filed on September 26, 2023 and October 8,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ABL Subordination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Scilex Pharma entered into a subordination agreement (the “ABL Subordination Agreement”) with eCapital Healthcare Corp. (the “ABL Lender”) and the Agent. Pursuant to the ABL Subordination Agreement, the parties agreed that ABL Lender’s rights and interests under that certain Credit and Security Agreement, dated as of June 27, 2023 (as may be amended, restated, supplemented or otherwise modified from time to time, the “eCapital Credit Agreement”) previously entered into between Scilex Pharma and ABL Lender will be secured by first priority liens on certain collateral (the “ABL Priority Collateral”) and the Agent’s rights and interests under the Subsidiary Guarantee shall be secured by first priority liens on certain other collateral and second priority liens on the ABL Priority Collateral. Among other customary interlender terms, the ABL Subordination Agreement requires that the Facility Cap (as defined in the eCapital Credit Agreement) shall not exceed $30,000,000.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2024, Scilex Pharma paid off the outstanding amount of all obligations and indebtedness of Scilex Pharma owing to the ABL Lender under the eCapital Credit Agreement. Accordingly, the eCapital Credit Agreement, the related Loan Documents (as defined in the eCapital Credit Agreement) and the Subordination Agreement were terminated, canceled and are of no further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ABL Subordination Agreement is not complete and is qualified in its entirety by reference to the full text of the ABL Subordination Agreement, a copy of which is filed as an exhibit to our Current Report on Form 8-K filed on September 26,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October 2024 — Registered Convertible Financing </w:t>
      </w:r>
    </w:p>
    <w:p>
      <w:pPr>
        <w:pStyle w:val="TextBody"/>
        <w:bidi w:val="0"/>
        <w:spacing w:before="120" w:after="0"/>
        <w:jc w:val="left"/>
        <w:rPr>
          <w:rFonts w:ascii="Times New Roman" w:hAnsi="Times New Roman"/>
          <w:i/>
          <w:sz w:val="20"/>
        </w:rPr>
      </w:pPr>
      <w:r>
        <w:rPr>
          <w:rFonts w:ascii="Times New Roman" w:hAnsi="Times New Roman"/>
          <w:i/>
          <w:sz w:val="20"/>
        </w:rPr>
        <w:t xml:space="preserve">Tranche B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we entered into a Securities Purchase Agreement (the “Tranche B Securities Purchase Agreement”) with certain institutional investors (collectively, the “Investors”) and Oramed (which beneficially owns more than 5% of our Common Stock, and together with the Investors, the “Buyers”), to refinance a portion of the Oramed Note and pay off certain other indebtedness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Tranche B Securities Purchase Agreement, we agreed to issue and sell, in a registered offering by the Company directly to the Buyers, (i) a new tranche B of senior secured convertible notes of the Company in the aggregate principal amount of $50,000,000 (the “Tranche B Notes”), which Notes will be convertible into shares of Common Stock and (ii) warrants (the “October 2024 Noteholder Warrants”) to purchase up to 214,284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Tranche B Securities Purchase Agreement, we agreed that so long as any Notes remain outstanding, we and each of our subsidiaries will not effect or enter into an agreement to effect any issuance of shares of Common Stock or Common Stock equivalents involving a variable rate transaction; provided that the foregoing restriction will not apply to our prior at-the-market offering program, which has been terminated as of March 5,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terms and conditions contained in the Tranche B Securities Purchase Agreement, we also agreed to reimburse the Investors for all reasonable costs and expenses incurred by it or its affiliates in connection with the Tranche B Securities Purchase Agreement, the Tranche B Notes, the October 2024 Noteholder Warrants, the ZTlido Royalty Purchase Agreement (as defined below) and certain other transaction documents, and an aggregate amount of $950,000 non-accountable legal fees of outside counsel and special finance and collateral counsel, which shall be withheld by the Investors from its purchase price at the closing of the transaction, less $20,000 previously paid by us. We were also responsible for the payment of a $2,000,000 fee to the placement agent in addition to the payment of any placement agent’s reasonable fees, financial advisory fees relating to or arising out of the transactions contemplated by the Tranche B Securities Purchase Agreement. In addition, in conjunction with and pursuant to the Consent and Amendment under Senior Secured Promissory Note we entered into with Oramed, dated October 8, 2024 (the “Letter Agreement”), we were also responsible for the payment of legal fees of outside counsel for Oramed relating to or arising out of the transactions contemplated by the Tranche B Securities Purchase Agreement and the payment date extensions described under the Letter Agreement (as defined below). We were also responsible for the payment of any fees of the Agent and the legal fees incurred thereby relating to or arising out of the transactions contemplated by the Tranche B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Tranche B Securities Purchase Agreement does not purport to be complete and is qualified in its entirety by reference to the full text of the Tranche B Securities Purchase Agreement, a copy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to Scilex-Oramed SPA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Tranche B Securities Purchase Agreement, on October 8, 2024, we entered into Amendment No. 1 to Securities Purchase Agreement (the “Amendment No. 1 to Scilex-Oramed SPA”) with Oramed and the Agent. The Amendment No. 1 to Scilex-Oramed SPA was entered into to account for the issuance of the Tranche B Notes and the execution of certain related documents including the ZTlido Subordination Agreement (as defined below) and an agreement among the holders of the Tranche B Notes addressing the allocation of various rights and obligations as among the holders of the Tranche B Notes and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Amendment No. 1 to Scilex-Oramed SPA does not purport to be complete and is qualified in its entirety by reference to the full text of the Amendment No. 1 to Scilex-Oramed SPA, a copy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Senior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balance of the Tranche B Notes is $50,000,000. The aggregate purchase price for the Tranche B Notes and the related warrants (described below) is $45,000,000. The Tranche B Notes have an original issue discount of 10.0%. We received in exchange for the issuance of the Tranche B Notes to the Investors an aggregate amount in cash equal to $22,500,000, excluding fees and expenses (as noted above) from the Investors. We received from Oramed in consideration for the Note issued to Oramed an exchange and reduction of the principal balance under Oramed Note of an equivalent amount. The Tranche B Notes bear interest at a rate of 5.5% per annum, payable in arrears on the first trading day of each calendar quarter, beginning January 2, 2025, payable, at our option, either in cash or in shares of Common Stock,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converted or redeemed, the Tranche B Notes mature on the two-year anniversary of the issuance date (the “Maturity Date”), subject to extension at the option of the holder in certain circumstances as provided in the Tranche B Note. All amounts due under the Tranche B Note are convertible at any time, in whole or in part, and subject to certain beneficial ownership limitations, at the option of the holder into shares of Common Stock at the current conversion price equal to $36.40 per share, subject to adjustment as described in the Tranche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The Tranche B Notes are our senior secured obligation (alongside and in certain circumstances described herein subordinate to, the Oramed Note) and rank senior to the right to payment of the holders of our unsecured debt, except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issuance, all amounts due under the Tranche B Notes are convertible, in whole or in part, at the holder’s option, into Common Stock at the current conversion price of $36.40 per share (the “Conversion Price”), which is subject to (i) proportional adjustment upon the occurrence of any stock split, stock dividend, stock combination and/or similar transactions; and (ii) full-ratchet adjustment (down to the Conversion Price Floor (as defined below)) in connection with a subsequent offering at a per share price less than the fixed conversion price then in effect. The Conversion Price cannot be lower than $36.40 per share (as adjusted for stock splits, stock dividends, stock combinations, recapitalizations and similar events, the “Conversion Price Floor”) unless shareholder approval is obtained to allow the Tranche B Notes to convert at a price lower than the Conversion Price Floor in accordance with the Nasdaq listing rules. We are under no obligation to seek or obtain such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Tranche B Notes held by an individual holder of the Tranche B Notes may not be converted into shares of Common Stock to the extent such conversion would result in holder (together with certain related parties of holder) would beneficially own in excess of 4.99% (the “Maximum Percentage”) of shares of the Common Stock outstanding immediately after giving effect to such conversion. The Maximum Percentage with respect to a holder and certain related parties may be raised or lowered to any other percentage not in excess of 9.99%, at the option of the holder, except that any increase will only be effective upon 61 days’ prior notice to us.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(assuming no failure of certain specific conditions relating to our equity) to redeem in cash all, but not less than all, the amount then outstanding under the Tranche B Notes at a 35% redemption premium to the greater of (i) the amount then outstanding under the Tranche B Notes to be redeemed, and (ii) the equity value of Common Stock underlying such Tranche B Notes. We have a mandatory obligation to redeem the Tranche B Notes upon an event of default bankruptcy. </w:t>
      </w:r>
    </w:p>
    <w:p>
      <w:pPr>
        <w:pStyle w:val="TextBody"/>
        <w:bidi w:val="0"/>
        <w:spacing w:before="240" w:after="0"/>
        <w:jc w:val="left"/>
        <w:rPr>
          <w:rFonts w:ascii="Times New Roman" w:hAnsi="Times New Roman"/>
          <w:sz w:val="20"/>
        </w:rPr>
      </w:pPr>
      <w:r>
        <w:rPr>
          <w:rFonts w:ascii="Times New Roman" w:hAnsi="Times New Roman"/>
          <w:sz w:val="20"/>
        </w:rPr>
        <w:t xml:space="preserve">The Tranche B Notes are subject to redemption by our Company at the election of a holder in certain circumstances as more fully described therein, including, among other events, a change of control of our Company, a subsequent placement of certain securities of our Company, and asset sales by our Company. </w:t>
      </w:r>
    </w:p>
    <w:p>
      <w:pPr>
        <w:pStyle w:val="TextBody"/>
        <w:bidi w:val="0"/>
        <w:spacing w:before="240" w:after="0"/>
        <w:jc w:val="left"/>
        <w:rPr>
          <w:rFonts w:ascii="Times New Roman" w:hAnsi="Times New Roman"/>
          <w:sz w:val="20"/>
        </w:rPr>
      </w:pPr>
      <w:r>
        <w:rPr>
          <w:rFonts w:ascii="Times New Roman" w:hAnsi="Times New Roman"/>
          <w:sz w:val="20"/>
        </w:rPr>
        <w:t xml:space="preserve">The Tranche B Notes contain affirmative and negative covenants binding on our Company and our subsidiaries which restrict, among other things, our Company and our subsidiaries from incurring indebtedness or liens, redeeming securities, repaying certain indebtedness or declaring or paying any cash dividend or distribution, selling or disposing of any assets or rights of our Company and our subsidiaries, entering into or being a party to any transactions with any affiliates, incurring or guaranteeing any indebtedness or permitting the acceleration of any indebtedness, in each case as more fully set forth in, and subject to certain qualifications, exceptions, and “baskets” set forth in the Oramed Note. In addition, at the request of the holder, not more frequently than once per fiscal year, we will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Tranche B Notes contain certain customary events of default, including, without limitation, a cross-default to other specified indebtedness or any other indebtedness involving an obligation of $5,000,000 or more. The interest rate of the Tranche B Notes automatically increases to 15.0% per annum (the “Default Rate”) upon the occurrence and continuance of an event of default. We are also required to pay a late charge of 15.0% on any amount of principal or other amounts that are not paid when due (solely to the extent such amounts are not then accruing interest at the Default Rate). </w:t>
      </w:r>
    </w:p>
    <w:p>
      <w:pPr>
        <w:pStyle w:val="TextBody"/>
        <w:bidi w:val="0"/>
        <w:spacing w:before="240" w:after="0"/>
        <w:jc w:val="left"/>
        <w:rPr>
          <w:rFonts w:ascii="Times New Roman" w:hAnsi="Times New Roman"/>
          <w:sz w:val="20"/>
        </w:rPr>
      </w:pPr>
      <w:r>
        <w:rPr>
          <w:rFonts w:ascii="Times New Roman" w:hAnsi="Times New Roman"/>
          <w:sz w:val="20"/>
        </w:rPr>
        <w:t xml:space="preserve">The Tranche B Notes prohibit our Company from entering into specified fundamental transactions unless the successor entity assumes all of our obligations under the Tranche B Notes under a written agreement approved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As noted above, the holders of the Tranche B Notes have certain redemption rights upon a fundamental transaction constituting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amortization, certain redemptions or other repayment of the Tranche B Notes, we will also pay an amount equal to the amount of additional interest that would accrue under such Notes at the interest rate then in effect assuming that the amount so converted, redeemed, amortized or otherwise repaid on such date of determination instead remained outstanding through and including the Maturity Date of such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Tranche B Notes does not purport to be complete and is qualified in its entirety by reference to the full text of the Tranche B Notes, the form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October 2024 Noteholder Warrants </w:t>
      </w:r>
    </w:p>
    <w:p>
      <w:pPr>
        <w:pStyle w:val="TextBody"/>
        <w:bidi w:val="0"/>
        <w:spacing w:before="120" w:after="0"/>
        <w:jc w:val="left"/>
        <w:rPr>
          <w:rFonts w:ascii="Times New Roman" w:hAnsi="Times New Roman"/>
          <w:sz w:val="20"/>
        </w:rPr>
      </w:pPr>
      <w:r>
        <w:rPr>
          <w:rFonts w:ascii="Times New Roman" w:hAnsi="Times New Roman"/>
          <w:sz w:val="20"/>
        </w:rPr>
        <w:t xml:space="preserve">The October 2024 Noteholder Warrants are exercisable immediately from the date of issuance and expire five years from the issuance date. The October 2024 Noteholder Warrants issued to the Investors are initially exercisable for 107,142 shares of Common Stock in the aggregate. The October 2024 Noteholder Warrants issued to Oramed are initially exercisable for 107,142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October 2024 Noteholder Warrants are exercisable for cash at the current exercise price equal to $36.40 per share of Common Stock (the “Exercise Price”). The Exercise Price is subject to adjustment for any stock split, stock dividend, stock combination, recapitalization or similar event. The Exercise Price is also subject to full-ratchet adjustment (down to the Floor Price (as defined therein) in connection with a subsequent offering at a per share price less than the exercise price then in effect. The Exercise Price cannot be lower than the Floor Price, unless shareholder approval is obtained to allow the October 2024 Noteholder Warrants to be exercised at a price lower than the Floor Price in accordance with the Nasdaq listing rules. We are under no obligation to seek or obtain such shareholder approval. If at the time of exercise of the October 2024 Noteholder Warrants, there is no effective registration statement registering the shares of Common Stock underlying the October 2024 Noteholder Warrants, such warrants may be exercised on a cashless basis pursuant to their terms. </w:t>
      </w:r>
    </w:p>
    <w:p>
      <w:pPr>
        <w:pStyle w:val="TextBody"/>
        <w:bidi w:val="0"/>
        <w:spacing w:before="240" w:after="0"/>
        <w:jc w:val="left"/>
        <w:rPr>
          <w:rFonts w:ascii="Times New Roman" w:hAnsi="Times New Roman"/>
          <w:sz w:val="20"/>
        </w:rPr>
      </w:pPr>
      <w:r>
        <w:rPr>
          <w:rFonts w:ascii="Times New Roman" w:hAnsi="Times New Roman"/>
          <w:sz w:val="20"/>
        </w:rPr>
        <w:t xml:space="preserve">A holder shall not have the right to exercise any portion of an October 2024 Noteholder Warrant to the extent that, after giving effect to such conversion, the holder (together with certain related parties) would beneficially own in excess of the Maximum Percentage of shares of Common Stock outstanding immediately after giving effect to such conversion. The Maximum Percentage may be raised or lowered to any other percentage not in excess of 9.99%, at the option of the holder, except that any increase will only be effective upon 61 days’ prior notice to us. </w:t>
      </w:r>
    </w:p>
    <w:p>
      <w:pPr>
        <w:pStyle w:val="TextBody"/>
        <w:bidi w:val="0"/>
        <w:spacing w:before="240" w:after="0"/>
        <w:jc w:val="left"/>
        <w:rPr>
          <w:rFonts w:ascii="Times New Roman" w:hAnsi="Times New Roman"/>
          <w:sz w:val="20"/>
        </w:rPr>
      </w:pPr>
      <w:r>
        <w:rPr>
          <w:rFonts w:ascii="Times New Roman" w:hAnsi="Times New Roman"/>
          <w:sz w:val="20"/>
        </w:rPr>
        <w:t xml:space="preserve">The October 2024 Noteholder Warrants prohibit our Company from entering into specified fundamental transactions unless the successor entity (subject to certain exceptions) assumes all of our Company’s obligations under the October 2024 Noteholder Warrants under a written agreement before the transaction is completed. Upon specified corporate events, an October 2024 Noteholder Warrant holder will thereafter have the right to receive upon an exercise such shares, securities, cash, assets or any other property whatsoever which the holder would have been entitled to receive upon the happening of the applicable corporate event had the October 2024 Noteholder Warrant been exercised immediately prior to the applicable corporate event. When there is a transaction involving specified changes of control, holders of October 2024 Noteholder Warrants will have the right to force our Company to repurchase such holder’s October 2024 Noteholder Warrant for a purchase price in cash equal to the Black Scholes value, as calculated under the October 2024 Noteholder Warrants, of the then unexercised portion of the October 2024 Noteholder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summary of the October 2024 Noteholder Warrants does not purport to be complete and is qualified in its entirety by reference to the full text of the October 2024 Noteholder Warrants, the form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ZTlido Royalty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transactions contemplated by the Tranche B Securities Purchase Agreement, but as a distinct and separate matter, on October 8, 2024, we and Scilex Pharma entered into a Purchase and Sale Agreement (the “ZTlido Royalty Purchase Agreement”) with certain institutional investors (collectively, the “ZTlido Royalty Investors”) and Oramed (together with the ZTlido Royalty Investors, the “ZTlido RPA Purchasers”). Pursuant to the ZTlido Royalty Purchase Agreement, Scilex Pharma sold to the ZTlido RPA Purchasers the right to receive 8% of all aggregate net sales worldwide (the “Purchased Receivables”) with respect to ZTlido (lidocaine topical system) 1.8%, SP-103 (lidocaine topical system) 5.4%, and any related, improved, successor, replacement or varying dosage forms of the foregoing (the “ZTlido Covered Products”). </w:t>
      </w:r>
    </w:p>
    <w:p>
      <w:pPr>
        <w:pStyle w:val="TextBody"/>
        <w:bidi w:val="0"/>
        <w:spacing w:before="240" w:after="0"/>
        <w:jc w:val="left"/>
        <w:rPr>
          <w:rFonts w:ascii="Times New Roman" w:hAnsi="Times New Roman"/>
          <w:sz w:val="20"/>
        </w:rPr>
      </w:pPr>
      <w:r>
        <w:rPr>
          <w:rFonts w:ascii="Times New Roman" w:hAnsi="Times New Roman"/>
          <w:sz w:val="20"/>
        </w:rPr>
        <w:t xml:space="preserve">In full consideration for the sale, transfer, conveyance and granting of the Purchased Receivables, and subject to the terms and conditions set forth in the ZTlido Royalty Purchase Agreement, the aggregate purchase price for the Purchased Receivables was $5,000,000 (net of expenses of the ZTlido RPA Purchasers). The ZTlido RPA Purchasers paid to Scilex Pharma an aggregate amount equal to $2,500,000 minus the expenses of the ZTlido RPA Purchasers, and Oramed paid to Scilex Pharma an amount equal to $2,500,000 minus Oramed’s expenses (collectively, the amount so paid by the ZTlido RPA Purchasers, the “RPA Closing Payment”). Oramed’s portion of the purchase price was paid by exchanging a portion of the outstanding principal balance under the Oramed Note equivalent to its portion of the RPA Closing Payment, which amount extinguished and reduced $2,500,000 of the outstanding balance under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The ZTlido Royalty Purchase Agreement terminates six months following receipt by the ZTlido RPA Purchasers of all payments of the Purchased Receivables to which each ZTlido RPA Purchaser is entitled hereunder during the period commencing on the date of the closing of the transactions contemplated thereby and expiring on the tenth anniversary of such closing date. </w:t>
      </w:r>
    </w:p>
    <w:p>
      <w:pPr>
        <w:pStyle w:val="TextBody"/>
        <w:bidi w:val="0"/>
        <w:spacing w:before="240" w:after="0"/>
        <w:jc w:val="left"/>
        <w:rPr>
          <w:rFonts w:ascii="Times New Roman" w:hAnsi="Times New Roman"/>
          <w:sz w:val="20"/>
        </w:rPr>
      </w:pPr>
      <w:r>
        <w:rPr>
          <w:rFonts w:ascii="Times New Roman" w:hAnsi="Times New Roman"/>
          <w:sz w:val="20"/>
        </w:rPr>
        <w:t xml:space="preserve">We subsequently amended the ZTlido Royalty Purchase Agreement on February 28, 2025, pursuant to Amendment No. 1 to Purchase and Sale Agreement (the “ZTlido Royalty Amendment”) with the Scilex Pharma and the ZTlido RPA Purchasers. Pursuant to the ZTlido Royalty Amendment, we and Scilex Pharma may assign our respective rights or delegate our respective obligations under the ZTlido Royalty Purchase Agreement without the prior written consent of the ZTlido RPA Purchasers if we receive a commitment, contingent upon an asset purchase of ZTlido Covered Products (as defined in the ZTlido Royalty Purchase Agreement), that would allow us to pay in full all obligations owed under the Debt Instruments (as defined therein), provided that such purchaser of ZTlido Covered Products agrees to assume all of the obligations of our company and Scilex Pharma under the ZTlido Royalty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ZTlido Royalty Purchase Agreement and the ZTlido Royalty Amendment do not purport to be complete and are qualified in their entirety by reference to the full text of the ZTlido Royalty Purchase Agreement and the ZTlido Royalty Amendment, a copy of each of which is filed as an exhibit to our Current Report on Form 8-K filed on October 8, 2024 and March 3, 2025,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ZTlido Royalty 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ZTlido Royalty Purchase Agreement, Scilex Pharma entered into a Security Agreement with the collateral agent (as identified therein) for the benefit of the ZTlido RPA Purchasers, dated as of October 8, 2024 (the “ZTlido Royalty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ZTlido Royalty Security Agreement, our Company’s and Scilex Pharma’s due performance and payment under the ZTlido Royalty Purchase Agreement is secured by certain collateral, including a collection account and certain material contracts, intellectual property rights and the regulatory approvals, in each case related to the ZTlido Covered Products.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ZTlido Royalty Security Agreement does not purport to be complete and is qualified in its entirety by reference to the full text of the ZTlido Royalty Security Agreement, a copy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ZTlido Subordination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ZTlido Royalty Purchase Agreement and ZTlido Royalty Security Agreement, Scilex Pharma entered into that certain ZTlido Subordination Agreement, dated as of October 8, 2024 (the “ZTlido Subordination Agreement”), by and among Scilex Pharma, the ZTlido RPA Purchasers and the Note Agent (as defined therein). The parties agreed that all obligations, liabilities and indebtedness under the ZTlido Royalty Purchase Agreement will be secured by first priority liens on the collaterals under the ZTlido Royalty Security Agreement (the “ZTlido Royalty Collateral”), and all obligations under the Amended and Restated Security Agreement (as defined therein) will be secured by the ZTlido Royalty Collateral and second priority liens on the collaterals under the ZTlido Royalty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ZTlido Subordination Agreement does not purport to be complete and is qualified in its entirety by reference to the full text of the ZTlido Subordination Agreement, a copy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Oramed Note Consent and Amendment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refinancing, we entered into a Consent and Amendment for the Oramed Note (the “Consent and Amendment”), dated as of October 8, 2024 with Oramed. Pursuant to the Consent and Amendment, we and Oramed consent to (i) our Company’s (and, to the extent applicable, our subsidiaries’) entry into and performance of the Tranche B Securities Purchase Agreement, the issuance of the Tranche B Notes and the October 2024 Noteholder Warrants and performance of the terms thereof, the entry into and performance of the ZTlido Royalty Purchase Agreement and other related amendment documents and the consummation of the refinancing, and (ii) the payment of all transaction fees and expenses related to the refinancing transactions. Oramed further agreed that the proceeds of the refinancing transactions utilized to repay the Oramed Note shall not constitute a voluntary prepayment, and no Make-Whole Amount (as defined in the Oramed Note) or other premium shall be payable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Consent and Amendment does not purport to be complete and is qualified in its entirety by reference to the full text of the Consent and Amendment, a copy of which is filed as an exhibit to our Current Report on Form 8-K filed on October 8, 2024. </w:t>
      </w:r>
    </w:p>
    <w:p>
      <w:pPr>
        <w:pStyle w:val="TextBody"/>
        <w:bidi w:val="0"/>
        <w:spacing w:before="360" w:after="0"/>
        <w:jc w:val="left"/>
        <w:rPr>
          <w:rFonts w:ascii="Times New Roman" w:hAnsi="Times New Roman"/>
          <w:i/>
          <w:sz w:val="20"/>
        </w:rPr>
      </w:pPr>
      <w:r>
        <w:rPr>
          <w:rFonts w:ascii="Times New Roman" w:hAnsi="Times New Roman"/>
          <w:i/>
          <w:sz w:val="20"/>
        </w:rPr>
        <w:t xml:space="preserve">Deferral and Consent under Tranche B Senior Secured Convertible Note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Tranche B Notes, commencing on January 2, 2025 (the “First Amortization Payment Date”), we are required to redeem in cash (the “First Amortization Payment”) such portion of the principal amount of the Tranche B Notes equal to the Holder Pro Rata Amount (as defined in the Tranche B Notes) of each holders of the Tranche B Notes (the “Tranche B Noteholders”) of $6,250,000 per fiscal quarter at a redemption price equal to 100% of such Amortization Amount (as defined in the Tranche B Notes).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2025, we entered into a deferral and consent letter with each of the Tranche B Noteholders (collectively, the “Tranche B Consents”), respectively, pursuant to which the Tranche B Noteholders agreed to defer our obligation to make the First Amortization Payment until January 31, 2025. In consideration of such deferral, and to limit the Tranche B Noteholders’ right to exercise certain secured creditor remedies (including recourse against the assets of SCLX JV as a grantor under the Security Agreement (as defined in the Tranche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Consents)), SCLX JV delivered to the Tranche B Noteholders (or their designee) by deposit/withdrawal at custodian with the Depository Trust Company an aggregate of 142,855 shares of Common Stock (as defined in, and contemplated pursuant to, the Term Sheet that is an exhibit to the Tranche B Consents (the “Term Sheet”)) held by SCLX JV, of which 71,428 shares were delivered to Oramed, 20,571 shares were delivered to BPY Limited, 36,571 shares were delivered to Nomis Bay Ltd, and 14,285 shares were delivered to 3i, LP.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Tranche B Consents, effective as of the latest of (i) the time of execution and delivery of the Tranche B Consents, (ii) the time of the delivery of the Scilex Shares and (iii) the time of grant of the Royalty and Exclusive Rights (each as defined in, and contemplated pursuant to, the Term Sheet), the Tranche B Noteholders agreed to further defer our obligation to make the First Amortization Payment until October 8, 2026, provided that, as contemplated in the Term Sheet, we pay an aggregate of $1.1 million in respect of a portion of the First Amortization Payment and related make-whole interest (which amount has been paid).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Tranche B Consents do not purport to be complete and are qualified in their entirety by reference to the full text of the Tranche B Consents, a copy of each of which is filed as an exhibit to our Current Report on Form 8-K filed on January 3, 2025.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to the Oramed Note </w:t>
      </w:r>
    </w:p>
    <w:p>
      <w:pPr>
        <w:pStyle w:val="TextBody"/>
        <w:bidi w:val="0"/>
        <w:spacing w:before="120" w:after="0"/>
        <w:jc w:val="left"/>
        <w:rPr>
          <w:rFonts w:ascii="Times New Roman" w:hAnsi="Times New Roman"/>
          <w:sz w:val="20"/>
        </w:rPr>
      </w:pPr>
      <w:r>
        <w:rPr>
          <w:rFonts w:ascii="Times New Roman" w:hAnsi="Times New Roman"/>
          <w:sz w:val="20"/>
        </w:rPr>
        <w:t xml:space="preserve">On January 21, 2025, we entered into an amendment letter with Oramed (the “Oramed Amendment”), pursuant to which, among other things, Oramed agreed to extend the Maturity Date under and as set forth in the Oramed Note from March 21, 2025 to December 31, 2025. In consideration of such extension, SCLX JV agreed to deliver to Oramed an aggregate of 92,857 shares of Common Stock held by SCLX JV.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Oramed Amendment does not purport to be complete and is qualified in its entirety by reference to the full text of the Oramed Amendment, a copy of which is filed as an exhibit to our Current Report on Form 8-K filed on January 22, 2025. </w:t>
      </w:r>
    </w:p>
    <w:p>
      <w:pPr>
        <w:pStyle w:val="TextBody"/>
        <w:bidi w:val="0"/>
        <w:spacing w:before="360" w:after="0"/>
        <w:jc w:val="left"/>
        <w:rPr>
          <w:rFonts w:ascii="Times New Roman" w:hAnsi="Times New Roman"/>
          <w:i/>
          <w:sz w:val="20"/>
        </w:rPr>
      </w:pPr>
      <w:r>
        <w:rPr>
          <w:rFonts w:ascii="Times New Roman" w:hAnsi="Times New Roman"/>
          <w:i/>
          <w:sz w:val="20"/>
        </w:rPr>
        <w:t xml:space="preserve">ZTlido Rest of World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2025 (the “Lido Effective Date”), Scilex Pharma entered into a License Agreement (the “Lido License Agreement”) with RoyaltyVest Ltd., an entity formed by the Tranche B Noteholders (including Oramed) (the “Licensee”) with respect to services, compositions, products, dosages and formulations comprising lidocaine that have been or are later developed by or on behalf of Scilex Pharma, including the product and any future product defined as a “Product” under Scilex Pharma’s existing (i) Product Development Agreement, dated as of May 11, 2011, with Oishi Koseido Co., Ltd. (“Oishi”) and Itochu Chemical Frontier Corporation (“Itochu”), as amended, and (ii) the associated Commercial Supply Agreement, dated February 16, 2017, between Scilex Pharma, Oishi and Itochu, as amended, which include (a) ZTlido (lidocaine topical system) 1.8%, including the composition of matter with the NDC 69557-111-30 and (b) SP-103 (collectively, the “Lido Product”). </w:t>
      </w:r>
    </w:p>
    <w:p>
      <w:pPr>
        <w:pStyle w:val="TextBody"/>
        <w:bidi w:val="0"/>
        <w:spacing w:before="240" w:after="0"/>
        <w:jc w:val="left"/>
        <w:rPr>
          <w:rFonts w:ascii="Times New Roman" w:hAnsi="Times New Roman"/>
          <w:sz w:val="20"/>
        </w:rPr>
      </w:pPr>
      <w:r>
        <w:rPr>
          <w:rFonts w:ascii="Times New Roman" w:hAnsi="Times New Roman"/>
          <w:sz w:val="20"/>
        </w:rPr>
        <w:t xml:space="preserve">Under the Lido License Agreement, Scilex Pharma granted to the Licensee during the Lido License Term (as defined below)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outside of the United States and certain territories stated in the Lido License Agreement (the “Lido Licensee Territory”). The Licensee granted to Scilex Pharma a non-exclusive, non-transferable, right and license under the Licensee Non-Blocking Patents (as defined therein) (i) in the Licensor Territory (as defined therein), to develop, manufacture, obtain and maintain regulatory approvals for, commercialize and otherwise exploit Lido Product for commercialization of Lido Products in the Licensor Territory in the Field (each as defined therein), and (ii) worldwide, to develop and manufacture Lido Product for commercialization in the Licensor Territory in the Field (each as defined therein). Each of the Licensee and Scilex Pharma will receive 50% of the Net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defined therein) generated, and the Licensee shall effect the foregoing by paying to Scilex Pharma its share of the Net Revenue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Lido License Agreement, the Licensee shall (i) use commercially reasonable efforts to obtain and maintain regulatory approval for the Lido Product in at least one Major Market Country (as defined therein) within 18 months after the Lido Effective Date, and (ii) commit $200,000, or its equivalent in kind, annually towards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 (as defined therein).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Lido Effective Date, Scilex Pharma is required to (i) facilitate an introduction between Oishi, Itochu, and the Licensee, and (ii) use reasonable efforts to cause each of Oishi and Itochu to accept a direct engagement with the Licensee for the manufacturing or supply of the Lido Product in finished dosage form. In addition, Scilex Pharma agreed to appoint the Licensee as its exclusive distributor of the Lido Product in the Licensee Territory during the Lido License Term.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Lido License Agreement commences on the Lido Effective Date and continues until expiration of the last to expire Licensed Patents (as defined therein), unless earlier terminated (the “Lido License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Parent Guarantee for Lido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2025, in connection with Lido License Agreement, we entered into that certain Parent Guarantee for Lidocaine License Agreement (the “Parent Guarantee”) with the Licensee, pursuant to which we agreed to guarantee the due and proper performance of Scilex Pharma’s obligations under the Lido License Agreement on the terms and conditions set forth in the Parent Guarantee. Pursuant to the terms of the Parent Guarantee, we shall provide the Licensee with written notice of any Change of Control (as defined therein) of Scilex Pharma within five business days after the consummation of such Change of Control, and the Parent Guarantee and the guarantee obligations shall automatically terminate upon the consummation of such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Lido License Agreement and the Parent Guarantee do not purport to be complete and are qualified in their entirety by reference to the full text of the Lido License Agreement and the Parent Guarantee, a copy of each of which is filed as an exhibit to our Current Report on Form 8-K filed on February 27, 2025. </w:t>
      </w:r>
    </w:p>
    <w:p>
      <w:pPr>
        <w:pStyle w:val="TextBody"/>
        <w:bidi w:val="0"/>
        <w:spacing w:before="360" w:after="0"/>
        <w:jc w:val="left"/>
        <w:rPr>
          <w:rFonts w:ascii="Times New Roman" w:hAnsi="Times New Roman"/>
          <w:i/>
          <w:sz w:val="20"/>
        </w:rPr>
      </w:pPr>
      <w:r>
        <w:rPr>
          <w:rFonts w:ascii="Times New Roman" w:hAnsi="Times New Roman"/>
          <w:i/>
          <w:sz w:val="20"/>
        </w:rPr>
        <w:t xml:space="preserve">Gloperba-Elyxyb Royalty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As contemplated by the Term Sheet in respect of the Royalty and Exclusive Rights described therein, on February 28, 2025 (the “Closing Date”), we entered into a Purchase and Sale Agreement (the “Gloperba-Elyxyb Royalty Purchase Agreement”) with Scilex Pharma, Oramed and certain institutional investors (Oramed and such investors, collectively, the”Gloperba-Elyxyb RPA Purchasers”). Pursuant to the Gloperba-Elyxyb Royalty Purchase Agreement, Scilex Pharma sold to the Gloperba-Elyxyb RPA Purchasers the right to receive 4% of all aggregate net sales worldwide (the “Gloperba-Elyxyb Purchased Receivables”) with respect to Gloperba, Elyxyb, and any related, improved, successor, replacement and/or varying dosage forms of the foregoing (the “Gloperba-Elyxyb Covered Products”).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Further Deferral and representing the “grant of the Royalty and Exclusive Rights” (as defined in the Term Sheet), during the period commencing on the Closing Date and expiring on the tenth anniversary of the Closing Date (the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Gloperba and Elyxyb Covered Product Revenue Payments (each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defined in the Gloperba-Elyxyb Royalty Purchase Agreement) for each calendar quarter (commencing with the calendar quarter beginning January 1, 2025) promptly, but in any event no later than 60 calendar days after the end of each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The Gloperba-Elyxyb Royalty Purchase Agreement shall terminate six months following receipt by the Gloperba-Elyxyb RPA Purchasers of all payments of the Gloperba-Elyxyb Purchased Receivables to which each Gloperba-Elyxyb RPA Purchaser is entitled during the Payment Term. </w:t>
      </w:r>
    </w:p>
    <w:p>
      <w:pPr>
        <w:pStyle w:val="TextBody"/>
        <w:bidi w:val="0"/>
        <w:spacing w:before="360" w:after="0"/>
        <w:jc w:val="left"/>
        <w:rPr>
          <w:rFonts w:ascii="Times New Roman" w:hAnsi="Times New Roman"/>
          <w:i/>
          <w:sz w:val="20"/>
        </w:rPr>
      </w:pPr>
      <w:r>
        <w:rPr>
          <w:rFonts w:ascii="Times New Roman" w:hAnsi="Times New Roman"/>
          <w:i/>
          <w:sz w:val="20"/>
        </w:rPr>
        <w:t xml:space="preserve">Gloperba-Elyxyb Royalty 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Gloperba-Elyxyb Royalty Purchase Agreement, we entered into a Gloperba-Elyxyb Royalty Security Agreement with Scilex Pharma and the collateral agent (as identified therein) for the benefit of the Gloperba-Elyxyb RPA Purchasers, dated as of February 28, 2025 (the “Gloperba-Elyxyb Royalty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Gloperba-Elyxyb Royalty Security Agreement, each of our and Scilex Pharma’s due performance and payment under the Gloperba-Elyxyb Royalty Purchase Agreement is secured by certain collateral, including a collection account and certain material contracts, intellectual property rights and regulatory approvals, in each case related to the Gloperba-Elyxyb Covered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Gloperba-Elyxyb Subordination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Gloperba-Elyxyb Royalty Purchase Agreement and the Gloperba-Elyxyb Royalty Security Agreement, we entered into that certain Gloperba and Elyxyb Subordination Agreement, dated as of February 28, 2025 (the “Gloperba-Elyxyb Subordination Agreement”), by and among us, Scilex Pharma the Gloperba-Elyxyb RPA Purchasers and the Note Agent (each as defined in the Gloperba-Elyxyb Subordination Agreement). Pursuant to the Gloperba-Elyxyb Subordination Agreement, the parties agreed that all obligations, liabilities and indebtedness under the Gloperba-Elyxyb Royalty Purchase Agreement are secured by first priority liens on the collateral under the Gloperba-Elyxyb Royalty Security Agreement (the “Gloperba-Elyxyb Royalty Collateral”) and the Note Agent’s lien on the Gloperba-Elyxyb Royalty Collateral is subordinated and becomes a second priority lien.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Gloperba-Elyxyb Royalty Purchase Agreement, the Gloperba-Elyxyb Royalty Security Agreement and the Gloperba-Elyxyb Subordination Agreement do not purport to be complete and are qualified in their entirety by reference to the full text of such agreements, a copy of each of which is filed as an exhibit to our Current Report on Form 8-K filed on March 3, 2025. </w:t>
      </w:r>
    </w:p>
    <w:p>
      <w:pPr>
        <w:pStyle w:val="TextBody"/>
        <w:bidi w:val="0"/>
        <w:spacing w:before="360" w:after="0"/>
        <w:jc w:val="left"/>
        <w:rPr>
          <w:rFonts w:ascii="Times New Roman" w:hAnsi="Times New Roman"/>
          <w:i/>
          <w:sz w:val="20"/>
        </w:rPr>
      </w:pPr>
      <w:r>
        <w:rPr>
          <w:rFonts w:ascii="Times New Roman" w:hAnsi="Times New Roman"/>
          <w:i/>
          <w:sz w:val="20"/>
        </w:rPr>
        <w:t xml:space="preserve">Gloperba Rest of World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2025 (the “Effective Date”), we entered into a License Agreement (the “Gloperba License Agreement”) with Scilex Pharma and the Licensee with respect to (i) services, compositions, products, dosages and formulations comprising Gloperba that have been or are later developed by or on behalf of us, including the product and any future product defined as a “Licensed Product” under the License and Commercialization Agreement, dated as of June 14, 2022, by and between RxOmeg Therapeutics LLC (“Romeg”) and us, as amended by that certain First Amendment to License and Commercialization Agreement, dated January 16, 2025, by and between Romeg and us, as may be further amended or restated from time to time, and (ii) any related, improved, successor or replacement forms of any such product Controlled (as defined therein) by us ((i) and (ii) collectively, the “Gloperba Product”). </w:t>
      </w:r>
    </w:p>
    <w:p>
      <w:pPr>
        <w:pStyle w:val="TextBody"/>
        <w:bidi w:val="0"/>
        <w:spacing w:before="240" w:after="0"/>
        <w:jc w:val="left"/>
        <w:rPr>
          <w:rFonts w:ascii="Times New Roman" w:hAnsi="Times New Roman"/>
          <w:sz w:val="20"/>
        </w:rPr>
      </w:pPr>
      <w:r>
        <w:rPr>
          <w:rFonts w:ascii="Times New Roman" w:hAnsi="Times New Roman"/>
          <w:sz w:val="20"/>
        </w:rPr>
        <w:t xml:space="preserve">Under the Gloperba License Agreement, we granted to the Licensee during the Gloperba License Term (as defined below) a worldwide, exclusive, non-transferable (except in connection with a permitted assignment of the Gloperba License Agreement) right, license and interest in, to, and under all Product Rights Controlled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defined therein) by us to develop, manufacture, obtain and maintain regulatory approvals for, commercialize and otherwise exploit all Gloperba Products, in all cases solely for commercialization of the Gloperba Products outside of the United States in the Field (as defined therein). The Licensee granted to us a non-exclusive, non-transferable (except in connection with a permitted assignment of the Gloperba License Agreement), right and license under the Licensee Non-Blocking Patents (as defined therein) (i) in the United States, to develop, manufacture, obtain and maintain regulatory approvals for, commercialize and otherwise exploit Gloperba Product for commercialization of Gloperba Products in the United States in the Field (as defined therein), and (ii) worldwide, to develop and manufacture Gloperba Product for commercialization in the United States in the Field (as defined therein). Each of the Licensee and we will receive 50% of the Net Revenue (as defined therein) generated based on Licensee’s sale of the Gloperba Products, and the Licensee shall effect the foregoing by paying to us an amount required for us to receive its share of the Net Revenue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Gloperba License Agreement, the Licensee shall obtain and maintain regulatory approval for the Gloperba Product outside of the United States in accordance with its own business judgment and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Date, we are required to (i) facilitate an introduction between the Licensee and our contract manufacturer of the Gloperba Product (the “Gloperba CMO”) as of the Effective Date, and (ii) use reasonable efforts to cause such Gloperba CMO to accept a direct engagement with the Licensee for the manufacturing or supply of the Gloperba Product in finished dosage form. In addition, we agreed to appoint the Licensee as its exclusive distributor of the Gloperba Product in the entire world other than the United States during the Gloperba License Term.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Gloperba License Agreement commences on the Effective Date and continues until expiration of the last to expire Licensed Patents (as defined therein), unless earlier terminated (the “Gloperba License Term”).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Gloperba License Agreement does not purport to be complete and is qualified in its entirety by reference to the full text of the Gloperba License Agreement, a copy of which is filed as an exhibit to our Current Report on Form 8-K filed on March 3,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Consent, Waiver and Amendment </w:t>
      </w:r>
    </w:p>
    <w:p>
      <w:pPr>
        <w:pStyle w:val="TextBody"/>
        <w:bidi w:val="0"/>
        <w:spacing w:before="120" w:after="0"/>
        <w:jc w:val="left"/>
        <w:rPr>
          <w:rFonts w:ascii="Times New Roman" w:hAnsi="Times New Roman"/>
          <w:sz w:val="20"/>
        </w:rPr>
      </w:pPr>
      <w:r>
        <w:rPr>
          <w:rFonts w:ascii="Times New Roman" w:hAnsi="Times New Roman"/>
          <w:sz w:val="20"/>
        </w:rPr>
        <w:t xml:space="preserve">On April 16, 2025, in connection with the formation of Scilex Bio, Inc. the Company entered into a Consent, Waiver and Amendment re Tranche A Senior Secured Promissory Note with Oramed (the “Oramed Consent and Waiver”), pursuant to which certain definitions in the Oramed Note were modified to reflect, among other things, that Scilex Bio will not be deemed a subsidiary of Scilex under the terms of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Oramed Consent and Waiver does not purport to be complete and is qualified in its entirety by reference to the full text of the Oramed Consent and Waiver, a copy of which is filed as an exhibit to our Post-Effective Amendment No. 1 to Form S-3 on Form S-1 (File No. 333-276245 and 333-280882), filed with the SEC on May 7,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Oramed Penny Warrant Repurchase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the Company issued the Penny Warrants to purchase up to an aggregate of 13,000,000 shares of Common Stock, with an exercise price of $0.01 per share and certain restrictions on exercisability, to Oramed, of which 6,500,000 Penny Warrants were subsequently exercised Oramed. </w:t>
      </w:r>
    </w:p>
    <w:p>
      <w:pPr>
        <w:pStyle w:val="TextBody"/>
        <w:bidi w:val="0"/>
        <w:spacing w:before="240" w:after="0"/>
        <w:jc w:val="left"/>
        <w:rPr>
          <w:rFonts w:ascii="Times New Roman" w:hAnsi="Times New Roman"/>
          <w:sz w:val="20"/>
        </w:rPr>
      </w:pPr>
      <w:r>
        <w:rPr>
          <w:rFonts w:ascii="Times New Roman" w:hAnsi="Times New Roman"/>
          <w:sz w:val="20"/>
        </w:rPr>
        <w:t xml:space="preserve">On July 22, 2025, the Company entered into an option agreement (the “Option Agreement”) with Oramed, pursuant to which, among other things, Oramed granted an option (the “Option”) to the Company to repurchase the Penny Warrants in two tranches (the “Warrant Repurchase”) for an aggregate purchase price of $27,000,000 (the “Warrant Repurchase Amount”), subject to the terms and conditions set forth therein. In consideration of the Option,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agreed to pay $1,500,000 (the “Option Payment Amount”) to Oramed in two equal installments occurring on or before August 8, 2025 and December 16, 2025, respectively. Provided that the Company has made the applicable option payment on or before such dates, the Company shall be entitled to purchase the Penny Warrants as follows: (i) on or before September 30, 2025, it may repurchase 3,130,000 Penny Warrants for $13,000,000 and (ii) on or before December 31, 2025, it may repurchase 3,370,000 Penny Warrants for $14,000,000. Additionally, if the Company effects the Warrant Repurchase and has paid the Option Payment Amount and Penny Warrant Repurchase Amount in full, in accordance with the terms of the Option Agreement, then the maturity date of the Oramed Note shall be extended to March 31, 2026 and any make-whole payment due thereunder upon prepayment shall be waived. On September 30, 2025, the Company partially exercised the option and repurchased 3,130,000 Penny Warrants for $13,000,000, and on December 30, 2025, the Company exercised the remaining option and repurchased 3,370,000 Penny Warrants for $14,000,000. The maturity date of the Oramed Note was extended to June 30, 2026 and any make-whole payment due thereunder upon prepayment was waived. </w:t>
      </w:r>
    </w:p>
    <w:p>
      <w:pPr>
        <w:pStyle w:val="TextBody"/>
        <w:bidi w:val="0"/>
        <w:spacing w:before="240" w:after="0"/>
        <w:jc w:val="left"/>
        <w:rPr>
          <w:rFonts w:ascii="Times New Roman" w:hAnsi="Times New Roman"/>
          <w:sz w:val="20"/>
        </w:rPr>
      </w:pPr>
      <w:r>
        <w:rPr>
          <w:rFonts w:ascii="Times New Roman" w:hAnsi="Times New Roman"/>
          <w:sz w:val="20"/>
        </w:rPr>
        <w:t xml:space="preserve">Oramed has the right to terminate the Option Agreement if the Company (i) fails to make certain payments thereunder or (ii) has not exercised the Option by the applicable dates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Option Agreement, the Company has agreed that, if the Option Agreement is terminated pursuant to the terms set forth therein, the Company will use commercially reasonable efforts to obtain the approval of its stockholders to permit the issuance of shares of Common Stock in excess of the Stockholder Approval Cap (as defined therein) upon exercise of any Penny Warrants retained by Oramed following such termination, subject to the terms and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Option Agreement does not purport to be complete and is qualified in its entirety by reference to the full text of the Option Agreement, a copy of which is filed as an exhibit to our Current Report on Form 8-K filed on July 23,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Shah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22, 2025, in connection with the previously announced business combination of Semnur, Jaisim Shah resigned as a director of the Company, effective immediately.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2025, in connection with Mr. Shah’s resignation, Inform LLC, a company affiliated with Mr. Shah, and the Company entered into a consulting agreement (the “Shah Consulting Agreement”). Pursuant to the Shah Consulting Agreement, Inform LLC will provide certain consulting services to the Company for a period of five years from the date of the Consulting Agreement in exchange for a monthly fee of $50,000.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Shah Consulting Agreement does not purport to be complete and is qualified in its entirety by reference to the full text of the Shah Consulting Agreement, a copy of which is filed as an exhibit to our Current Report on Form 8-K filed on September 26,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Vivasor Secondary Stock Purchase </w:t>
      </w:r>
    </w:p>
    <w:p>
      <w:pPr>
        <w:pStyle w:val="TextBody"/>
        <w:bidi w:val="0"/>
        <w:spacing w:before="120" w:after="0"/>
        <w:jc w:val="left"/>
        <w:rPr>
          <w:rFonts w:ascii="Times New Roman" w:hAnsi="Times New Roman"/>
          <w:sz w:val="20"/>
        </w:rPr>
      </w:pPr>
      <w:r>
        <w:rPr>
          <w:rFonts w:ascii="Times New Roman" w:hAnsi="Times New Roman"/>
          <w:sz w:val="20"/>
        </w:rPr>
        <w:t xml:space="preserve">On December 5, 2025, the Company entered into a Share Transfer Agreement with EAR SPV LLC, a Delaware corporation (“EAR SPV”), and VHC, pursuant to which, among other things, EAR SPV agreed to sell, and the Company agreed to buy, all 6,101,468 shares of VHC’s Series A-1 Preferred Stock, par value $0.00001 per share held by EAR SPV, for an aggregate purchase price of $9,000,000. Dr. Ji, our current Chief Executive Officer, President and Chairperson, currently serves as the Chief Executive Officer of VHC.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and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Please see the sections titled “Executive Compensation” and “Non-Employee Director Compensation” for information regarding the compensation of our executive officers and non-employee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offer letter agreements with our named executive officers, other than Dr. Ji and Mr. Ma, that, among other things, provide for certain compensatory benefits. In addition, we have also entered into severance and change of control agreements with our named executive officers which provide for severance payments upon certain terminations of employment as well as in connection with a change of control of the Company. For descriptions of such agreements, see the section titled “Executive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Please see the section titled “Board of Directors and Corporate Governance — Limitation of Liability and Indemnification of Directors and Officers” for information regarding our arrangements to provide indemnification to our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person transaction policy that sets forth our procedures for the identification, review, consideration and approval or ratification of related person transactions. For purposes of our policy,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and any of their respective immediate family members and any entity owned or controlled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 but not limited to: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costs and benefits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 director’s independence in the event that the related person is a director, immediate family member of a director or an entity with which a director is affiliated;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other sources for comparable services or products; and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available to or from, as the case may be, unrelated third parties or to or from employees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our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46109_12"/>
      <w:bookmarkEnd w:id="14"/>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notify our Corporate Secretary at (650) 516-4310 or send a written request to: Corporate Secretary at Scilex Holding Company, 960 San Antonio Road, Palo Alto, CA 94303. Stockholders who currently receive multiple copies of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46109_13"/>
      <w:bookmarkEnd w:id="15"/>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r>
        <w:rPr>
          <w:rFonts w:ascii="Times New Roman" w:hAnsi="Times New Roman"/>
          <w:b/>
          <w:sz w:val="20"/>
        </w:rPr>
        <w:t xml:space="preserve">2025 Annual Report and SEC Filings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for the year ended December 31, 2025 are included in our Annual Report on Form 10-K, which we will make available to stockholders at the same time as this Proxy Statement. Our Annual Report and this Proxy Statement are posted on our website at </w:t>
      </w:r>
      <w:r>
        <w:rPr>
          <w:rFonts w:ascii="Times New Roman" w:hAnsi="Times New Roman"/>
          <w:i/>
          <w:sz w:val="20"/>
        </w:rPr>
        <w:t>www.scilexholding.com</w:t>
      </w:r>
      <w:r>
        <w:rPr>
          <w:rFonts w:ascii="Times New Roman" w:hAnsi="Times New Roman"/>
          <w:sz w:val="20"/>
        </w:rPr>
        <w:t xml:space="preserve"> and are available from the SEC at its website at </w:t>
      </w:r>
      <w:r>
        <w:rPr>
          <w:rFonts w:ascii="Times New Roman" w:hAnsi="Times New Roman"/>
          <w:i/>
          <w:sz w:val="20"/>
        </w:rPr>
        <w:t>www.sec.gov</w:t>
      </w:r>
      <w:r>
        <w:rPr>
          <w:rFonts w:ascii="Times New Roman" w:hAnsi="Times New Roman"/>
          <w:sz w:val="20"/>
        </w:rPr>
        <w:t xml:space="preserve">. You may also obtain a copy of our Annual Report without charge by sending a written request to Corporate Secretary at Scilex Holding Company, 960 San Antonio Road, Palo Alto, CA 94303.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Our Board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at the Annual Meeting, regardless of the number of shares that you hold. You are, therefore, urged to vote by using the Internet as instructed on the enclosed proxy card or execute and return, at your earliest convenience, the enclosed proxy card in the envelope that has also been provided. </w:t>
      </w:r>
    </w:p>
    <w:p>
      <w:pPr>
        <w:pStyle w:val="TextBody"/>
        <w:bidi w:val="0"/>
        <w:spacing w:before="0" w:after="0"/>
        <w:jc w:val="left"/>
        <w:rPr/>
      </w:pPr>
      <w:r>
        <w:rPr/>
        <w:t> </w:t>
      </w:r>
    </w:p>
    <w:tbl>
      <w:tblPr>
        <w:tblW w:w="6860" w:type="dxa"/>
        <w:jc w:val="left"/>
        <w:tblInd w:w="0" w:type="dxa"/>
        <w:tblLayout w:type="fixed"/>
        <w:tblCellMar>
          <w:top w:w="0" w:type="dxa"/>
          <w:left w:w="0" w:type="dxa"/>
          <w:bottom w:w="0" w:type="dxa"/>
          <w:right w:w="0" w:type="dxa"/>
        </w:tblCellMar>
      </w:tblPr>
      <w:tblGrid>
        <w:gridCol w:w="6860"/>
      </w:tblGrid>
      <w:tr>
        <w:trPr/>
        <w:tc>
          <w:tcPr>
            <w:tcW w:w="6860"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283"/>
              <w:jc w:val="left"/>
              <w:rPr>
                <w:b/>
              </w:rPr>
            </w:pPr>
            <w:r>
              <w:rPr>
                <w:b/>
              </w:rPr>
              <w:t>THE BOARD OF DIRECTORS</w:t>
            </w:r>
          </w:p>
        </w:tc>
      </w:tr>
      <w:tr>
        <w:trPr/>
        <w:tc>
          <w:tcPr>
            <w:tcW w:w="6860" w:type="dxa"/>
            <w:tcBorders/>
            <w:vAlign w:val="center"/>
          </w:tcPr>
          <w:p>
            <w:pPr>
              <w:pStyle w:val="TableContents"/>
              <w:bidi w:val="0"/>
              <w:spacing w:before="0" w:after="283"/>
              <w:jc w:val="left"/>
              <w:rPr>
                <w:sz w:val="4"/>
                <w:szCs w:val="4"/>
              </w:rPr>
            </w:pPr>
            <w:r>
              <w:rPr>
                <w:sz w:val="4"/>
                <w:szCs w:val="4"/>
              </w:rPr>
            </w:r>
          </w:p>
        </w:tc>
      </w:tr>
      <w:tr>
        <w:trPr/>
        <w:tc>
          <w:tcPr>
            <w:tcW w:w="6860" w:type="dxa"/>
            <w:tcBorders>
              <w:bottom w:val="single" w:sz="6" w:space="0" w:color="000000"/>
            </w:tcBorders>
            <w:tcMar>
              <w:bottom w:w="28" w:type="dxa"/>
            </w:tcMar>
            <w:vAlign w:val="center"/>
          </w:tcPr>
          <w:p>
            <w:pPr>
              <w:pStyle w:val="TableContents"/>
              <w:bidi w:val="0"/>
              <w:spacing w:before="0" w:after="283"/>
              <w:jc w:val="left"/>
              <w:rPr/>
            </w:pPr>
            <w:r>
              <w:rPr/>
              <w:t>/s/ Henry Ji, Ph.D.</w:t>
            </w:r>
          </w:p>
        </w:tc>
      </w:tr>
      <w:tr>
        <w:trPr/>
        <w:tc>
          <w:tcPr>
            <w:tcW w:w="6860" w:type="dxa"/>
            <w:tcBorders/>
            <w:vAlign w:val="center"/>
          </w:tcPr>
          <w:p>
            <w:pPr>
              <w:pStyle w:val="TableContents"/>
              <w:bidi w:val="0"/>
              <w:spacing w:before="0" w:after="283"/>
              <w:jc w:val="left"/>
              <w:rPr/>
            </w:pPr>
            <w:r>
              <w:rPr/>
              <w:t>Henry Ji, Ph.D.</w:t>
            </w:r>
          </w:p>
        </w:tc>
      </w:tr>
      <w:tr>
        <w:trPr/>
        <w:tc>
          <w:tcPr>
            <w:tcW w:w="6860" w:type="dxa"/>
            <w:tcBorders/>
            <w:vAlign w:val="center"/>
          </w:tcPr>
          <w:p>
            <w:pPr>
              <w:pStyle w:val="TableContents"/>
              <w:bidi w:val="0"/>
              <w:spacing w:before="0" w:after="283"/>
              <w:jc w:val="left"/>
              <w:rPr>
                <w:i/>
              </w:rPr>
            </w:pPr>
            <w:r>
              <w:rPr>
                <w:i/>
              </w:rPr>
              <w:t>Chief Executive Officer, President, Executive Chairperson and Director</w:t>
            </w:r>
          </w:p>
        </w:tc>
      </w:tr>
      <w:tr>
        <w:trPr/>
        <w:tc>
          <w:tcPr>
            <w:tcW w:w="6860" w:type="dxa"/>
            <w:tcBorders/>
            <w:vAlign w:val="center"/>
          </w:tcPr>
          <w:p>
            <w:pPr>
              <w:pStyle w:val="TableContents"/>
              <w:bidi w:val="0"/>
              <w:spacing w:before="0" w:after="283"/>
              <w:jc w:val="left"/>
              <w:rPr/>
            </w:pPr>
            <w:r>
              <w:rPr/>
              <w:t>Palo Alto, CA</w:t>
            </w:r>
          </w:p>
        </w:tc>
      </w:tr>
      <w:tr>
        <w:trPr/>
        <w:tc>
          <w:tcPr>
            <w:tcW w:w="6860" w:type="dxa"/>
            <w:tcBorders/>
            <w:vAlign w:val="center"/>
          </w:tcPr>
          <w:p>
            <w:pPr>
              <w:pStyle w:val="TableContents"/>
              <w:bidi w:val="0"/>
              <w:spacing w:before="0" w:after="283"/>
              <w:jc w:val="left"/>
              <w:rPr/>
            </w:pPr>
            <w:r>
              <w:rPr/>
              <w:t>April 30,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16" w:name="toc146109_14"/>
      <w:bookmarkEnd w:id="16"/>
      <w:r>
        <w:rPr>
          <w:rFonts w:ascii="Times New Roman" w:hAnsi="Times New Roman"/>
          <w:b/>
          <w:sz w:val="20"/>
          <w:u w:val="single"/>
        </w:rPr>
        <w:t xml:space="preserve">APPENDIX A </w:t>
      </w:r>
    </w:p>
    <w:p>
      <w:pPr>
        <w:pStyle w:val="TextBody"/>
        <w:bidi w:val="0"/>
        <w:spacing w:before="120" w:after="0"/>
        <w:jc w:val="center"/>
        <w:rPr>
          <w:rFonts w:ascii="Times New Roman" w:hAnsi="Times New Roman"/>
          <w:b/>
          <w:sz w:val="20"/>
        </w:rPr>
      </w:pPr>
      <w:r>
        <w:rPr>
          <w:rFonts w:ascii="Times New Roman" w:hAnsi="Times New Roman"/>
          <w:b/>
          <w:sz w:val="20"/>
        </w:rPr>
        <w:t>S</w:t>
      </w:r>
      <w:r>
        <w:rPr>
          <w:rFonts w:ascii="Times New Roman" w:hAnsi="Times New Roman"/>
          <w:b/>
          <w:sz w:val="20"/>
          <w:u w:val="single"/>
        </w:rPr>
        <w:t>CILEX</w:t>
      </w:r>
      <w:r>
        <w:rPr>
          <w:rFonts w:ascii="Times New Roman" w:hAnsi="Times New Roman"/>
          <w:b/>
          <w:sz w:val="20"/>
        </w:rPr>
        <w:t xml:space="preserve"> H</w:t>
      </w:r>
      <w:r>
        <w:rPr>
          <w:rFonts w:ascii="Times New Roman" w:hAnsi="Times New Roman"/>
          <w:b/>
          <w:sz w:val="20"/>
          <w:u w:val="single"/>
        </w:rPr>
        <w:t>OLDING</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2022 E</w:t>
      </w:r>
      <w:r>
        <w:rPr>
          <w:rFonts w:ascii="Times New Roman" w:hAnsi="Times New Roman"/>
          <w:b/>
          <w:sz w:val="20"/>
          <w:u w:val="single"/>
        </w:rPr>
        <w:t>QUITY</w:t>
      </w:r>
      <w:r>
        <w:rPr>
          <w:rFonts w:ascii="Times New Roman" w:hAnsi="Times New Roman"/>
          <w:b/>
          <w:sz w:val="20"/>
        </w:rPr>
        <w:t xml:space="preserve"> I</w:t>
      </w:r>
      <w:r>
        <w:rPr>
          <w:rFonts w:ascii="Times New Roman" w:hAnsi="Times New Roman"/>
          <w:b/>
          <w:sz w:val="20"/>
          <w:u w:val="single"/>
        </w:rPr>
        <w:t>NCENTIVE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O</w:t>
      </w:r>
      <w:r>
        <w:rPr>
          <w:rFonts w:ascii="Times New Roman" w:hAnsi="Times New Roman"/>
          <w:b/>
          <w:sz w:val="20"/>
          <w:u w:val="single"/>
        </w:rPr>
        <w:t>CTOBER</w:t>
      </w:r>
      <w:r>
        <w:rPr>
          <w:rFonts w:ascii="Times New Roman" w:hAnsi="Times New Roman"/>
          <w:b/>
          <w:sz w:val="20"/>
        </w:rPr>
        <w:t xml:space="preserve"> 17, 2022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N</w:t>
      </w:r>
      <w:r>
        <w:rPr>
          <w:rFonts w:ascii="Times New Roman" w:hAnsi="Times New Roman"/>
          <w:b/>
          <w:sz w:val="20"/>
          <w:u w:val="single"/>
        </w:rPr>
        <w:t>OVEMBER</w:t>
      </w:r>
      <w:r>
        <w:rPr>
          <w:rFonts w:ascii="Times New Roman" w:hAnsi="Times New Roman"/>
          <w:b/>
          <w:sz w:val="20"/>
        </w:rPr>
        <w:t xml:space="preserve"> 9, 2022 </w:t>
      </w:r>
    </w:p>
    <w:p>
      <w:pPr>
        <w:pStyle w:val="TextBody"/>
        <w:bidi w:val="0"/>
        <w:spacing w:before="0" w:after="0"/>
        <w:jc w:val="center"/>
        <w:rPr>
          <w:rFonts w:ascii="Times New Roman" w:hAnsi="Times New Roman"/>
          <w:b/>
          <w:sz w:val="20"/>
        </w:rPr>
      </w:pPr>
      <w:r>
        <w:rPr>
          <w:rFonts w:ascii="Times New Roman" w:hAnsi="Times New Roman"/>
          <w:b/>
          <w:sz w:val="20"/>
        </w:rPr>
        <w:t>E</w:t>
      </w:r>
      <w:r>
        <w:rPr>
          <w:rFonts w:ascii="Times New Roman" w:hAnsi="Times New Roman"/>
          <w:b/>
          <w:sz w:val="20"/>
          <w:u w:val="single"/>
        </w:rPr>
        <w:t>FFECTIVE</w:t>
      </w:r>
      <w:r>
        <w:rPr>
          <w:rFonts w:ascii="Times New Roman" w:hAnsi="Times New Roman"/>
          <w:b/>
          <w:sz w:val="20"/>
        </w:rPr>
        <w:t xml:space="preserve"> D</w:t>
      </w:r>
      <w:r>
        <w:rPr>
          <w:rFonts w:ascii="Times New Roman" w:hAnsi="Times New Roman"/>
          <w:b/>
          <w:sz w:val="20"/>
          <w:u w:val="single"/>
        </w:rPr>
        <w:t>ATE</w:t>
      </w:r>
      <w:r>
        <w:rPr>
          <w:rFonts w:ascii="Times New Roman" w:hAnsi="Times New Roman"/>
          <w:b/>
          <w:sz w:val="20"/>
        </w:rPr>
        <w:t>: N</w:t>
      </w:r>
      <w:r>
        <w:rPr>
          <w:rFonts w:ascii="Times New Roman" w:hAnsi="Times New Roman"/>
          <w:b/>
          <w:sz w:val="20"/>
          <w:u w:val="single"/>
        </w:rPr>
        <w:t>OVEMBER</w:t>
      </w:r>
      <w:r>
        <w:rPr>
          <w:rFonts w:ascii="Times New Roman" w:hAnsi="Times New Roman"/>
          <w:b/>
          <w:sz w:val="20"/>
        </w:rPr>
        <w:t xml:space="preserve"> 9, 2022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S</w:t>
      </w:r>
      <w:r>
        <w:rPr>
          <w:rFonts w:ascii="Times New Roman" w:hAnsi="Times New Roman"/>
          <w:b/>
          <w:sz w:val="20"/>
        </w:rPr>
        <w:t xml:space="preserve"> A</w:t>
      </w:r>
      <w:r>
        <w:rPr>
          <w:rFonts w:ascii="Times New Roman" w:hAnsi="Times New Roman"/>
          <w:b/>
          <w:sz w:val="20"/>
          <w:u w:val="single"/>
        </w:rPr>
        <w:t>MENDED</w:t>
      </w:r>
      <w:r>
        <w:rPr>
          <w:rFonts w:ascii="Times New Roman" w:hAnsi="Times New Roman"/>
          <w:b/>
          <w:sz w:val="20"/>
        </w:rPr>
        <w:t xml:space="preserve"> B</w:t>
      </w:r>
      <w:r>
        <w:rPr>
          <w:rFonts w:ascii="Times New Roman" w:hAnsi="Times New Roman"/>
          <w:b/>
          <w:sz w:val="20"/>
          <w:u w:val="single"/>
        </w:rPr>
        <w:t>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w:t>
      </w:r>
      <w:r>
        <w:rPr>
          <w:rFonts w:ascii="Times New Roman" w:hAnsi="Times New Roman"/>
          <w:b/>
          <w:sz w:val="20"/>
          <w:u w:val="single"/>
        </w:rPr>
        <w:t>ON</w:t>
      </w:r>
      <w:r>
        <w:rPr>
          <w:rFonts w:ascii="Times New Roman" w:hAnsi="Times New Roman"/>
          <w:b/>
          <w:sz w:val="20"/>
        </w:rPr>
        <w:t>: M</w:t>
      </w:r>
      <w:r>
        <w:rPr>
          <w:rFonts w:ascii="Times New Roman" w:hAnsi="Times New Roman"/>
          <w:b/>
          <w:sz w:val="20"/>
          <w:u w:val="single"/>
        </w:rPr>
        <w:t>ARCH</w:t>
      </w:r>
      <w:r>
        <w:rPr>
          <w:rFonts w:ascii="Times New Roman" w:hAnsi="Times New Roman"/>
          <w:b/>
          <w:sz w:val="20"/>
        </w:rPr>
        <w:t xml:space="preserve"> 5, 2023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S</w:t>
      </w:r>
      <w:r>
        <w:rPr>
          <w:rFonts w:ascii="Times New Roman" w:hAnsi="Times New Roman"/>
          <w:b/>
          <w:sz w:val="20"/>
        </w:rPr>
        <w:t xml:space="preserve"> A</w:t>
      </w:r>
      <w:r>
        <w:rPr>
          <w:rFonts w:ascii="Times New Roman" w:hAnsi="Times New Roman"/>
          <w:b/>
          <w:sz w:val="20"/>
          <w:u w:val="single"/>
        </w:rPr>
        <w:t>MENDED</w:t>
      </w:r>
      <w:r>
        <w:rPr>
          <w:rFonts w:ascii="Times New Roman" w:hAnsi="Times New Roman"/>
          <w:b/>
          <w:sz w:val="20"/>
        </w:rPr>
        <w:t xml:space="preserve"> B</w:t>
      </w:r>
      <w:r>
        <w:rPr>
          <w:rFonts w:ascii="Times New Roman" w:hAnsi="Times New Roman"/>
          <w:b/>
          <w:sz w:val="20"/>
          <w:u w:val="single"/>
        </w:rPr>
        <w:t>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w:t>
      </w:r>
      <w:r>
        <w:rPr>
          <w:rFonts w:ascii="Times New Roman" w:hAnsi="Times New Roman"/>
          <w:b/>
          <w:sz w:val="20"/>
          <w:u w:val="single"/>
        </w:rPr>
        <w:t>ON</w:t>
      </w:r>
      <w:r>
        <w:rPr>
          <w:rFonts w:ascii="Times New Roman" w:hAnsi="Times New Roman"/>
          <w:b/>
          <w:sz w:val="20"/>
        </w:rPr>
        <w:t>: M</w:t>
      </w:r>
      <w:r>
        <w:rPr>
          <w:rFonts w:ascii="Times New Roman" w:hAnsi="Times New Roman"/>
          <w:b/>
          <w:sz w:val="20"/>
          <w:u w:val="single"/>
        </w:rPr>
        <w:t>AY</w:t>
      </w:r>
      <w:r>
        <w:rPr>
          <w:rFonts w:ascii="Times New Roman" w:hAnsi="Times New Roman"/>
          <w:b/>
          <w:sz w:val="20"/>
        </w:rPr>
        <w:t xml:space="preserve"> 4, 2023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S</w:t>
      </w:r>
      <w:r>
        <w:rPr>
          <w:rFonts w:ascii="Times New Roman" w:hAnsi="Times New Roman"/>
          <w:b/>
          <w:sz w:val="20"/>
        </w:rPr>
        <w:t xml:space="preserve"> A</w:t>
      </w:r>
      <w:r>
        <w:rPr>
          <w:rFonts w:ascii="Times New Roman" w:hAnsi="Times New Roman"/>
          <w:b/>
          <w:sz w:val="20"/>
          <w:u w:val="single"/>
        </w:rPr>
        <w:t>MENDED</w:t>
      </w:r>
      <w:r>
        <w:rPr>
          <w:rFonts w:ascii="Times New Roman" w:hAnsi="Times New Roman"/>
          <w:b/>
          <w:sz w:val="20"/>
        </w:rPr>
        <w:t xml:space="preserve"> B</w:t>
      </w:r>
      <w:r>
        <w:rPr>
          <w:rFonts w:ascii="Times New Roman" w:hAnsi="Times New Roman"/>
          <w:b/>
          <w:sz w:val="20"/>
          <w:u w:val="single"/>
        </w:rPr>
        <w:t>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w:t>
      </w:r>
      <w:r>
        <w:rPr>
          <w:rFonts w:ascii="Times New Roman" w:hAnsi="Times New Roman"/>
          <w:b/>
          <w:sz w:val="20"/>
          <w:u w:val="single"/>
        </w:rPr>
        <w:t>ON</w:t>
      </w:r>
      <w:r>
        <w:rPr>
          <w:rFonts w:ascii="Times New Roman" w:hAnsi="Times New Roman"/>
          <w:b/>
          <w:sz w:val="20"/>
        </w:rPr>
        <w:t>: A</w:t>
      </w:r>
      <w:r>
        <w:rPr>
          <w:rFonts w:ascii="Times New Roman" w:hAnsi="Times New Roman"/>
          <w:b/>
          <w:sz w:val="20"/>
          <w:u w:val="single"/>
        </w:rPr>
        <w:t>PRIL</w:t>
      </w:r>
      <w:r>
        <w:rPr>
          <w:rFonts w:ascii="Times New Roman" w:hAnsi="Times New Roman"/>
          <w:b/>
          <w:sz w:val="20"/>
        </w:rPr>
        <w:t xml:space="preserve"> 28, 2026 </w:t>
      </w:r>
    </w:p>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75"/>
        <w:gridCol w:w="200"/>
        <w:gridCol w:w="10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1.</w:t>
            </w:r>
          </w:p>
        </w:tc>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ENERAL</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(b) 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(c) Adoption Date; Effective Date</w:t>
      </w:r>
      <w:r>
        <w:rPr>
          <w:rFonts w:ascii="Times New Roman" w:hAnsi="Times New Roman"/>
          <w:sz w:val="20"/>
        </w:rPr>
        <w:t xml:space="preserve">. The Plan will come into existence on the Adoption Date, but no Award may be granted prior to the Effective Date.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200"/>
        <w:gridCol w:w="31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2.</w:t>
            </w:r>
          </w:p>
        </w:tc>
        <w:tc>
          <w:tcPr>
            <w:tcW w:w="3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Share Reserve</w:t>
      </w:r>
      <w:r>
        <w:rPr>
          <w:rFonts w:ascii="Times New Roman" w:hAnsi="Times New Roman"/>
          <w:sz w:val="20"/>
        </w:rPr>
        <w:t xml:space="preserve">. Subject to adjustment in accordance with Section 2(c), any adjustments as necessary to implement any Capitalization Adjustments, and any adjustments as a result of the following sentence regarding the automatic increase, the aggregate number of shares of Common Stock that may be issued pursuant to Awards will not exceed 2,765,789 shares (which number is the sum of (i) 417,791 shares that were approved in connection with the initial adoption of the Plan on the Effective Date plus (ii) 161,541 shares previously added to the Plan on January 1, 2023 in accordance with the automatic increase provision set forth in the following sentence plus (iii) an additional 285,714 shares approved at the Company’s 2023 Annual Meeting of Stockholders plus (iv) 182,953 shares previously added to the Plan on January 1, 2024 in accordance with the automatic increase provision set forth in the following sentence plus (v) 208,895 shares previously added to the Plan on January 1, 2025 in accordance with the automatic increase provision set forth in the following sentence plus (vi) 208,895 shares previously added to the Plan on January 1, 2026 in accordance with the automatic increase provision set forth in the following sentence plus (vii) an additional 1,300,000 shares approved at the Company’s 2026 Annual Meeting of Stockholders) plus a number of shares of Common Stock equal to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the lesser of (i) 4% of the total number of shares of Common Stock outstanding on December 31 of the preceding year, (ii) 208,895 shares of Common Stock, and (iii) such number of shares of Common Stock determined by the Board or the Compensation Committee prior to January 1st of a given year. </w:t>
      </w:r>
    </w:p>
    <w:p>
      <w:pPr>
        <w:pStyle w:val="TextBody"/>
        <w:bidi w:val="0"/>
        <w:spacing w:before="240" w:after="0"/>
        <w:jc w:val="left"/>
        <w:rPr>
          <w:rFonts w:ascii="Times New Roman" w:hAnsi="Times New Roman"/>
          <w:sz w:val="20"/>
        </w:rPr>
      </w:pPr>
      <w:r>
        <w:rPr>
          <w:rFonts w:ascii="Times New Roman" w:hAnsi="Times New Roman"/>
          <w:b/>
          <w:sz w:val="20"/>
        </w:rPr>
        <w:t>(b) 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2,765,789 shares, which such amount shall be increased commencing on January 1, 2024 and ending on (and including) January 1, 2032, in an amount equal to the lesser of (i) 4% of the total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Common Stock outstanding on December 31 of the preceding year, (ii) 208,895 shares of Common Stock, and (iii) such number of shares of Common Stock determined by the Board or the Compensation Committee prior to January 1st of a given year. </w:t>
      </w:r>
    </w:p>
    <w:p>
      <w:pPr>
        <w:pStyle w:val="TextBody"/>
        <w:bidi w:val="0"/>
        <w:spacing w:before="240" w:after="0"/>
        <w:jc w:val="left"/>
        <w:rPr>
          <w:rFonts w:ascii="Times New Roman" w:hAnsi="Times New Roman"/>
          <w:sz w:val="20"/>
        </w:rPr>
      </w:pPr>
      <w:r>
        <w:rPr>
          <w:rFonts w:ascii="Times New Roman" w:hAnsi="Times New Roman"/>
          <w:b/>
          <w:sz w:val="20"/>
        </w:rPr>
        <w:t>(c) Share Reserve 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 Limit Applies to Common Stock Issued Pursuant to Awards</w:t>
      </w:r>
      <w:r>
        <w:rPr>
          <w:rFonts w:ascii="Times New Roman" w:hAnsi="Times New Roman"/>
          <w:sz w:val="20"/>
        </w:rPr>
        <w:t xml:space="preserve">.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(ii) 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For the avoidance of doubt, with respect to a SAR, only shares of Common Stock which are issued upon settlement of the SAR shall count towards reducing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(iii) 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200"/>
        <w:gridCol w:w="3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3.</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LIGIBILITY</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L</w:t>
            </w:r>
            <w:r>
              <w:rPr>
                <w:rFonts w:ascii="Times New Roman" w:hAnsi="Times New Roman"/>
                <w:b/>
                <w:sz w:val="20"/>
                <w:u w:val="single"/>
              </w:rPr>
              <w:t>IMITATIONS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sz w:val="20"/>
        </w:rPr>
      </w:pPr>
      <w:r>
        <w:rPr>
          <w:rFonts w:ascii="Times New Roman" w:hAnsi="Times New Roman"/>
          <w:b/>
          <w:sz w:val="20"/>
        </w:rPr>
        <w:t>(b) Specific Award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 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 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 Limitations on Incentive Stock Options Granted to Ten Percent Stockholders</w:t>
      </w:r>
      <w:r>
        <w:rPr>
          <w:rFonts w:ascii="Times New Roman" w:hAnsi="Times New Roman"/>
          <w:sz w:val="20"/>
        </w:rPr>
        <w:t xml:space="preserve">. A Ten Percent Stockholder may not be granted an Incentive Stock Option unless (i) the exercise price of such Option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least 110% of the Fair Market Value on the date of grant of such Option and (ii)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 Limitations on Nonstatutory Stock Options and SARs</w:t>
      </w:r>
      <w:r>
        <w:rPr>
          <w:rFonts w:ascii="Times New Roman" w:hAnsi="Times New Roman"/>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 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 Non-Employee Director Compensation Limit</w:t>
      </w:r>
      <w:r>
        <w:rPr>
          <w:rFonts w:ascii="Times New Roman" w:hAnsi="Times New Roman"/>
          <w:sz w:val="20"/>
        </w:rPr>
        <w:t xml:space="preserve">. The aggregate value of all compensation granted or paid, as applicable, in each case following the Effective Date, to any individual for service as a Non-Employee Director with respect to any fiscal year, including Awards granted and cash fees paid by the Company to such Non-Employee Director for his or her service as a Non-Employee Director, will not exceed (i) $750,000 in total value or (ii) in the event such Non-Employee Director is first appointed or elected to the Board during such fiscal year, $1,000,000 in total value, in each case calculating the value of any equity awards based on the grant date fair value of such equity awards for financial reporting purposes.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200"/>
        <w:gridCol w:w="4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4.</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 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 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 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by cash or check, bank draft or money order payable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 xml:space="preserve">(v) </w:t>
      </w:r>
      <w:r>
        <w:rPr>
          <w:rFonts w:ascii="Times New Roman" w:hAnsi="Times New Roman"/>
          <w:sz w:val="20"/>
        </w:rPr>
        <w:t xml:space="preserve">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 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 Transferability</w:t>
      </w:r>
      <w:r>
        <w:rPr>
          <w:rFonts w:ascii="Times New Roman" w:hAnsi="Times New Roman"/>
          <w:sz w:val="20"/>
        </w:rPr>
        <w:t xml:space="preserve">. Options and SARs may not be transferred to third-party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 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 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 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 Termination of Continuous Service for Cause</w:t>
      </w:r>
      <w:r>
        <w:rPr>
          <w:rFonts w:ascii="Times New Roman" w:hAnsi="Times New Roman"/>
          <w:sz w:val="20"/>
        </w:rPr>
        <w:t xml:space="preserve">. 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 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 Restrictions on Exercise; Extension of Exercisability</w:t>
      </w:r>
      <w:r>
        <w:rPr>
          <w:rFonts w:ascii="Times New Roman" w:hAnsi="Times New Roman"/>
          <w:sz w:val="20"/>
        </w:rPr>
        <w:t xml:space="preserve">. 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 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 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200"/>
        <w:gridCol w:w="67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5.</w:t>
            </w:r>
          </w:p>
        </w:tc>
        <w:tc>
          <w:tcPr>
            <w:tcW w:w="6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WARDS</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T</w:t>
            </w:r>
            <w:r>
              <w:rPr>
                <w:rFonts w:ascii="Times New Roman" w:hAnsi="Times New Roman"/>
                <w:b/>
                <w:sz w:val="20"/>
                <w:u w:val="single"/>
              </w:rPr>
              <w:t>HAN</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RSA: A Restricted Stock Award may be granted in consideration for (A) cash or check, bank draft or money order payable to the Company, (B) past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 Vesting</w:t>
      </w:r>
      <w:r>
        <w:rPr>
          <w:rFonts w:ascii="Times New Roman" w:hAnsi="Times New Roman"/>
          <w:sz w:val="20"/>
        </w:rPr>
        <w:t xml:space="preserve">.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 Termination of Continuous Service</w:t>
      </w:r>
      <w:r>
        <w:rPr>
          <w:rFonts w:ascii="Times New Roman" w:hAnsi="Times New Roman"/>
          <w:sz w:val="20"/>
        </w:rPr>
        <w:t xml:space="preserve">. Except as otherwise provided in the Award Agreement or other written agreement between 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 Dividends and Dividend Equivalents</w:t>
      </w:r>
      <w:r>
        <w:rPr>
          <w:rFonts w:ascii="Times New Roman" w:hAnsi="Times New Roman"/>
          <w:sz w:val="20"/>
        </w:rPr>
        <w:t xml:space="preserve">. 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 Settlement of RSU Awards</w:t>
      </w:r>
      <w:r>
        <w:rPr>
          <w:rFonts w:ascii="Times New Roman" w:hAnsi="Times New Roman"/>
          <w:sz w:val="20"/>
        </w:rPr>
        <w:t xml:space="preserve">.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 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 Other Awards</w:t>
      </w:r>
      <w:r>
        <w:rPr>
          <w:rFonts w:ascii="Times New Roman" w:hAnsi="Times New Roman"/>
          <w:sz w:val="20"/>
        </w:rPr>
        <w:t xml:space="preserve">. Other Awards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200"/>
        <w:gridCol w:w="80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6.</w:t>
            </w:r>
          </w:p>
        </w:tc>
        <w:tc>
          <w:tcPr>
            <w:tcW w:w="8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DJUSTMENTS</w:t>
            </w:r>
            <w:r>
              <w:rPr>
                <w:rFonts w:ascii="Times New Roman" w:hAnsi="Times New Roman"/>
                <w:b/>
                <w:sz w:val="20"/>
              </w:rPr>
              <w:t xml:space="preserve"> U</w:t>
            </w:r>
            <w:r>
              <w:rPr>
                <w:rFonts w:ascii="Times New Roman" w:hAnsi="Times New Roman"/>
                <w:b/>
                <w:sz w:val="20"/>
                <w:u w:val="single"/>
              </w:rPr>
              <w:t>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O</w:t>
            </w:r>
            <w:r>
              <w:rPr>
                <w:rFonts w:ascii="Times New Roman" w:hAnsi="Times New Roman"/>
                <w:b/>
                <w:sz w:val="20"/>
                <w:u w:val="single"/>
              </w:rPr>
              <w:t>THER</w:t>
            </w:r>
            <w:r>
              <w:rPr>
                <w:rFonts w:ascii="Times New Roman" w:hAnsi="Times New Roman"/>
                <w:b/>
                <w:sz w:val="20"/>
              </w:rPr>
              <w:t xml:space="preserve"> C</w:t>
            </w:r>
            <w:r>
              <w:rPr>
                <w:rFonts w:ascii="Times New Roman" w:hAnsi="Times New Roman"/>
                <w:b/>
                <w:sz w:val="20"/>
                <w:u w:val="single"/>
              </w:rPr>
              <w:t>ORPORATE</w:t>
            </w:r>
            <w:r>
              <w:rPr>
                <w:rFonts w:ascii="Times New Roman" w:hAnsi="Times New Roman"/>
                <w:b/>
                <w:sz w:val="20"/>
              </w:rPr>
              <w:t xml:space="preserve"> E</w:t>
            </w:r>
            <w:r>
              <w:rPr>
                <w:rFonts w:ascii="Times New Roman" w:hAnsi="Times New Roman"/>
                <w:b/>
                <w:sz w:val="20"/>
                <w:u w:val="single"/>
              </w:rPr>
              <w:t>VENTS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 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left"/>
        <w:rPr>
          <w:rFonts w:ascii="Times New Roman" w:hAnsi="Times New Roman"/>
          <w:sz w:val="20"/>
        </w:rPr>
      </w:pPr>
      <w:r>
        <w:rPr>
          <w:rFonts w:ascii="Times New Roman" w:hAnsi="Times New Roman"/>
          <w:b/>
          <w:sz w:val="20"/>
        </w:rPr>
        <w:t>(c) Corporate Transaction</w:t>
      </w:r>
      <w:r>
        <w:rPr>
          <w:rFonts w:ascii="Times New Roman" w:hAnsi="Times New Roman"/>
          <w:sz w:val="20"/>
        </w:rPr>
        <w:t xml:space="preserve">. The following provisions will apply to Awards in the event of a Corporate Transaction except as set forth in Section 11, and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 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 Awards Held by Current Participants</w:t>
      </w:r>
      <w:r>
        <w:rPr>
          <w:rFonts w:ascii="Times New Roman" w:hAnsi="Times New Roman"/>
          <w:sz w:val="20"/>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(iii) 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 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b/>
          <w:sz w:val="20"/>
        </w:rPr>
        <w:t>(d) 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 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200"/>
        <w:gridCol w:w="18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7.</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DMINISTRATION</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 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(v) </w:t>
      </w:r>
      <w:r>
        <w:rPr>
          <w:rFonts w:ascii="Times New Roman" w:hAnsi="Times New Roman"/>
          <w:sz w:val="20"/>
        </w:rPr>
        <w:t xml:space="preserve">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 xml:space="preserve">(vi) </w:t>
      </w:r>
      <w:r>
        <w:rPr>
          <w:rFonts w:ascii="Times New Roman" w:hAnsi="Times New Roman"/>
          <w:sz w:val="20"/>
        </w:rPr>
        <w:t xml:space="preserve">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left"/>
        <w:rPr>
          <w:rFonts w:ascii="Times New Roman" w:hAnsi="Times New Roman"/>
          <w:sz w:val="20"/>
        </w:rPr>
      </w:pPr>
      <w:r>
        <w:rPr>
          <w:rFonts w:ascii="Times New Roman" w:hAnsi="Times New Roman"/>
          <w:b/>
          <w:sz w:val="20"/>
        </w:rPr>
        <w:t xml:space="preserve">(vii) </w:t>
      </w:r>
      <w:r>
        <w:rPr>
          <w:rFonts w:ascii="Times New Roman" w:hAnsi="Times New Roman"/>
          <w:sz w:val="20"/>
        </w:rPr>
        <w:t xml:space="preserve">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 xml:space="preserve">(viii) </w:t>
      </w:r>
      <w:r>
        <w:rPr>
          <w:rFonts w:ascii="Times New Roman" w:hAnsi="Times New Roman"/>
          <w:sz w:val="20"/>
        </w:rPr>
        <w:t xml:space="preserve">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 xml:space="preserve">(ix) </w:t>
      </w:r>
      <w:r>
        <w:rPr>
          <w:rFonts w:ascii="Times New Roman" w:hAnsi="Times New Roman"/>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(1) the Board shall not, without stockholder approval, reduce the exercise or strike price of an Option or SAR (other than in connection with a Capitalization Adjustment) and, at any time when the exercise or strike price of an Option or SAR is above the Fair Market Value of a share of Common Stock, the Board shall not, without stockholder approval, cancel and re-grant or exchange such Option or SAR for a new Award with a lower (or no) purchase price or for cash, and (2) a Participant’s rights under any Award will not be Materially Impaired by any such amendment unless (A) the Company requests the consent of the affected Participant, and (B)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 xml:space="preserve">(x) </w:t>
      </w:r>
      <w:r>
        <w:rPr>
          <w:rFonts w:ascii="Times New Roman" w:hAnsi="Times New Roman"/>
          <w:sz w:val="20"/>
        </w:rPr>
        <w:t xml:space="preserve">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 xml:space="preserve">(xi) </w:t>
      </w:r>
      <w:r>
        <w:rPr>
          <w:rFonts w:ascii="Times New Roman" w:hAnsi="Times New Roman"/>
          <w:sz w:val="20"/>
        </w:rPr>
        <w:t xml:space="preserve">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(c) Delegation to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 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 Rule</w:t>
      </w:r>
      <w:r>
        <w:rPr>
          <w:rFonts w:ascii="Times New Roman" w:hAnsi="Times New Roman"/>
          <w:sz w:val="20"/>
        </w:rPr>
        <w:t> </w:t>
      </w:r>
      <w:r>
        <w:rPr>
          <w:rFonts w:ascii="Times New Roman" w:hAnsi="Times New Roman"/>
          <w:b/>
          <w:sz w:val="20"/>
        </w:rPr>
        <w:t>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left"/>
        <w:rPr>
          <w:rFonts w:ascii="Times New Roman" w:hAnsi="Times New Roman"/>
          <w:sz w:val="20"/>
        </w:rPr>
      </w:pPr>
      <w:r>
        <w:rPr>
          <w:rFonts w:ascii="Times New Roman" w:hAnsi="Times New Roman"/>
          <w:b/>
          <w:sz w:val="20"/>
        </w:rPr>
        <w:t>(d) 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 Delegation to an Officer</w:t>
      </w:r>
      <w:r>
        <w:rPr>
          <w:rFonts w:ascii="Times New Roman" w:hAnsi="Times New Roman"/>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200"/>
        <w:gridCol w:w="20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8.</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 Satisfaction of Withholding Obligation</w:t>
      </w:r>
      <w:r>
        <w:rPr>
          <w:rFonts w:ascii="Times New Roman" w:hAnsi="Times New Roman"/>
          <w:sz w:val="20"/>
        </w:rPr>
        <w:t xml:space="preserve">. To the extent permitted by the terms of an Award Agreement, the Company may, in its sole 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 No Obligation to Notify or Minimize Taxes; No Liability to Claims</w:t>
      </w:r>
      <w:r>
        <w:rPr>
          <w:rFonts w:ascii="Times New Roman" w:hAnsi="Times New Roman"/>
          <w:sz w:val="20"/>
        </w:rPr>
        <w:t xml:space="preserve">.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 Withholding Indemnification</w:t>
      </w:r>
      <w:r>
        <w:rPr>
          <w:rFonts w:ascii="Times New Roman" w:hAnsi="Times New Roman"/>
          <w:sz w:val="20"/>
        </w:rPr>
        <w:t xml:space="preserv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200"/>
        <w:gridCol w:w="18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9.</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ISCELLANEOUS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 Use of Proceeds from Sales of Common Stock</w:t>
      </w:r>
      <w:r>
        <w:rPr>
          <w:rFonts w:ascii="Times New Roman" w:hAnsi="Times New Roman"/>
          <w:sz w:val="20"/>
        </w:rPr>
        <w:t xml:space="preserve">. 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 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 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 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 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 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 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 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 Securities Law Compliance</w:t>
      </w:r>
      <w:r>
        <w:rPr>
          <w:rFonts w:ascii="Times New Roman" w:hAnsi="Times New Roman"/>
          <w:sz w:val="20"/>
        </w:rPr>
        <w:t xml:space="preserv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 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 Effect on Other Employee Benefit Plans</w:t>
      </w:r>
      <w:r>
        <w:rPr>
          <w:rFonts w:ascii="Times New Roman" w:hAnsi="Times New Roman"/>
          <w:sz w:val="20"/>
        </w:rPr>
        <w:t xml:space="preserve">.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 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 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 Choice of Law</w:t>
      </w:r>
      <w:r>
        <w:rPr>
          <w:rFonts w:ascii="Times New Roman" w:hAnsi="Times New Roman"/>
          <w:sz w:val="20"/>
        </w:rPr>
        <w:t xml:space="preserve">.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10.</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(a) Compliance with Law</w:t>
      </w:r>
      <w:r>
        <w:rPr>
          <w:rFonts w:ascii="Times New Roman" w:hAnsi="Times New Roman"/>
          <w:sz w:val="20"/>
        </w:rPr>
        <w:t xml:space="preserve">. The Company will seek to obtain from each regulatory commission or agency, as may be deemed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60" w:type="dxa"/>
        <w:jc w:val="left"/>
        <w:tblInd w:w="0" w:type="dxa"/>
        <w:tblLayout w:type="fixed"/>
        <w:tblCellMar>
          <w:top w:w="0" w:type="dxa"/>
          <w:left w:w="0" w:type="dxa"/>
          <w:bottom w:w="0" w:type="dxa"/>
          <w:right w:w="0" w:type="dxa"/>
        </w:tblCellMar>
      </w:tblPr>
      <w:tblGrid>
        <w:gridCol w:w="75"/>
        <w:gridCol w:w="320"/>
        <w:gridCol w:w="60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11.</w:t>
            </w:r>
          </w:p>
        </w:tc>
        <w:tc>
          <w:tcPr>
            <w:tcW w:w="60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DDITIONAL</w:t>
            </w:r>
            <w:r>
              <w:rPr>
                <w:rFonts w:ascii="Times New Roman" w:hAnsi="Times New Roman"/>
                <w:b/>
                <w:sz w:val="20"/>
              </w:rPr>
              <w:t xml:space="preserve"> R</w:t>
            </w:r>
            <w:r>
              <w:rPr>
                <w:rFonts w:ascii="Times New Roman" w:hAnsi="Times New Roman"/>
                <w:b/>
                <w:sz w:val="20"/>
                <w:u w:val="single"/>
              </w:rPr>
              <w:t>ULES</w:t>
            </w:r>
            <w:r>
              <w:rPr>
                <w:rFonts w:ascii="Times New Roman" w:hAnsi="Times New Roman"/>
                <w:b/>
                <w:sz w:val="20"/>
              </w:rPr>
              <w:t xml:space="preserve"> </w:t>
            </w:r>
            <w:r>
              <w:rPr>
                <w:rFonts w:ascii="Times New Roman" w:hAnsi="Times New Roman"/>
                <w:b/>
                <w:sz w:val="20"/>
                <w:u w:val="single"/>
              </w:rPr>
              <w:t>FOR</w:t>
            </w:r>
            <w:r>
              <w:rPr>
                <w:rFonts w:ascii="Times New Roman" w:hAnsi="Times New Roman"/>
                <w:b/>
                <w:sz w:val="20"/>
              </w:rPr>
              <w:t xml:space="preserve"> A</w:t>
            </w:r>
            <w:r>
              <w:rPr>
                <w:rFonts w:ascii="Times New Roman" w:hAnsi="Times New Roman"/>
                <w:b/>
                <w:sz w:val="20"/>
                <w:u w:val="single"/>
              </w:rPr>
              <w:t>WARDS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S</w:t>
            </w:r>
            <w:r>
              <w:rPr>
                <w:rFonts w:ascii="Times New Roman" w:hAnsi="Times New Roman"/>
                <w:b/>
                <w:sz w:val="20"/>
                <w:u w:val="single"/>
              </w:rPr>
              <w:t>ECTION</w:t>
            </w:r>
            <w:r>
              <w:rPr>
                <w:rFonts w:ascii="Times New Roman" w:hAnsi="Times New Roman"/>
                <w:b/>
                <w:sz w:val="20"/>
              </w:rPr>
              <w:t xml:space="preserve"> 409A. </w:t>
            </w:r>
          </w:p>
        </w:tc>
      </w:tr>
    </w:tbl>
    <w:p>
      <w:pPr>
        <w:pStyle w:val="TextBody"/>
        <w:bidi w:val="0"/>
        <w:spacing w:before="240" w:after="0"/>
        <w:jc w:val="left"/>
        <w:rPr>
          <w:rFonts w:ascii="Times New Roman" w:hAnsi="Times New Roman"/>
          <w:sz w:val="20"/>
        </w:rPr>
      </w:pPr>
      <w:r>
        <w:rPr>
          <w:rFonts w:ascii="Times New Roman" w:hAnsi="Times New Roman"/>
          <w:b/>
          <w:sz w:val="20"/>
        </w:rPr>
        <w:t>(a) Application</w:t>
      </w:r>
      <w:r>
        <w:rPr>
          <w:rFonts w:ascii="Times New Roman" w:hAnsi="Times New Roman"/>
          <w:sz w:val="20"/>
        </w:rPr>
        <w:t xml:space="preserve">. 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 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 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 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If the Corporate Transaction is also a Section 409A Change in Control then the Acquiring Entity may not assume, continue or substitute the Vested Non- 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 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xml:space="preserve">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 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The Company explicitly reserves the right to earlier settle any Non-Exempt Award to the extent permitted and in compliance with the requirements of Section 409A, including pursuant to any of the exemptions available in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75"/>
        <w:gridCol w:w="320"/>
        <w:gridCol w:w="15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12.</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EVERABILITY</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295" w:type="dxa"/>
        <w:jc w:val="left"/>
        <w:tblInd w:w="0" w:type="dxa"/>
        <w:tblLayout w:type="fixed"/>
        <w:tblCellMar>
          <w:top w:w="0" w:type="dxa"/>
          <w:left w:w="0" w:type="dxa"/>
          <w:bottom w:w="0" w:type="dxa"/>
          <w:right w:w="0" w:type="dxa"/>
        </w:tblCellMar>
      </w:tblPr>
      <w:tblGrid>
        <w:gridCol w:w="75"/>
        <w:gridCol w:w="320"/>
        <w:gridCol w:w="29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13.</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320"/>
        <w:gridCol w:w="14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14.</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w:t>
      </w:r>
      <w:r>
        <w:rPr>
          <w:rFonts w:ascii="Times New Roman" w:hAnsi="Times New Roman"/>
          <w:b/>
          <w:i/>
          <w:sz w:val="20"/>
        </w:rPr>
        <w:t>Applicable Law</w:t>
      </w:r>
      <w:r>
        <w:rPr>
          <w:rFonts w:ascii="Times New Roman" w:hAnsi="Times New Roman"/>
          <w:sz w:val="20"/>
        </w:rPr>
        <w:t xml:space="preserve">” means shall mean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w:t>
      </w:r>
      <w:r>
        <w:rPr>
          <w:rFonts w:ascii="Times New Roman" w:hAnsi="Times New Roman"/>
          <w:b/>
          <w:i/>
          <w:sz w:val="20"/>
        </w:rPr>
        <w:t>Award Agreement</w:t>
      </w:r>
      <w:r>
        <w:rPr>
          <w:rFonts w:ascii="Times New Roman" w:hAnsi="Times New Roman"/>
          <w:sz w:val="20"/>
        </w:rPr>
        <w:t xml:space="preserve">”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w:t>
      </w:r>
      <w:r>
        <w:rPr>
          <w:rFonts w:ascii="Times New Roman" w:hAnsi="Times New Roman"/>
          <w:b/>
          <w:i/>
          <w:sz w:val="20"/>
        </w:rPr>
        <w:t>Cause</w:t>
      </w:r>
      <w:r>
        <w:rPr>
          <w:rFonts w:ascii="Times New Roman" w:hAnsi="Times New Roman"/>
          <w:sz w:val="20"/>
        </w:rPr>
        <w:t xml:space="preserve">” 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misconduct, breach of fiduciary duty for personal profit, or intentional falsification of any Company or Affiliate documents or records; (ii) the Participant’s material failure to abide by the Company’s Code of Business Conduct and Ethics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 (including,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 w:hAnsi="Times New Roman"/>
          <w:i/>
          <w:sz w:val="20"/>
        </w:rPr>
        <w:t>nolo contendere</w:t>
      </w:r>
      <w:r>
        <w:rPr>
          <w:rFonts w:ascii="Times New Roman" w:hAnsi="Times New Roman"/>
          <w:sz w:val="20"/>
        </w:rPr>
        <w:t xml:space="preserve">) of any criminal act involving fraud, dishonesty, misappropriation or moral turpitude, or which impairs the Participant’s 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and by the Company’s Chief Executive Officer or his or her designee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 xml:space="preserve">(j) </w:t>
      </w:r>
      <w:r>
        <w:rPr>
          <w:rFonts w:ascii="Times New Roman" w:hAnsi="Times New Roman"/>
          <w:sz w:val="20"/>
        </w:rPr>
        <w:t>“</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the stockholders of the Company approve or the Board approves a plan of complete dissolution or liquidation of the Company, or a complete dissolution or liquidation of the Company shall otherwise occur, except for a liquidation into a parent corporation;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 xml:space="preserve">(v) </w:t>
      </w:r>
      <w:r>
        <w:rPr>
          <w:rFonts w:ascii="Times New Roman" w:hAnsi="Times New Roman"/>
          <w:sz w:val="20"/>
        </w:rPr>
        <w:t>individuals who, on the date the Plan is adopted by the Board,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w:t>
      </w:r>
    </w:p>
    <w:p>
      <w:pPr>
        <w:pStyle w:val="TextBody"/>
        <w:bidi w:val="0"/>
        <w:spacing w:before="240" w:after="0"/>
        <w:jc w:val="left"/>
        <w:rPr>
          <w:rFonts w:ascii="Times New Roman" w:hAnsi="Times New Roman"/>
          <w:sz w:val="20"/>
        </w:rPr>
      </w:pPr>
      <w:r>
        <w:rPr>
          <w:rFonts w:ascii="Times New Roman" w:hAnsi="Times New Roman"/>
          <w:b/>
          <w:sz w:val="20"/>
        </w:rPr>
        <w:t xml:space="preserve">(k) </w:t>
      </w: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 xml:space="preserve">(l) </w:t>
      </w:r>
      <w:r>
        <w:rPr>
          <w:rFonts w:ascii="Times New Roman" w:hAnsi="Times New Roman"/>
          <w:sz w:val="20"/>
        </w:rPr>
        <w:t>“</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 xml:space="preserve">(m) </w:t>
      </w:r>
      <w:r>
        <w:rPr>
          <w:rFonts w:ascii="Times New Roman" w:hAnsi="Times New Roman"/>
          <w:sz w:val="20"/>
        </w:rPr>
        <w:t>“</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(n) </w:t>
      </w:r>
      <w:r>
        <w:rPr>
          <w:rFonts w:ascii="Times New Roman" w:hAnsi="Times New Roman"/>
          <w:sz w:val="20"/>
        </w:rPr>
        <w:t>“</w:t>
      </w:r>
      <w:r>
        <w:rPr>
          <w:rFonts w:ascii="Times New Roman" w:hAnsi="Times New Roman"/>
          <w:b/>
          <w:i/>
          <w:sz w:val="20"/>
        </w:rPr>
        <w:t>Company</w:t>
      </w:r>
      <w:r>
        <w:rPr>
          <w:rFonts w:ascii="Times New Roman" w:hAnsi="Times New Roman"/>
          <w:sz w:val="20"/>
        </w:rPr>
        <w:t xml:space="preserve">” means Scilex Holding Company,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 xml:space="preserve">(o) </w:t>
      </w:r>
      <w:r>
        <w:rPr>
          <w:rFonts w:ascii="Times New Roman" w:hAnsi="Times New Roman"/>
          <w:sz w:val="20"/>
        </w:rPr>
        <w:t>“</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 xml:space="preserve">(p) </w:t>
      </w:r>
      <w:r>
        <w:rPr>
          <w:rFonts w:ascii="Times New Roman" w:hAnsi="Times New Roman"/>
          <w:sz w:val="20"/>
        </w:rPr>
        <w:t>“</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 xml:space="preserve">(q) </w:t>
      </w:r>
      <w:r>
        <w:rPr>
          <w:rFonts w:ascii="Times New Roman" w:hAnsi="Times New Roman"/>
          <w:sz w:val="20"/>
        </w:rPr>
        <w:t>“</w:t>
      </w:r>
      <w:r>
        <w:rPr>
          <w:rFonts w:ascii="Times New Roman" w:hAnsi="Times New Roman"/>
          <w:b/>
          <w:i/>
          <w:sz w:val="20"/>
        </w:rPr>
        <w:t>Continuous Service</w:t>
      </w:r>
      <w:r>
        <w:rPr>
          <w:rFonts w:ascii="Times New Roman" w:hAnsi="Times New Roman"/>
          <w:sz w:val="20"/>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 xml:space="preserve">(r) </w:t>
      </w:r>
      <w:r>
        <w:rPr>
          <w:rFonts w:ascii="Times New Roman" w:hAnsi="Times New Roman"/>
          <w:sz w:val="20"/>
        </w:rPr>
        <w:t>“</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 xml:space="preserve">(s) </w:t>
      </w:r>
      <w:r>
        <w:rPr>
          <w:rFonts w:ascii="Times New Roman" w:hAnsi="Times New Roman"/>
          <w:sz w:val="20"/>
        </w:rPr>
        <w:t>“</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 xml:space="preserve">(t) </w:t>
      </w:r>
      <w:r>
        <w:rPr>
          <w:rFonts w:ascii="Times New Roman" w:hAnsi="Times New Roman"/>
          <w:sz w:val="20"/>
        </w:rPr>
        <w:t>“</w:t>
      </w:r>
      <w:r>
        <w:rPr>
          <w:rFonts w:ascii="Times New Roman" w:hAnsi="Times New Roman"/>
          <w:b/>
          <w:i/>
          <w:sz w:val="20"/>
        </w:rPr>
        <w:t>determine</w:t>
      </w:r>
      <w:r>
        <w:rPr>
          <w:rFonts w:ascii="Times New Roman" w:hAnsi="Times New Roman"/>
          <w:sz w:val="20"/>
        </w:rPr>
        <w:t xml:space="preserve">” </w:t>
      </w:r>
      <w:r>
        <w:rPr>
          <w:rFonts w:ascii="Times New Roman" w:hAnsi="Times New Roman"/>
          <w:b/>
          <w:i/>
          <w:sz w:val="20"/>
        </w:rPr>
        <w:t xml:space="preserve">or </w:t>
      </w:r>
      <w:r>
        <w:rPr>
          <w:rFonts w:ascii="Times New Roman" w:hAnsi="Times New Roman"/>
          <w:sz w:val="20"/>
        </w:rPr>
        <w:t>“</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 xml:space="preserve">(u) </w:t>
      </w:r>
      <w:r>
        <w:rPr>
          <w:rFonts w:ascii="Times New Roman" w:hAnsi="Times New Roman"/>
          <w:sz w:val="20"/>
        </w:rPr>
        <w:t>“</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 xml:space="preserve">(v) </w:t>
      </w:r>
      <w:r>
        <w:rPr>
          <w:rFonts w:ascii="Times New Roman" w:hAnsi="Times New Roman"/>
          <w:sz w:val="20"/>
        </w:rPr>
        <w:t>“</w:t>
      </w:r>
      <w:r>
        <w:rPr>
          <w:rFonts w:ascii="Times New Roman" w:hAnsi="Times New Roman"/>
          <w:b/>
          <w:i/>
          <w:sz w:val="20"/>
        </w:rPr>
        <w:t>Effective Date</w:t>
      </w:r>
      <w:r>
        <w:rPr>
          <w:rFonts w:ascii="Times New Roman" w:hAnsi="Times New Roman"/>
          <w:sz w:val="20"/>
        </w:rPr>
        <w:t xml:space="preserve">” means the later of (i) the date on which the Plan is approved by the stockholders of the Company in accordance with Section 13, and (ii) the day that is one day prior to the date of the closing of the transactions contemplated by that certain Agreement and Plan of Merger, dated as of March 17, 2022 (as amended), by and among the Company and the other parties thereto. </w:t>
      </w:r>
    </w:p>
    <w:p>
      <w:pPr>
        <w:pStyle w:val="TextBody"/>
        <w:bidi w:val="0"/>
        <w:spacing w:before="240" w:after="0"/>
        <w:jc w:val="left"/>
        <w:rPr>
          <w:rFonts w:ascii="Times New Roman" w:hAnsi="Times New Roman"/>
          <w:sz w:val="20"/>
        </w:rPr>
      </w:pPr>
      <w:r>
        <w:rPr>
          <w:rFonts w:ascii="Times New Roman" w:hAnsi="Times New Roman"/>
          <w:b/>
          <w:sz w:val="20"/>
        </w:rPr>
        <w:t xml:space="preserve">(w) </w:t>
      </w:r>
      <w:r>
        <w:rPr>
          <w:rFonts w:ascii="Times New Roman" w:hAnsi="Times New Roman"/>
          <w:sz w:val="20"/>
        </w:rPr>
        <w:t>“</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 xml:space="preserve">(x) </w:t>
      </w:r>
      <w:r>
        <w:rPr>
          <w:rFonts w:ascii="Times New Roman" w:hAnsi="Times New Roman"/>
          <w:sz w:val="20"/>
        </w:rPr>
        <w:t>“</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(y) </w:t>
      </w:r>
      <w:r>
        <w:rPr>
          <w:rFonts w:ascii="Times New Roman" w:hAnsi="Times New Roman"/>
          <w:sz w:val="20"/>
        </w:rPr>
        <w:t>“</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 xml:space="preserve">(z) </w:t>
      </w: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 xml:space="preserve">(aa) </w:t>
      </w:r>
      <w:r>
        <w:rPr>
          <w:rFonts w:ascii="Times New Roman" w:hAnsi="Times New Roman"/>
          <w:sz w:val="20"/>
        </w:rPr>
        <w:t>“</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 xml:space="preserve">(bb) </w:t>
      </w:r>
      <w:r>
        <w:rPr>
          <w:rFonts w:ascii="Times New Roman" w:hAnsi="Times New Roman"/>
          <w:sz w:val="20"/>
        </w:rPr>
        <w:t>“</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(i)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(ii) if there is no closing sales price for the Common Stock on the date of determination, then the Fair Market Value will be the closing selling price on the last preceding date for which such quotation exists; or (iii)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 xml:space="preserve">(cc) </w:t>
      </w:r>
      <w:r>
        <w:rPr>
          <w:rFonts w:ascii="Times New Roman" w:hAnsi="Times New Roman"/>
          <w:sz w:val="20"/>
        </w:rPr>
        <w:t>“</w:t>
      </w:r>
      <w:r>
        <w:rPr>
          <w:rFonts w:ascii="Times New Roman" w:hAnsi="Times New Roman"/>
          <w:b/>
          <w:i/>
          <w:sz w:val="20"/>
        </w:rPr>
        <w:t>Governmental Body</w:t>
      </w:r>
      <w:r>
        <w:rPr>
          <w:rFonts w:ascii="Times New Roman" w:hAnsi="Times New Roman"/>
          <w:sz w:val="20"/>
        </w:rPr>
        <w:t xml:space="preserve">” means any: (a) nation, state, commonwealth, province, territory, county, municipality, district or other 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 xml:space="preserve">(dd) </w:t>
      </w:r>
      <w:r>
        <w:rPr>
          <w:rFonts w:ascii="Times New Roman" w:hAnsi="Times New Roman"/>
          <w:sz w:val="20"/>
        </w:rPr>
        <w:t>“</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 xml:space="preserve">(ee) </w:t>
      </w:r>
      <w:r>
        <w:rPr>
          <w:rFonts w:ascii="Times New Roman" w:hAnsi="Times New Roman"/>
          <w:sz w:val="20"/>
        </w:rPr>
        <w:t>“</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 xml:space="preserve">(ff) </w:t>
      </w:r>
      <w:r>
        <w:rPr>
          <w:rFonts w:ascii="Times New Roman" w:hAnsi="Times New Roman"/>
          <w:sz w:val="20"/>
        </w:rPr>
        <w:t>“</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 xml:space="preserve">(gg) </w:t>
      </w:r>
      <w:r>
        <w:rPr>
          <w:rFonts w:ascii="Times New Roman" w:hAnsi="Times New Roman"/>
          <w:sz w:val="20"/>
        </w:rPr>
        <w:t>“</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w:t>
      </w:r>
      <w:r>
        <w:rPr>
          <w:rFonts w:ascii="Times New Roman" w:hAnsi="Times New Roman"/>
          <w:sz w:val="20"/>
        </w:rPr>
        <w:t> </w:t>
      </w:r>
      <w:r>
        <w:rPr>
          <w:rFonts w:ascii="Times New Roman" w:hAnsi="Times New Roman"/>
          <w:b/>
          <w:i/>
          <w:sz w:val="20"/>
        </w:rPr>
        <w:t>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 xml:space="preserve">(hh) </w:t>
      </w:r>
      <w:r>
        <w:rPr>
          <w:rFonts w:ascii="Times New Roman" w:hAnsi="Times New Roman"/>
          <w:sz w:val="20"/>
        </w:rPr>
        <w:t>“</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Agreement.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 xml:space="preserve">(jj) </w:t>
      </w:r>
      <w:r>
        <w:rPr>
          <w:rFonts w:ascii="Times New Roman" w:hAnsi="Times New Roman"/>
          <w:sz w:val="20"/>
        </w:rPr>
        <w:t>“</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 xml:space="preserve">(kk) </w:t>
      </w:r>
      <w:r>
        <w:rPr>
          <w:rFonts w:ascii="Times New Roman" w:hAnsi="Times New Roman"/>
          <w:sz w:val="20"/>
        </w:rPr>
        <w:t>“</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 xml:space="preserve">(ll) </w:t>
      </w:r>
      <w:r>
        <w:rPr>
          <w:rFonts w:ascii="Times New Roman" w:hAnsi="Times New Roman"/>
          <w:sz w:val="20"/>
        </w:rPr>
        <w:t>“</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 xml:space="preserve">(mm) </w:t>
      </w:r>
      <w:r>
        <w:rPr>
          <w:rFonts w:ascii="Times New Roman" w:hAnsi="Times New Roman"/>
          <w:sz w:val="20"/>
        </w:rPr>
        <w:t>“</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 xml:space="preserve">(nn) </w:t>
      </w:r>
      <w:r>
        <w:rPr>
          <w:rFonts w:ascii="Times New Roman" w:hAnsi="Times New Roman"/>
          <w:sz w:val="20"/>
        </w:rPr>
        <w:t>“</w:t>
      </w:r>
      <w:r>
        <w:rPr>
          <w:rFonts w:ascii="Times New Roman" w:hAnsi="Times New Roman"/>
          <w:b/>
          <w:i/>
          <w:sz w:val="20"/>
        </w:rPr>
        <w:t>Option Agreement</w:t>
      </w:r>
      <w:r>
        <w:rPr>
          <w:rFonts w:ascii="Times New Roman" w:hAnsi="Times New Roman"/>
          <w:sz w:val="20"/>
        </w:rPr>
        <w:t xml:space="preserve">”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 xml:space="preserve">(oo) </w:t>
      </w:r>
      <w:r>
        <w:rPr>
          <w:rFonts w:ascii="Times New Roman" w:hAnsi="Times New Roman"/>
          <w:sz w:val="20"/>
        </w:rPr>
        <w:t>“</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 xml:space="preserve">(pp) </w:t>
      </w:r>
      <w:r>
        <w:rPr>
          <w:rFonts w:ascii="Times New Roman" w:hAnsi="Times New Roman"/>
          <w:sz w:val="20"/>
        </w:rPr>
        <w:t>“</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Options,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 xml:space="preserve">(qq) </w:t>
      </w:r>
      <w:r>
        <w:rPr>
          <w:rFonts w:ascii="Times New Roman" w:hAnsi="Times New Roman"/>
          <w:sz w:val="20"/>
        </w:rPr>
        <w:t>“</w:t>
      </w:r>
      <w:r>
        <w:rPr>
          <w:rFonts w:ascii="Times New Roman" w:hAnsi="Times New Roman"/>
          <w:b/>
          <w:i/>
          <w:sz w:val="20"/>
        </w:rPr>
        <w:t>Other Award Agreement</w:t>
      </w:r>
      <w:r>
        <w:rPr>
          <w:rFonts w:ascii="Times New Roman" w:hAnsi="Times New Roman"/>
          <w:sz w:val="20"/>
        </w:rPr>
        <w:t xml:space="preserve">” means a written agreement between the Company and a holder of an Other Award evidencing the terms and conditions of an Other Award grant. Each Other Award Agreement will be subject to the terms and conditions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(rr) </w:t>
      </w:r>
      <w:r>
        <w:rPr>
          <w:rFonts w:ascii="Times New Roman" w:hAnsi="Times New Roman"/>
          <w:sz w:val="20"/>
        </w:rPr>
        <w:t>“</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 xml:space="preserve">(ss) </w:t>
      </w:r>
      <w:r>
        <w:rPr>
          <w:rFonts w:ascii="Times New Roman" w:hAnsi="Times New Roman"/>
          <w:sz w:val="20"/>
        </w:rPr>
        <w:t>“</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 xml:space="preserve">(tt) </w:t>
      </w:r>
      <w:r>
        <w:rPr>
          <w:rFonts w:ascii="Times New Roman" w:hAnsi="Times New Roman"/>
          <w:sz w:val="20"/>
        </w:rPr>
        <w:t>“</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 xml:space="preserve">(uu) </w:t>
      </w:r>
      <w:r>
        <w:rPr>
          <w:rFonts w:ascii="Times New Roman" w:hAnsi="Times New Roman"/>
          <w:sz w:val="20"/>
        </w:rPr>
        <w:t>“</w:t>
      </w:r>
      <w:r>
        <w:rPr>
          <w:rFonts w:ascii="Times New Roman" w:hAnsi="Times New Roman"/>
          <w:b/>
          <w:i/>
          <w:sz w:val="20"/>
        </w:rPr>
        <w:t>Performance Criteria</w:t>
      </w:r>
      <w:r>
        <w:rPr>
          <w:rFonts w:ascii="Times New Roman" w:hAnsi="Times New Roman"/>
          <w:sz w:val="20"/>
        </w:rPr>
        <w:t xml:space="preserve">”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 </w:t>
      </w:r>
    </w:p>
    <w:p>
      <w:pPr>
        <w:pStyle w:val="TextBody"/>
        <w:bidi w:val="0"/>
        <w:spacing w:before="240" w:after="0"/>
        <w:jc w:val="left"/>
        <w:rPr>
          <w:rFonts w:ascii="Times New Roman" w:hAnsi="Times New Roman"/>
          <w:sz w:val="20"/>
        </w:rPr>
      </w:pPr>
      <w:r>
        <w:rPr>
          <w:rFonts w:ascii="Times New Roman" w:hAnsi="Times New Roman"/>
          <w:b/>
          <w:sz w:val="20"/>
        </w:rPr>
        <w:t xml:space="preserve">(vv) </w:t>
      </w:r>
      <w:r>
        <w:rPr>
          <w:rFonts w:ascii="Times New Roman" w:hAnsi="Times New Roman"/>
          <w:sz w:val="20"/>
        </w:rPr>
        <w:t>“</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bidi w:val="0"/>
        <w:spacing w:before="240" w:after="0"/>
        <w:jc w:val="left"/>
        <w:rPr>
          <w:rFonts w:ascii="Times New Roman" w:hAnsi="Times New Roman"/>
          <w:sz w:val="20"/>
        </w:rPr>
      </w:pPr>
      <w:r>
        <w:rPr>
          <w:rFonts w:ascii="Times New Roman" w:hAnsi="Times New Roman"/>
          <w:b/>
          <w:sz w:val="20"/>
        </w:rPr>
        <w:t xml:space="preserve">(ww) </w:t>
      </w:r>
      <w:r>
        <w:rPr>
          <w:rFonts w:ascii="Times New Roman" w:hAnsi="Times New Roman"/>
          <w:sz w:val="20"/>
        </w:rPr>
        <w:t>“</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 xml:space="preserve">(xx) </w:t>
      </w:r>
      <w:r>
        <w:rPr>
          <w:rFonts w:ascii="Times New Roman" w:hAnsi="Times New Roman"/>
          <w:sz w:val="20"/>
        </w:rPr>
        <w:t>“</w:t>
      </w:r>
      <w:r>
        <w:rPr>
          <w:rFonts w:ascii="Times New Roman" w:hAnsi="Times New Roman"/>
          <w:b/>
          <w:i/>
          <w:sz w:val="20"/>
        </w:rPr>
        <w:t>Plan</w:t>
      </w:r>
      <w:r>
        <w:rPr>
          <w:rFonts w:ascii="Times New Roman" w:hAnsi="Times New Roman"/>
          <w:sz w:val="20"/>
        </w:rPr>
        <w:t xml:space="preserve">” means this Scilex Holding Company 2022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 xml:space="preserve">(yy) </w:t>
      </w:r>
      <w:r>
        <w:rPr>
          <w:rFonts w:ascii="Times New Roman" w:hAnsi="Times New Roman"/>
          <w:sz w:val="20"/>
        </w:rPr>
        <w:t>“</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 xml:space="preserve">(zz) </w:t>
      </w:r>
      <w:r>
        <w:rPr>
          <w:rFonts w:ascii="Times New Roman" w:hAnsi="Times New Roman"/>
          <w:sz w:val="20"/>
        </w:rPr>
        <w:t>“</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 xml:space="preserve">(aaa) </w:t>
      </w:r>
      <w:r>
        <w:rPr>
          <w:rFonts w:ascii="Times New Roman" w:hAnsi="Times New Roman"/>
          <w:sz w:val="20"/>
        </w:rPr>
        <w:t>“</w:t>
      </w:r>
      <w:r>
        <w:rPr>
          <w:rFonts w:ascii="Times New Roman" w:hAnsi="Times New Roman"/>
          <w:b/>
          <w:i/>
          <w:sz w:val="20"/>
        </w:rPr>
        <w:t>Prior Plan</w:t>
      </w:r>
      <w:r>
        <w:rPr>
          <w:rFonts w:ascii="Times New Roman" w:hAnsi="Times New Roman"/>
          <w:sz w:val="20"/>
        </w:rPr>
        <w:t xml:space="preserve">” means the Company’s 2019 Equity Incentive Plan, as amended. </w:t>
      </w:r>
    </w:p>
    <w:p>
      <w:pPr>
        <w:pStyle w:val="TextBody"/>
        <w:bidi w:val="0"/>
        <w:spacing w:before="240" w:after="0"/>
        <w:jc w:val="left"/>
        <w:rPr>
          <w:rFonts w:ascii="Times New Roman" w:hAnsi="Times New Roman"/>
          <w:sz w:val="20"/>
        </w:rPr>
      </w:pPr>
      <w:r>
        <w:rPr>
          <w:rFonts w:ascii="Times New Roman" w:hAnsi="Times New Roman"/>
          <w:b/>
          <w:sz w:val="20"/>
        </w:rPr>
        <w:t xml:space="preserve">(bbb) </w:t>
      </w:r>
      <w:r>
        <w:rPr>
          <w:rFonts w:ascii="Times New Roman" w:hAnsi="Times New Roman"/>
          <w:sz w:val="20"/>
        </w:rPr>
        <w:t>“</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 xml:space="preserve">(ccc) </w:t>
      </w:r>
      <w:r>
        <w:rPr>
          <w:rFonts w:ascii="Times New Roman" w:hAnsi="Times New Roman"/>
          <w:sz w:val="20"/>
        </w:rPr>
        <w:t>“</w:t>
      </w:r>
      <w:r>
        <w:rPr>
          <w:rFonts w:ascii="Times New Roman" w:hAnsi="Times New Roman"/>
          <w:b/>
          <w:i/>
          <w:sz w:val="20"/>
        </w:rPr>
        <w:t>Restricted Stock Award Agreement</w:t>
      </w:r>
      <w:r>
        <w:rPr>
          <w:rFonts w:ascii="Times New Roman" w:hAnsi="Times New Roman"/>
          <w:sz w:val="20"/>
        </w:rPr>
        <w:t xml:space="preserve">”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 xml:space="preserve">(ddd) </w:t>
      </w:r>
      <w:r>
        <w:rPr>
          <w:rFonts w:ascii="Times New Roman" w:hAnsi="Times New Roman"/>
          <w:sz w:val="20"/>
        </w:rPr>
        <w:t>“</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 xml:space="preserve">(eee) </w:t>
      </w:r>
      <w:r>
        <w:rPr>
          <w:rFonts w:ascii="Times New Roman" w:hAnsi="Times New Roman"/>
          <w:sz w:val="20"/>
        </w:rPr>
        <w:t>“</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 xml:space="preserve">(fff) </w:t>
      </w:r>
      <w:r>
        <w:rPr>
          <w:rFonts w:ascii="Times New Roman" w:hAnsi="Times New Roman"/>
          <w:sz w:val="20"/>
        </w:rPr>
        <w:t>“</w:t>
      </w:r>
      <w:r>
        <w:rPr>
          <w:rFonts w:ascii="Times New Roman" w:hAnsi="Times New Roman"/>
          <w:b/>
          <w:i/>
          <w:sz w:val="20"/>
        </w:rPr>
        <w:t>RSU Award Agreement</w:t>
      </w:r>
      <w:r>
        <w:rPr>
          <w:rFonts w:ascii="Times New Roman" w:hAnsi="Times New Roman"/>
          <w:sz w:val="20"/>
        </w:rPr>
        <w:t xml:space="preserve">”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 xml:space="preserve">(ggg) </w:t>
      </w:r>
      <w:r>
        <w:rPr>
          <w:rFonts w:ascii="Times New Roman" w:hAnsi="Times New Roman"/>
          <w:sz w:val="20"/>
        </w:rPr>
        <w:t>“</w:t>
      </w:r>
      <w:r>
        <w:rPr>
          <w:rFonts w:ascii="Times New Roman" w:hAnsi="Times New Roman"/>
          <w:b/>
          <w:i/>
          <w:sz w:val="20"/>
        </w:rPr>
        <w:t>Rule</w:t>
      </w:r>
      <w:r>
        <w:rPr>
          <w:rFonts w:ascii="Times New Roman" w:hAnsi="Times New Roman"/>
          <w:sz w:val="20"/>
        </w:rPr>
        <w:t> </w:t>
      </w:r>
      <w:r>
        <w:rPr>
          <w:rFonts w:ascii="Times New Roman" w:hAnsi="Times New Roman"/>
          <w:b/>
          <w:i/>
          <w:sz w:val="20"/>
        </w:rPr>
        <w:t>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 xml:space="preserve">(hhh) </w:t>
      </w:r>
      <w:r>
        <w:rPr>
          <w:rFonts w:ascii="Times New Roman" w:hAnsi="Times New Roman"/>
          <w:sz w:val="20"/>
        </w:rPr>
        <w:t>“</w:t>
      </w:r>
      <w:r>
        <w:rPr>
          <w:rFonts w:ascii="Times New Roman" w:hAnsi="Times New Roman"/>
          <w:b/>
          <w:i/>
          <w:sz w:val="20"/>
        </w:rPr>
        <w:t>Rule</w:t>
      </w:r>
      <w:r>
        <w:rPr>
          <w:rFonts w:ascii="Times New Roman" w:hAnsi="Times New Roman"/>
          <w:sz w:val="20"/>
        </w:rPr>
        <w:t> </w:t>
      </w:r>
      <w:r>
        <w:rPr>
          <w:rFonts w:ascii="Times New Roman" w:hAnsi="Times New Roman"/>
          <w:b/>
          <w:i/>
          <w:sz w:val="20"/>
        </w:rPr>
        <w:t>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 xml:space="preserve">(jjj) </w:t>
      </w:r>
      <w:r>
        <w:rPr>
          <w:rFonts w:ascii="Times New Roman" w:hAnsi="Times New Roman"/>
          <w:sz w:val="20"/>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 xml:space="preserve">(kkk) </w:t>
      </w: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 xml:space="preserve">(lll) </w:t>
      </w:r>
      <w:r>
        <w:rPr>
          <w:rFonts w:ascii="Times New Roman" w:hAnsi="Times New Roman"/>
          <w:sz w:val="20"/>
        </w:rPr>
        <w:t>“</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 xml:space="preserve">(mmm) </w:t>
      </w:r>
      <w:r>
        <w:rPr>
          <w:rFonts w:ascii="Times New Roman" w:hAnsi="Times New Roman"/>
          <w:sz w:val="20"/>
        </w:rPr>
        <w:t>“</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 xml:space="preserve">(nnn) </w:t>
      </w:r>
      <w:r>
        <w:rPr>
          <w:rFonts w:ascii="Times New Roman" w:hAnsi="Times New Roman"/>
          <w:sz w:val="20"/>
        </w:rPr>
        <w:t>“</w:t>
      </w:r>
      <w:r>
        <w:rPr>
          <w:rFonts w:ascii="Times New Roman" w:hAnsi="Times New Roman"/>
          <w:b/>
          <w:i/>
          <w:sz w:val="20"/>
        </w:rPr>
        <w:t>SAR Agreement</w:t>
      </w:r>
      <w:r>
        <w:rPr>
          <w:rFonts w:ascii="Times New Roman" w:hAnsi="Times New Roman"/>
          <w:sz w:val="20"/>
        </w:rPr>
        <w:t xml:space="preserve">”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 xml:space="preserve">(ooo) </w:t>
      </w: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 xml:space="preserve">(ppp) </w:t>
      </w:r>
      <w:r>
        <w:rPr>
          <w:rFonts w:ascii="Times New Roman" w:hAnsi="Times New Roman"/>
          <w:sz w:val="20"/>
        </w:rPr>
        <w:t>“</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(qqq) </w:t>
      </w:r>
      <w:r>
        <w:rPr>
          <w:rFonts w:ascii="Times New Roman" w:hAnsi="Times New Roman"/>
          <w:sz w:val="20"/>
        </w:rPr>
        <w:t>“</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 xml:space="preserve">(rrr) </w:t>
      </w:r>
      <w:r>
        <w:rPr>
          <w:rFonts w:ascii="Times New Roman" w:hAnsi="Times New Roman"/>
          <w:sz w:val="20"/>
        </w:rPr>
        <w:t>“</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(sss) </w:t>
      </w:r>
      <w:r>
        <w:rPr>
          <w:rFonts w:ascii="Times New Roman" w:hAnsi="Times New Roman"/>
          <w:sz w:val="20"/>
        </w:rPr>
        <w:t>“</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696075" cy="866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96075" cy="8667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SCAN TO VIEW MATERIALS &amp; VOTE w SCILEX HOLDING COMPANY 960 SAN ANTONIO RD VOTE BY INTERNET PALO ALTO, CA 94303 Before The Meeting - Go to www.proxyvote.com or scan the QR Barcode above Use the Internet to transmit your voting instructions and for electronic delivery of information up until 11:59 p.m. Eastern Time on June 23, 2026. Have your proxy card in hand when you access the web site and follow the instructions to obtain your records and to create an electronic voting instruction form. During The Meeting—Go to www.virtualshareholdermeeting.com/SCLX2026 You may attend the meeting via the Internet and vote during the meeting. Have the information that is printed in the box marked by the arrow available and follow the instructions. VOTE BY PHONE—1-800-690-6903 Use any touch-tone telephone to transmit your voting instructions up until 11:59 p.m. Eastern Time on June 23,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V96936-P52439 KEEP THIS PORTION FOR YOUR RECORDS THIS PROXY CARD IS VALID ONLY WHEN SIGNED AND DATED. DETACH AND RETURN THIS PORTION ONLY SCILEX HOLDING COMPANY The Board of Directors recommends you vote FOR the nominee in Proposal 1 and FOR Proposals 2 and 3. 1. Election of Director Nominee: For Withhold 1a. Dorman Follow will ! ! For Against Abstain 2. Proposal to ratify the appointment of BPM LLP as our independent registered public accounting firm for the fiscal year ending December 31, 2026. ! ! ! 3. To approve the amendment to the Scilex Holding Company 2022 Equity Incentive Plan (as amended) to (i) increase the number of shares authorized for ! ! ! issuance thereunder by 1,300,000 shares to 2,765,789 shares and (ii) increase the number of shares authorized for issuance thereunder pursuant to the exercise of incentive stock options to 2,765,789 shares. NOTE: In their discretion, the proxies are authorized to vote upon such other business as may properly come before the meeting or any adjournments or postponements thereof. You may attend the Annual Meeting via the Internet and vote during the Annual Meeting. Have the information that is printed in the box marked with the arrow on your proxy card available and follow the instructions.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696075" cy="866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96075" cy="86677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You are cordially invited to attend our 2026 Annual Meeting of Stockholders, to be held virtually, via live webcast at www.virtualshareholdermeeting.com/SCLX2026 at 9:00 AM Pacific Time on Wednesday, June 24, 2026. Important Notice Regarding the Availability of Proxy Materials for the Annual Meeting: The Proxy Statement and Form 10-K are available at www.proxyvote.com. V96937-P52439 SCILEX HOLDING COMPANY Annual Meeting of Stockholders June 24, 2026 9:00 AM Pacific Time This proxy is solicited by the Board of Directors The stockholder(s) hereby appoint(s) Henry Ji, Ph.D. and Stephen Ma, or any of them, as proxies, each with the power to appoint his substitute, and hereby authorize(s) them to represent and to vote, as designated on the reverse side of this ballot, all of the shares of Common Stock and Series A Preferred Stock of SCILEX HOLDING COMPANY that the stockholder(s) is/are entitled to vote at the Annual Meeting of Stockholders to be held at 9:00 AM Pacific Time on June 24, 2026, via live webcast at www.virtualshareholdermeeting.com/SCLX2026 and any adjournments or postponements thereof. This proxy, when properly executed, will be voted in the manner directed herein. If no such direction is made, this proxy will be voted “FOR” the election of the nominee for the Board of Directors listed on the reverse side and “FOR” proposals 2 and 3. In their discretion, the proxies are authorized to vote upon such other business as may properly come before the meeting or any adjournments or postponements thereof. Please note, there will be no physical location for the meeting. To attend the meeting live via the Internet, please go to www.virtualshareholdermeeting.com/SCLX2026 and have your 16-digit control number available to login. This proxy is governed by the laws of the State of Delaware.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60292</Words>
  <Characters>316635</Characters>
  <CharactersWithSpaces>377868</CharactersWithSpaces>
  <Paragraphs>3174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