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156" w:lineRule="exact"/>
        <w:rPr>
          <w:sz w:val="24"/>
          <w:szCs w:val="24"/>
          <w:color w:val="auto"/>
        </w:rPr>
      </w:pPr>
    </w:p>
    <w:p>
      <w:pPr>
        <w:ind w:left="100" w:right="100"/>
        <w:spacing w:after="0" w:line="263" w:lineRule="auto"/>
        <w:rPr>
          <w:sz w:val="20"/>
          <w:szCs w:val="20"/>
          <w:color w:val="auto"/>
        </w:rPr>
      </w:pPr>
      <w:r>
        <w:rPr>
          <w:rFonts w:ascii="Times New Roman" w:cs="Times New Roman" w:eastAsia="Times New Roman" w:hAnsi="Times New Roman"/>
          <w:sz w:val="18"/>
          <w:szCs w:val="18"/>
          <w:b w:val="1"/>
          <w:bCs w:val="1"/>
          <w:color w:val="auto"/>
        </w:rPr>
        <w:t>PROSPECTUS SUPPLEMENT NO. 18 Registration No. 333-268603 (to Prospectus dated May 13, 2025)</w:t>
      </w:r>
    </w:p>
    <w:p>
      <w:pPr>
        <w:sectPr>
          <w:pgSz w:w="11900" w:h="16838" w:orient="portrait"/>
          <w:cols w:equalWidth="0" w:num="1">
            <w:col w:w="11240"/>
          </w:cols>
          <w:pgMar w:left="320" w:top="1440" w:right="339" w:bottom="1440" w:gutter="0" w:footer="0" w:header="0"/>
        </w:sectPr>
      </w:pPr>
    </w:p>
    <w:p>
      <w:pPr>
        <w:spacing w:after="0" w:line="25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PROSPECTUS SUPPLEMENT NO. 18</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(to Prospectus dated May 13, 2025)</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No. 333-280882</w:t>
      </w:r>
    </w:p>
    <w:p>
      <w:pPr>
        <w:spacing w:after="0" w:line="279" w:lineRule="exact"/>
        <w:rPr>
          <w:sz w:val="24"/>
          <w:szCs w:val="24"/>
          <w:color w:val="auto"/>
        </w:rPr>
      </w:pPr>
    </w:p>
    <w:p>
      <w:pPr>
        <w:sectPr>
          <w:pgSz w:w="11900" w:h="16838" w:orient="portrait"/>
          <w:cols w:equalWidth="0" w:num="2">
            <w:col w:w="8240" w:space="720"/>
            <w:col w:w="22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b w:val="1"/>
          <w:bCs w:val="1"/>
          <w:color w:val="auto"/>
        </w:rPr>
        <w:t>PROSPECTUS SUPPLEMENT NO. 18</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(to Prospectus dated May 13, 2025)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Registration No. 333-275117</w:t>
      </w:r>
    </w:p>
    <w:p>
      <w:pPr>
        <w:spacing w:after="0" w:line="438" w:lineRule="exact"/>
        <w:rPr>
          <w:sz w:val="24"/>
          <w:szCs w:val="24"/>
          <w:color w:val="auto"/>
        </w:rPr>
      </w:pPr>
    </w:p>
    <w:p>
      <w:pPr>
        <w:sectPr>
          <w:pgSz w:w="11900" w:h="16838" w:orient="portrait"/>
          <w:cols w:equalWidth="0" w:num="2">
            <w:col w:w="8240" w:space="720"/>
            <w:col w:w="2280"/>
          </w:cols>
          <w:pgMar w:left="320" w:top="1440" w:right="339" w:bottom="1440" w:gutter="0" w:footer="0" w:header="0"/>
          <w:type w:val="continuous"/>
        </w:sectPr>
      </w:pP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SCILEX HOLDING COMPANY</w:t>
      </w:r>
    </w:p>
    <w:p>
      <w:pPr>
        <w:spacing w:after="0" w:line="232" w:lineRule="exact"/>
        <w:rPr>
          <w:sz w:val="24"/>
          <w:szCs w:val="24"/>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 to 1,594,207 Shares of Common Stock Up to 198,810 Shares of Common Stock Issuable Upon the Exercise of Warrants Up to 1,402,955 Warrants</w:t>
      </w: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3,593,288 Shares of 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3,250,000 Shares of Common Stock offered by the Selling Securityholder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6,685,714 Shares of Common Stock</w:t>
      </w:r>
    </w:p>
    <w:p>
      <w:pPr>
        <w:spacing w:after="0" w:line="22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0" w:lineRule="exact"/>
        <w:rPr>
          <w:sz w:val="24"/>
          <w:szCs w:val="24"/>
          <w:color w:val="auto"/>
        </w:rPr>
      </w:pPr>
    </w:p>
    <w:p>
      <w:pPr>
        <w:spacing w:after="0" w:line="245" w:lineRule="exact"/>
        <w:rPr>
          <w:sz w:val="24"/>
          <w:szCs w:val="24"/>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supplement updates and supplements: (i) the prospectus dated May 13, 2025, which forms a part of our registration statement on Form S-1 (No. 333-268603) for which Post-Effective Amendment No. 3 was filed with the Securities and Exchange Commission (the “SEC”) on May 7, 2025 and declared effective by the SEC on May 13, 2025 (the “Post-deSPAC Prospectus”); (ii) </w:t>
      </w:r>
      <w:r>
        <w:rPr>
          <w:rFonts w:ascii="Times New Roman" w:cs="Times New Roman" w:eastAsia="Times New Roman" w:hAnsi="Times New Roman"/>
          <w:sz w:val="18"/>
          <w:szCs w:val="18"/>
          <w:color w:val="231F20"/>
        </w:rPr>
        <w:t>the prospectus dated May 13, 2025, which forms a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our registration statement on Form S-1 (No. 333-280882) for which Post-Effective Amendment No. 1 was filed with the SEC on May 7, 2025 and declared effective by the SEC on May 13, 2025 (the “Conversion Prospectus”); and (iii) </w:t>
      </w:r>
      <w:r>
        <w:rPr>
          <w:rFonts w:ascii="Times New Roman" w:cs="Times New Roman" w:eastAsia="Times New Roman" w:hAnsi="Times New Roman"/>
          <w:sz w:val="18"/>
          <w:szCs w:val="18"/>
          <w:color w:val="000000"/>
        </w:rPr>
        <w:t>the prospectus dated May 13, 2025, which forms a part of our registration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statement on Form S-1 (No. 333-275117) for which Post-Effective Amendment No. 2 was filed with the SEC on May 7, 2025 and declared effective by the SEC on May 13, 2025 (the “Oramed Resale Prospectus” and together with the Post-deSPAC Prospectus and the Conversion Prospectus, the “Prospectuses”). This prospectus supplement is being filed to update and supplement the information in the Prospectuses with the information contained in our Current Reports on Form 8-K, filed with the SEC on February 2, 2026, February 3, 2026, and February 20, 2026 (collectively, the “Current Reports”). Accordingly, we have attached the Current Reports to this prospectus supplement.</w:t>
      </w:r>
    </w:p>
    <w:p>
      <w:pPr>
        <w:spacing w:after="0" w:line="194" w:lineRule="exact"/>
        <w:rPr>
          <w:sz w:val="24"/>
          <w:szCs w:val="24"/>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“SCLX”. On February 19, 2026, the last reported sales price per share of our Common Stock was $8.01. Our Public Warrants are listed on the Nasdaq Capital Market under the symbol “SCLXW.” On February 19, 2026, the closing sale price per warrant of our Public Warrants was $0.15.</w:t>
      </w:r>
    </w:p>
    <w:p>
      <w:pPr>
        <w:spacing w:after="0" w:line="176" w:lineRule="exact"/>
        <w:rPr>
          <w:sz w:val="24"/>
          <w:szCs w:val="24"/>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On April 15, 2025, we effected a reverse stock split of our Common Stock at a ratio of 1-for-35 (the “Reverse Stock Split”). Unless otherwise noted, the share and per share information in the Prospectuses and this prospectus supplement reflects the effect of the Reverse Stock Split.</w:t>
      </w:r>
    </w:p>
    <w:p>
      <w:pPr>
        <w:spacing w:after="0" w:line="162" w:lineRule="exact"/>
        <w:rPr>
          <w:sz w:val="24"/>
          <w:szCs w:val="24"/>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Prospectuses and is not complete without, and may not be delivered or utilized except in combination with, the Prospectuses, including any amendments or supplements thereto. This prospectus supplement should be read in conjunction with the Prospectuses and if there is any inconsistency between the information in the Prospectuses and this prospectus supplement, you should rely on the information in this prospectus supplement.</w:t>
      </w:r>
    </w:p>
    <w:p>
      <w:pPr>
        <w:spacing w:after="0" w:line="176" w:lineRule="exact"/>
        <w:rPr>
          <w:sz w:val="24"/>
          <w:szCs w:val="24"/>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See the section titled “Risk Factors” beginning on page 23 of the Post-deSPAC Prospectus, page 23 of the Conversion Prospectus, and page 23 of the Oramed Resale Prospectus, as well as risks and uncertainties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described under similar headings in any amendments or supplements to the Prospectuses to read about factors you should consider before buying our securities.</w:t>
      </w:r>
    </w:p>
    <w:p>
      <w:pPr>
        <w:spacing w:after="0" w:line="15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accuracy or adequacy of this prospectus supplement or the Prospectuses. Any representation to the contrary is a criminal offense.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2026</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9"/>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0"/>
          <w:szCs w:val="20"/>
          <w:color w:val="auto"/>
        </w:rPr>
      </w:pPr>
    </w:p>
    <w:p>
      <w:pPr>
        <w:ind w:left="1120" w:hanging="603"/>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03"/>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120" w:hanging="603"/>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080" w:firstLine="517"/>
        <w:spacing w:after="0" w:line="349" w:lineRule="auto"/>
        <w:tabs>
          <w:tab w:leader="none" w:pos="11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Scilex Holding Company (the “Company”) entered into a Convertible Promissory Note, dated January 29, 2026 (the “Note”), with Quantum Scan Holdings, Inc. (“Q Scan”). Pursuant to the Note, the Company loaned Q Scan an aggregate of $20 million. The Note had a maturity date of October 29, 2026 and would commence accruing interest at a rate of 3.66% per annum commencing on April 29, 2026. The Note converted in full into an aggregate of 140,379,226 shares of common stock of Q Scan (the “Common Stock”) on January 29, 2026. The Note contains customary representations and warranties of the Company and Q Scan and customary covenants of Q Scan.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Q Scan entered into a common stock purchase agreement, dated January 29, 2026, with Q Scan (the “Stock Purchase Agreement”). Pursuant to the Stock Purchase Agreement, Q Scan agreed to sell to the Company, and the Company agreed to purchase from Q Scan, an aggregate of 193,021,436 shares of Common Stock (the “Stock Purchase”) for an aggregate purchase price of approximately $27.5 million. The closing of the Stock Purchase shall occur within five business days of written notice delivered by Q Scan to the Company. The Stock Purchase Agreement contains customary representations, warranties and covenants of the Company and Q Scan.</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Stephen Ma, the Company’s Chief Financial Officer and a member of the Company’s Board of Directors, has served as Q Scan’s interim Chief Financial Officer since January 16, 2026. As of the date of this Current Report on Form 8-K, Mr. Ma has not received any cash, equity or other compensation from Q Scan in his capacity as Q Scan’s interim Chief Financial Officer.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Note and the Stock Purchase Agreement do not purport to be complete and are qualified in their entirety by reference to the full text of the Note and the Stock Purchase Agreement, which the Company intends to file as exhibits to the Company’s Quarterly Report on Form 10-Q for the fiscal quarter ending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0" w:type="dxa"/>
            <w:vAlign w:val="bottom"/>
          </w:tcPr>
          <w:p>
            <w:pPr>
              <w:spacing w:after="0"/>
              <w:rPr>
                <w:sz w:val="24"/>
                <w:szCs w:val="24"/>
                <w:color w:val="auto"/>
              </w:rPr>
            </w:pPr>
          </w:p>
        </w:tc>
        <w:tc>
          <w:tcPr>
            <w:tcW w:w="101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tc>
        <w:tc>
          <w:tcPr>
            <w:tcW w:w="0" w:type="dxa"/>
            <w:vAlign w:val="bottom"/>
          </w:tcPr>
          <w:p>
            <w:pPr>
              <w:spacing w:after="0"/>
              <w:rPr>
                <w:sz w:val="1"/>
                <w:szCs w:val="1"/>
                <w:color w:val="auto"/>
              </w:rPr>
            </w:pPr>
          </w:p>
        </w:tc>
      </w:tr>
      <w:tr>
        <w:trPr>
          <w:trHeight w:val="2059"/>
        </w:trPr>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420" w:type="dxa"/>
            <w:vAlign w:val="bottom"/>
          </w:tcPr>
          <w:p>
            <w:pPr>
              <w:spacing w:after="0"/>
              <w:rPr>
                <w:sz w:val="24"/>
                <w:szCs w:val="24"/>
                <w:color w:val="auto"/>
              </w:rPr>
            </w:pPr>
          </w:p>
        </w:tc>
        <w:tc>
          <w:tcPr>
            <w:tcW w:w="24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Ji</w:t>
            </w:r>
          </w:p>
        </w:tc>
      </w:tr>
      <w:tr>
        <w:trPr>
          <w:trHeight w:val="191"/>
        </w:trPr>
        <w:tc>
          <w:tcPr>
            <w:tcW w:w="3420" w:type="dxa"/>
            <w:vAlign w:val="bottom"/>
          </w:tcPr>
          <w:p>
            <w:pPr>
              <w:spacing w:after="0"/>
              <w:rPr>
                <w:sz w:val="16"/>
                <w:szCs w:val="16"/>
                <w:color w:val="auto"/>
              </w:rPr>
            </w:pPr>
          </w:p>
        </w:tc>
        <w:tc>
          <w:tcPr>
            <w:tcW w:w="2440" w:type="dxa"/>
            <w:vAlign w:val="bottom"/>
          </w:tcPr>
          <w:p>
            <w:pPr>
              <w:ind w:left="1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Henry Ji</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2026</w:t>
            </w:r>
          </w:p>
        </w:tc>
        <w:tc>
          <w:tcPr>
            <w:tcW w:w="24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1627"/>
        </w:trPr>
        <w:tc>
          <w:tcPr>
            <w:tcW w:w="34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 2026</w:t>
      </w: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SCILEX HOLDING COMPANY</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001-39852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92-1062542</w:t>
      </w:r>
    </w:p>
    <w:p>
      <w:pPr>
        <w:spacing w:after="0" w:line="23" w:lineRule="exact"/>
        <w:rPr>
          <w:sz w:val="20"/>
          <w:szCs w:val="20"/>
          <w:color w:val="auto"/>
        </w:rPr>
      </w:pPr>
    </w:p>
    <w:p>
      <w:pPr>
        <w:sectPr>
          <w:pgSz w:w="11900" w:h="16838" w:orient="portrait"/>
          <w:cols w:equalWidth="0" w:num="3">
            <w:col w:w="5320" w:space="720"/>
            <w:col w:w="2300" w:space="720"/>
            <w:col w:w="2180"/>
          </w:cols>
          <w:pgMar w:left="320" w:top="1440" w:right="339" w:bottom="1440" w:gutter="0" w:footer="0" w:header="0"/>
          <w:type w:val="continuous"/>
        </w:sect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ectPr>
          <w:pgSz w:w="11900" w:h="16838" w:orient="portrait"/>
          <w:cols w:equalWidth="0" w:num="3">
            <w:col w:w="5300" w:space="720"/>
            <w:col w:w="2180" w:space="720"/>
            <w:col w:w="2320"/>
          </w:cols>
          <w:pgMar w:left="320" w:top="1440" w:right="3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960 San Antonio Road, Palo Alto, California, 94303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40"/>
          </w:cols>
          <w:pgMar w:left="320" w:top="1440" w:right="339" w:bottom="1440" w:gutter="0" w:footer="0" w:header="0"/>
          <w:type w:val="continuous"/>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516-4310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0" w:lineRule="exact"/>
        <w:rPr>
          <w:sz w:val="20"/>
          <w:szCs w:val="20"/>
          <w:color w:val="auto"/>
        </w:rPr>
      </w:pPr>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 w:type="dxa"/>
            <w:vAlign w:val="bottom"/>
          </w:tcPr>
          <w:p>
            <w:pPr>
              <w:spacing w:after="0"/>
              <w:rPr>
                <w:sz w:val="13"/>
                <w:szCs w:val="13"/>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73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 w:type="dxa"/>
            <w:vAlign w:val="bottom"/>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8"/>
        </w:trPr>
        <w:tc>
          <w:tcPr>
            <w:tcW w:w="7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40" w:type="dxa"/>
            <w:vAlign w:val="bottom"/>
          </w:tcPr>
          <w:p>
            <w:pPr>
              <w:spacing w:after="0"/>
              <w:rPr>
                <w:sz w:val="17"/>
                <w:szCs w:val="17"/>
                <w:color w:val="auto"/>
              </w:rPr>
            </w:pPr>
          </w:p>
        </w:tc>
        <w:tc>
          <w:tcPr>
            <w:tcW w:w="8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SCLX</w:t>
            </w:r>
          </w:p>
        </w:tc>
        <w:tc>
          <w:tcPr>
            <w:tcW w:w="40" w:type="dxa"/>
            <w:vAlign w:val="bottom"/>
          </w:tcPr>
          <w:p>
            <w:pPr>
              <w:spacing w:after="0"/>
              <w:rPr>
                <w:sz w:val="17"/>
                <w:szCs w:val="17"/>
                <w:color w:val="auto"/>
              </w:rPr>
            </w:pPr>
          </w:p>
        </w:tc>
        <w:tc>
          <w:tcPr>
            <w:tcW w:w="2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7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 at an exercise price of $402.50 per share</w:t>
            </w:r>
          </w:p>
        </w:tc>
        <w:tc>
          <w:tcPr>
            <w:tcW w:w="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SCLXW</w:t>
            </w:r>
          </w:p>
        </w:tc>
        <w:tc>
          <w:tcPr>
            <w:tcW w:w="4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90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3.03.</w:t>
      </w:r>
    </w:p>
    <w:p>
      <w:pPr>
        <w:spacing w:after="0" w:line="3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Changes in Fiscal Year.</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on October 28, 2024, in connection with and in order to consummate the distribution of the previously contemplated dividend described below, Scilex Holding Company (the “Company”) filed a Certificate of Designation of Preferences, Rights and Limitations of Series 1 Mandatory Exchangeable Preferred Stock (the “Certificate of Designation”) with the Secretary of State of the State of Delaware, designating 5,000,000 shares of the Company’s authorized but unissued preferred stock, par value $0.0001 per share, as Series 1 Mandatory Exchangeable Preferred Stock, and issued a press release announcing that the board of directors of the Company (the “Board”) had declared a stock dividend (the “Dividend”) consisting of an aggregate of 5,000,000 shares of Series 1 Mandatory Exchangeable Preferred Stock to be paid to the Company’s stockholders and certain other of its securityholders as of the close of business on November 7, 2024, which date was subsequently changed to January 28, 2025, then to April 11, 2025, then to May 2, 2025, and then to a future date to be determined in the sole discretion of the Board (such future date, the “Record Date”). The Dividend was to be paid on a date to be determined by resolutions of the Board (the “Payment Date”), which was to have been within 60 days following the Record Date (and if such 60th date was not a business day, then the immediately preceding business day). In declaring the Dividend, the Board retained the right to, among other things, revoke the Dividend, and the payment of the Dividend was conditioned upon the Board not having revoked the Dividend prior to the Payment Date.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2026, the Board approved revocation of the declaration of the Dividend (the “Dividend Revocation”). No shares of Series 1 Mandatory Exchangeable Preferred Stock had ever been issued or outstanding as of such date as the Spin-off Dividend (as defined in the Certificate of Designation) did not occur by the Preferred Stock End Date (as defined in the Certificate of Designation).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3, 2026, in connection with the Dividend Revocation, the Company filed a Certificate of Elimination of Series 1 Mandatory Exchangeable Preferred Stock (the “Certificate of Elimination”) with the Secretary of State of the State of Delaware. The Certificate of Elimination, which became effective immediately upon filing, eliminated the previously designated 5,000,000 shares of Series 1 Mandatory Exchangeable Preferred Stock and caused such shares to resume their status as undesignated shares of preferred stock of the Company. No shares of Series 1 Mandatory Exchangeable Preferred Stock were issued or outstanding upon the filing of the Certificate of Elimination.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is a summary of the terms of the Certificate of Elimination. This summary does not purport to be complete and is qualified in its entirety by reference to the full text of the Certificate of Elimination, a copy of which is attached hereto as Exhibit 3.1 and incorporated herein by reference.</w:t>
      </w:r>
    </w:p>
    <w:p>
      <w:pPr>
        <w:spacing w:after="0" w:line="306"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00"/>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spacing w:after="0"/>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0">
        <w:r>
          <w:rPr>
            <w:rFonts w:ascii="Times New Roman" w:cs="Times New Roman" w:eastAsia="Times New Roman" w:hAnsi="Times New Roman"/>
            <w:sz w:val="18"/>
            <w:szCs w:val="18"/>
            <w:u w:val="single" w:color="auto"/>
            <w:color w:val="0000FF"/>
          </w:rPr>
          <w:t>Certificate of Elimination of Series 1 Mandatory Exchangeable Preferred Stock of Scilex Holding Company, dated February 3, 2026.</w:t>
        </w:r>
      </w:hyperlink>
    </w:p>
    <w:p>
      <w:pPr>
        <w:spacing w:after="0" w:line="117" w:lineRule="exact"/>
        <w:rPr>
          <w:sz w:val="20"/>
          <w:szCs w:val="20"/>
          <w:color w:val="auto"/>
        </w:rPr>
      </w:pPr>
    </w:p>
    <w:p>
      <w:pPr>
        <w:ind w:left="5580" w:right="2840" w:hanging="5572"/>
        <w:spacing w:after="0" w:line="783" w:lineRule="auto"/>
        <w:tabs>
          <w:tab w:leader="none" w:pos="8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Extensible Business Reporting Language (iXBRL).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420" w:type="dxa"/>
            <w:vAlign w:val="bottom"/>
          </w:tcPr>
          <w:p>
            <w:pPr>
              <w:spacing w:after="0"/>
              <w:rPr>
                <w:sz w:val="24"/>
                <w:szCs w:val="24"/>
                <w:color w:val="auto"/>
              </w:rPr>
            </w:pPr>
          </w:p>
        </w:tc>
        <w:tc>
          <w:tcPr>
            <w:tcW w:w="24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Ji</w:t>
            </w:r>
          </w:p>
        </w:tc>
      </w:tr>
      <w:tr>
        <w:trPr>
          <w:trHeight w:val="191"/>
        </w:trPr>
        <w:tc>
          <w:tcPr>
            <w:tcW w:w="3420" w:type="dxa"/>
            <w:vAlign w:val="bottom"/>
          </w:tcPr>
          <w:p>
            <w:pPr>
              <w:spacing w:after="0"/>
              <w:rPr>
                <w:sz w:val="16"/>
                <w:szCs w:val="16"/>
                <w:color w:val="auto"/>
              </w:rPr>
            </w:pPr>
          </w:p>
        </w:tc>
        <w:tc>
          <w:tcPr>
            <w:tcW w:w="2440" w:type="dxa"/>
            <w:vAlign w:val="bottom"/>
          </w:tcPr>
          <w:p>
            <w:pPr>
              <w:ind w:left="1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Henry Ji</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2026</w:t>
            </w:r>
          </w:p>
        </w:tc>
        <w:tc>
          <w:tcPr>
            <w:tcW w:w="24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648"/>
        </w:trPr>
        <w:tc>
          <w:tcPr>
            <w:tcW w:w="3420" w:type="dxa"/>
            <w:vAlign w:val="bottom"/>
          </w:tcPr>
          <w:p>
            <w:pPr>
              <w:spacing w:after="0"/>
              <w:rPr>
                <w:sz w:val="24"/>
                <w:szCs w:val="24"/>
                <w:color w:val="auto"/>
              </w:rPr>
            </w:pPr>
          </w:p>
        </w:tc>
        <w:tc>
          <w:tcPr>
            <w:tcW w:w="2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9</w:t>
            </w:r>
          </w:p>
        </w:tc>
        <w:tc>
          <w:tcPr>
            <w:tcW w:w="5380" w:type="dxa"/>
            <w:vAlign w:val="bottom"/>
          </w:tcPr>
          <w:p>
            <w:pPr>
              <w:spacing w:after="0"/>
              <w:rPr>
                <w:sz w:val="24"/>
                <w:szCs w:val="24"/>
                <w:color w:val="auto"/>
              </w:rPr>
            </w:pPr>
          </w:p>
        </w:tc>
      </w:tr>
      <w:tr>
        <w:trPr>
          <w:trHeight w:val="979"/>
        </w:trPr>
        <w:tc>
          <w:tcPr>
            <w:tcW w:w="34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ELIMINATION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SERIES 1 MANDATORY EXCHANGEABLE PREFERRED STOCK</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In accordance with Section 151(g)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Scilex Holding Company, a corporation organized and existing under the General Corporation Law of the State of Delaware (hereinafter called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hereby certifies as follows: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FIRST: Pursuant to Section 151 of the DGCL and the authority granted to and vested in the Board of Directors of the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accordance with the provisions of the Restated Certificate of Incorporation of the Corporation (as amended and/or restated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Board previously designated 5,000,000 shares of preferred stock of the Corporation as Series 1 Mandatory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Preferred Stock, par value $0.0001 per share (“</w:t>
      </w:r>
      <w:r>
        <w:rPr>
          <w:rFonts w:ascii="Times New Roman" w:cs="Times New Roman" w:eastAsia="Times New Roman" w:hAnsi="Times New Roman"/>
          <w:sz w:val="18"/>
          <w:szCs w:val="18"/>
          <w:u w:val="single" w:color="auto"/>
          <w:color w:val="auto"/>
        </w:rPr>
        <w:t>Series 1 Mandatory Exchangeable Preferred Stock</w:t>
      </w:r>
      <w:r>
        <w:rPr>
          <w:rFonts w:ascii="Times New Roman" w:cs="Times New Roman" w:eastAsia="Times New Roman" w:hAnsi="Times New Roman"/>
          <w:sz w:val="18"/>
          <w:szCs w:val="18"/>
          <w:color w:val="auto"/>
        </w:rPr>
        <w:t>”), and established the powers, preferences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rights of the shares of such series, and the qualifications, limitations or restrictions thereof as set forth in the Certificate of Designation of Preferences,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Limitations of Series 1 Mandatory Exchangeable Preferred Stock of the Corporation (the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which Certificate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Designation was filed in the Office of the Secretary of State of the State of Delaware and is in full force and effect on the date hereof.</w:t>
      </w:r>
    </w:p>
    <w:p>
      <w:pPr>
        <w:spacing w:after="0" w:line="207" w:lineRule="exact"/>
        <w:rPr>
          <w:sz w:val="20"/>
          <w:szCs w:val="20"/>
          <w:color w:val="auto"/>
        </w:rPr>
      </w:pPr>
    </w:p>
    <w:p>
      <w:pPr>
        <w:ind w:right="360" w:firstLine="1146"/>
        <w:spacing w:after="0" w:line="282" w:lineRule="auto"/>
        <w:rPr>
          <w:sz w:val="20"/>
          <w:szCs w:val="20"/>
          <w:color w:val="auto"/>
        </w:rPr>
      </w:pPr>
      <w:r>
        <w:rPr>
          <w:rFonts w:ascii="Times New Roman" w:cs="Times New Roman" w:eastAsia="Times New Roman" w:hAnsi="Times New Roman"/>
          <w:sz w:val="18"/>
          <w:szCs w:val="18"/>
          <w:color w:val="auto"/>
        </w:rPr>
        <w:t>SECOND: None of the authorized shares of Series 1 Mandatory Exchangeable Preferred Stock are outstanding and none will be issued subject to the Certificate of Designation.</w:t>
      </w:r>
    </w:p>
    <w:p>
      <w:pPr>
        <w:spacing w:after="0" w:line="162" w:lineRule="exact"/>
        <w:rPr>
          <w:sz w:val="20"/>
          <w:szCs w:val="20"/>
          <w:color w:val="auto"/>
        </w:rPr>
      </w:pPr>
    </w:p>
    <w:p>
      <w:pPr>
        <w:ind w:right="40" w:firstLine="1146"/>
        <w:spacing w:after="0" w:line="282" w:lineRule="auto"/>
        <w:rPr>
          <w:sz w:val="20"/>
          <w:szCs w:val="20"/>
          <w:color w:val="auto"/>
        </w:rPr>
      </w:pPr>
      <w:r>
        <w:rPr>
          <w:rFonts w:ascii="Times New Roman" w:cs="Times New Roman" w:eastAsia="Times New Roman" w:hAnsi="Times New Roman"/>
          <w:sz w:val="18"/>
          <w:szCs w:val="18"/>
          <w:color w:val="auto"/>
        </w:rPr>
        <w:t>THIRD: Pursuant to the authority conferred on the Board by the provisions of Section 151(g) of the DGCL and the authority granted to and vested in the Board in accordance with the provisions of the Certificate of Incorporation, the Board duly adopted the following resolutions:</w:t>
      </w:r>
    </w:p>
    <w:p>
      <w:pPr>
        <w:spacing w:after="0" w:line="54" w:lineRule="exact"/>
        <w:rPr>
          <w:sz w:val="20"/>
          <w:szCs w:val="20"/>
          <w:color w:val="auto"/>
        </w:rPr>
      </w:pPr>
    </w:p>
    <w:p>
      <w:pPr>
        <w:ind w:right="20" w:firstLine="1146"/>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conferred on the Board by the provisions of Section 151(g) of the DGCL and the authority granted to and vested in the Board in accordance with the provisions of the Certificate of Incorporation, the Board hereby eliminates the Series 1 Mandatory Exchangeable Preferred Stock, none of which is currently outstanding and none of which will be issued subject to the Certificate of Designation therefor;</w:t>
      </w:r>
    </w:p>
    <w:p>
      <w:pPr>
        <w:spacing w:after="0" w:line="72" w:lineRule="exact"/>
        <w:rPr>
          <w:sz w:val="20"/>
          <w:szCs w:val="20"/>
          <w:color w:val="auto"/>
        </w:rPr>
      </w:pPr>
    </w:p>
    <w:p>
      <w:pPr>
        <w:ind w:right="80" w:firstLine="1146"/>
        <w:spacing w:after="0" w:line="261" w:lineRule="auto"/>
        <w:rPr>
          <w:sz w:val="20"/>
          <w:szCs w:val="20"/>
          <w:color w:val="auto"/>
        </w:rPr>
      </w:pPr>
      <w:r>
        <w:rPr>
          <w:rFonts w:ascii="Times New Roman" w:cs="Times New Roman" w:eastAsia="Times New Roman" w:hAnsi="Times New Roman"/>
          <w:sz w:val="18"/>
          <w:szCs w:val="18"/>
          <w:color w:val="auto"/>
        </w:rPr>
        <w:t>RESOLVED FURTHER, that the Corporation be, and it hereby is, authorized and directed to file with the Secretary of State of the State of Delaware a Certificate of Elimination of Series 1 Mandatory Exchangeable Preferred Stock (the “</w:t>
      </w:r>
      <w:r>
        <w:rPr>
          <w:rFonts w:ascii="Times New Roman" w:cs="Times New Roman" w:eastAsia="Times New Roman" w:hAnsi="Times New Roman"/>
          <w:sz w:val="18"/>
          <w:szCs w:val="18"/>
          <w:u w:val="single" w:color="auto"/>
          <w:color w:val="auto"/>
        </w:rPr>
        <w:t>Certificate of Elimination</w:t>
      </w:r>
      <w:r>
        <w:rPr>
          <w:rFonts w:ascii="Times New Roman" w:cs="Times New Roman" w:eastAsia="Times New Roman" w:hAnsi="Times New Roman"/>
          <w:sz w:val="18"/>
          <w:szCs w:val="18"/>
          <w:color w:val="auto"/>
        </w:rPr>
        <w:t>”) containing these resolutions, which shall have the effect, immediately upon the effectiveness of the filing of the Certificate of Elimination, of eliminating from the Certificate of Incorporation all matters set forth in the Certificate of Designation filed with the Secretary of State of the State of Delaware; and</w:t>
      </w:r>
    </w:p>
    <w:p>
      <w:pPr>
        <w:spacing w:after="0" w:line="72" w:lineRule="exact"/>
        <w:rPr>
          <w:sz w:val="20"/>
          <w:szCs w:val="20"/>
          <w:color w:val="auto"/>
        </w:rPr>
      </w:pPr>
    </w:p>
    <w:p>
      <w:pPr>
        <w:ind w:firstLine="1146"/>
        <w:spacing w:after="0" w:line="258" w:lineRule="auto"/>
        <w:rPr>
          <w:sz w:val="20"/>
          <w:szCs w:val="20"/>
          <w:color w:val="auto"/>
        </w:rPr>
      </w:pPr>
      <w:r>
        <w:rPr>
          <w:rFonts w:ascii="Times New Roman" w:cs="Times New Roman" w:eastAsia="Times New Roman" w:hAnsi="Times New Roman"/>
          <w:sz w:val="18"/>
          <w:szCs w:val="18"/>
          <w:color w:val="auto"/>
        </w:rPr>
        <w:t>RESOLVED FURTHER, that the authorized officers of the Corporation (the “</w:t>
      </w:r>
      <w:r>
        <w:rPr>
          <w:rFonts w:ascii="Times New Roman" w:cs="Times New Roman" w:eastAsia="Times New Roman" w:hAnsi="Times New Roman"/>
          <w:sz w:val="18"/>
          <w:szCs w:val="18"/>
          <w:u w:val="single" w:color="auto"/>
          <w:color w:val="auto"/>
        </w:rPr>
        <w:t>Authorized Officers</w:t>
      </w:r>
      <w:r>
        <w:rPr>
          <w:rFonts w:ascii="Times New Roman" w:cs="Times New Roman" w:eastAsia="Times New Roman" w:hAnsi="Times New Roman"/>
          <w:sz w:val="18"/>
          <w:szCs w:val="18"/>
          <w:color w:val="auto"/>
        </w:rPr>
        <w:t>”) and such other officers, employees or agents of the Corporation as may be designated by any of the Authorized Officers be, and each of them hereby is, authorized and directed, for and on behalf of the Corporation, to execute and file the Certificate of Elimination with the Secretary of State of the State of Delaware at such time as such Authorized Officers deem appropriate, and to take such further actions as they may deem necessary or appropriate to carry out the intent of the foregoing resolutions in accordance with the applicable provisions of the DGCL.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1146"/>
        <w:spacing w:after="0" w:line="261" w:lineRule="auto"/>
        <w:rPr>
          <w:sz w:val="20"/>
          <w:szCs w:val="20"/>
          <w:color w:val="auto"/>
        </w:rPr>
      </w:pPr>
      <w:r>
        <w:rPr>
          <w:rFonts w:ascii="Times New Roman" w:cs="Times New Roman" w:eastAsia="Times New Roman" w:hAnsi="Times New Roman"/>
          <w:sz w:val="18"/>
          <w:szCs w:val="18"/>
          <w:color w:val="auto"/>
        </w:rPr>
        <w:t>FOURTH: Pursuant to the provisions of Section 151(g) of the DGCL, all references to Series 1 Mandatory Exchangeable Preferred Stock in the Certificate of Incorporation shall be eliminated effective immediately upon the filing of this Certificate of Elimination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and the shares that were designated to such series are returned to the status of authorized but unissued shares of preferred stock of the Corporation effective as of the Effective Time.</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520" w:firstLine="1146"/>
        <w:spacing w:after="0" w:line="282" w:lineRule="auto"/>
        <w:rPr>
          <w:sz w:val="20"/>
          <w:szCs w:val="20"/>
          <w:color w:val="auto"/>
        </w:rPr>
      </w:pPr>
      <w:r>
        <w:rPr>
          <w:rFonts w:ascii="Times New Roman" w:cs="Times New Roman" w:eastAsia="Times New Roman" w:hAnsi="Times New Roman"/>
          <w:sz w:val="18"/>
          <w:szCs w:val="18"/>
          <w:color w:val="auto"/>
        </w:rPr>
        <w:t>IN WITNESS WHEREOF, Scilex Holding Company has caused this Certificate of Elimination of Series 1 Mandatory Exchangeable Preferred Stock to be executed by its duly authorized officer on February 3, 2026.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SCILEX HOLDING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Ji, Ph.D.</w:t>
            </w:r>
          </w:p>
        </w:tc>
      </w:tr>
      <w:tr>
        <w:trPr>
          <w:trHeight w:val="205"/>
        </w:trPr>
        <w:tc>
          <w:tcPr>
            <w:tcW w:w="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Henry Ji</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19, 2026</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8"/>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0"/>
          <w:szCs w:val="20"/>
          <w:color w:val="auto"/>
        </w:rPr>
      </w:pPr>
    </w:p>
    <w:p>
      <w:pPr>
        <w:ind w:left="1120" w:hanging="603"/>
        <w:spacing w:after="0"/>
        <w:tabs>
          <w:tab w:leader="none" w:pos="11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03"/>
        <w:spacing w:after="0"/>
        <w:tabs>
          <w:tab w:leader="none" w:pos="11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120" w:hanging="603"/>
        <w:spacing w:after="0"/>
        <w:tabs>
          <w:tab w:leader="none" w:pos="11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080" w:firstLine="517"/>
        <w:spacing w:after="0" w:line="349" w:lineRule="auto"/>
        <w:tabs>
          <w:tab w:leader="none" w:pos="1117"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19, 2026, Scilex Holding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Warrant Agreement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with Oramed Pharmaceuticals Inc. (“</w:t>
      </w:r>
      <w:r>
        <w:rPr>
          <w:rFonts w:ascii="Times New Roman" w:cs="Times New Roman" w:eastAsia="Times New Roman" w:hAnsi="Times New Roman"/>
          <w:sz w:val="18"/>
          <w:szCs w:val="18"/>
          <w:b w:val="1"/>
          <w:bCs w:val="1"/>
          <w:color w:val="auto"/>
        </w:rPr>
        <w:t>Oramed</w:t>
      </w:r>
      <w:r>
        <w:rPr>
          <w:rFonts w:ascii="Times New Roman" w:cs="Times New Roman" w:eastAsia="Times New Roman" w:hAnsi="Times New Roman"/>
          <w:sz w:val="18"/>
          <w:szCs w:val="18"/>
          <w:color w:val="auto"/>
        </w:rPr>
        <w:t>”). Pursuant to the Warrant Agreement, Oramed deferred its right to receive an amortization payment scheduled to be paid by the Company on October 1, 2025 as set forth in the amortization schedule included in that certain Senior Secured Convertible Note (the “</w:t>
      </w:r>
      <w:r>
        <w:rPr>
          <w:rFonts w:ascii="Times New Roman" w:cs="Times New Roman" w:eastAsia="Times New Roman" w:hAnsi="Times New Roman"/>
          <w:sz w:val="18"/>
          <w:szCs w:val="18"/>
          <w:b w:val="1"/>
          <w:bCs w:val="1"/>
          <w:color w:val="auto"/>
        </w:rPr>
        <w:t>Tranche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to Oramed pursuant to that certain Securities Purchase Agreement, dated as of October 7, 2024, by and among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party thereto (including Oramed) in exchange for the Company’s agreement to issue a new warrant to purchase an aggregate of 100,000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such warrants, the “</w:t>
      </w:r>
      <w:r>
        <w:rPr>
          <w:rFonts w:ascii="Times New Roman" w:cs="Times New Roman" w:eastAsia="Times New Roman" w:hAnsi="Times New Roman"/>
          <w:sz w:val="18"/>
          <w:szCs w:val="18"/>
          <w:b w:val="1"/>
          <w:bCs w:val="1"/>
          <w:color w:val="auto"/>
        </w:rPr>
        <w:t>February 2026 Warrant</w:t>
      </w:r>
      <w:r>
        <w:rPr>
          <w:rFonts w:ascii="Times New Roman" w:cs="Times New Roman" w:eastAsia="Times New Roman" w:hAnsi="Times New Roman"/>
          <w:sz w:val="18"/>
          <w:szCs w:val="18"/>
          <w:color w:val="auto"/>
        </w:rPr>
        <w:t>”) at an initial exercise price of $20.00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as described below. The deferred amortization payment was made to Oramed in November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February 2026 Warrant is immediately exercisable upon issuance. The issuance of the February 2026 Warrant was made pursuant to an exemption from registration provided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Rule 506(b) of Regulation D as promulgated thereunder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Company has agreed to file as soon as practicable (and in any event within the later of (i) 30 calendar days following the date of the Warrant Agreement, (ii) 10 days following the date of the filing with the SEC of the Company’s Annual Report on Form 10-K for the year ended December 31, 2025 and (iii) March 31, 2026) a registration statement on Form S-3 (or Form S-1 if Form S-3 is not available to the Company) registering under the Securities Act the resale by Oramed of the shares of Common Stock of the Company issuable upon exercise of the February 2026 Warrant or to include such shares of Common Stock in any other registration statement on Form S-3 filed by the Company. The February 2026 Warrant shall have an expiration date of December 13, 2029.</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is subject to adjustment for any stock split, stock dividend, stock combination, recapitalization or similar event and is also subject to adjustment in connection with certain subsequent offerings at a per share price less than the exercise price of the February 2026 Warrant then in effect, subject to a floor price of $8.22 (as adjusted for stock splits, stock dividends, stock combinations, recapitalizations and similar events). If at the time of exercise of the February 2026 Warrant there is no effective registration statement registering the shares of Common Stock underlying the February 2026 Warrant, such warrant may be exercised on a cashless basis pursuant to their terms.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holder of a February 2026 Warrant shall not have the right to exercise any portion of a February 2026 Warrant to the extent that, after giving effect to such exercise, the holder (together with certain related parties)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The Maximum Percentage may be raised or lowered to any other percentage not in excess of 9.99%, at the option of the holder, except that any increase will only be effective upon 61 days’ prior notice to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February 2026 Warrant prohibits the Company from entering into specified fundamental transactions unless the successor entity (subject to certain exceptions) assumes all of the Company’s obligations under the February 2026 Warrant under a written agreement before the transaction is completed. Upon specified corporate events, a February 2026 Warrant holder will thereafter have the right to receive upon an exercise such shares, securities, cash, assets or any other property whatsoever which the holder would have been entitled to receive upon the happening of the applicable corporate event had the February 2026 Warrant been exercised immediately prior to the applicable corporate event. When there is a transaction involving specified changes of control, the holder of the February 2026 Warrant will have the right to force the Company to repurchase such holder’s February 2026 Warrant for a purchase price in cash equal to the Black Scholes value, as calculated under the February 2026 Warrants, of the then unexercised portion of the February 2026 Warrant.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Agreement contains other customary provisions including representations and warranties of the Company and Oramed.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is filed as Exhibit 10.1 and the form of February 2026 Warrant is filed as Exhibit 10.2, in each case to this Current Report on Form 8-K and are incorporated herein by reference. The foregoing descriptions of the terms of the Warrant Agreement and the form of February 2026 Warrant do not purport to be complete and are qualified in their entirety by reference to such 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securities in any state or jurisdiction in which such an offer, solicitation or sale would be unlawful prior to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above in Item 1.01 with respect to the issuance of the February 2026 Warrant pursuant to the Warrant Agreement is hereby incorporated by reference into this Item 3.02. The issuance of the February 2026 Warrant was made, and the issuance of the shares of Common Stock underlying the February 2026 Warrants will be made, in reliance on the exemption from registration pursuant to Section 4(a)(2) of the Securities Act and Regulation D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24"/>
                <w:szCs w:val="24"/>
                <w:color w:val="auto"/>
              </w:rPr>
            </w:pPr>
          </w:p>
        </w:tc>
        <w:tc>
          <w:tcPr>
            <w:tcW w:w="8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83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spacing w:after="0"/>
              <w:rPr>
                <w:sz w:val="17"/>
                <w:szCs w:val="17"/>
                <w:color w:val="auto"/>
              </w:rPr>
            </w:pPr>
          </w:p>
        </w:tc>
        <w:tc>
          <w:tcPr>
            <w:tcW w:w="8380" w:type="dxa"/>
            <w:vAlign w:val="bottom"/>
            <w:gridSpan w:val="3"/>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Form of February 2026 Warrant.</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24"/>
                <w:szCs w:val="24"/>
                <w:color w:val="auto"/>
              </w:rPr>
            </w:pPr>
          </w:p>
        </w:tc>
        <w:tc>
          <w:tcPr>
            <w:tcW w:w="83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Warrant Agreement, dated as of February 19, 2026, by and between the Company and Oramed Pharmaceuticals Inc.</w:t>
              </w:r>
            </w:hyperlink>
          </w:p>
        </w:tc>
        <w:tc>
          <w:tcPr>
            <w:tcW w:w="0" w:type="dxa"/>
            <w:vAlign w:val="bottom"/>
          </w:tcPr>
          <w:p>
            <w:pPr>
              <w:spacing w:after="0"/>
              <w:rPr>
                <w:sz w:val="1"/>
                <w:szCs w:val="1"/>
                <w:color w:val="auto"/>
              </w:rPr>
            </w:pPr>
          </w:p>
        </w:tc>
      </w:tr>
      <w:tr>
        <w:trPr>
          <w:trHeight w:val="45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60" w:firstLine="8"/>
        <w:spacing w:after="0" w:line="282"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480" w:type="dxa"/>
            <w:vAlign w:val="bottom"/>
          </w:tcPr>
          <w:p>
            <w:pPr>
              <w:spacing w:after="0"/>
              <w:rPr>
                <w:sz w:val="24"/>
                <w:szCs w:val="24"/>
                <w:color w:val="auto"/>
              </w:rPr>
            </w:pPr>
          </w:p>
        </w:tc>
        <w:tc>
          <w:tcPr>
            <w:tcW w:w="23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Ma</w:t>
            </w:r>
          </w:p>
        </w:tc>
      </w:tr>
      <w:tr>
        <w:trPr>
          <w:trHeight w:val="191"/>
        </w:trPr>
        <w:tc>
          <w:tcPr>
            <w:tcW w:w="3480" w:type="dxa"/>
            <w:vAlign w:val="bottom"/>
          </w:tcPr>
          <w:p>
            <w:pPr>
              <w:spacing w:after="0"/>
              <w:rPr>
                <w:sz w:val="16"/>
                <w:szCs w:val="16"/>
                <w:color w:val="auto"/>
              </w:rPr>
            </w:pPr>
          </w:p>
        </w:tc>
        <w:tc>
          <w:tcPr>
            <w:tcW w:w="2380" w:type="dxa"/>
            <w:vAlign w:val="bottom"/>
          </w:tcPr>
          <w:p>
            <w:pPr>
              <w:ind w:left="1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Ma</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23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480" w:type="dxa"/>
            <w:vAlign w:val="bottom"/>
          </w:tcPr>
          <w:p>
            <w:pPr>
              <w:spacing w:after="0"/>
              <w:rPr>
                <w:sz w:val="24"/>
                <w:szCs w:val="24"/>
                <w:color w:val="auto"/>
              </w:rPr>
            </w:pPr>
          </w:p>
        </w:tc>
        <w:tc>
          <w:tcPr>
            <w:tcW w:w="23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4</w:t>
            </w:r>
          </w:p>
        </w:tc>
        <w:tc>
          <w:tcPr>
            <w:tcW w:w="5380" w:type="dxa"/>
            <w:vAlign w:val="bottom"/>
          </w:tcPr>
          <w:p>
            <w:pPr>
              <w:spacing w:after="0"/>
              <w:rPr>
                <w:sz w:val="24"/>
                <w:szCs w:val="24"/>
                <w:color w:val="auto"/>
              </w:rPr>
            </w:pPr>
          </w:p>
        </w:tc>
      </w:tr>
      <w:tr>
        <w:trPr>
          <w:trHeight w:val="979"/>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WARRANT]</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SHARES OF COMMON STOCK ISSUABLE UPON EXERCISE OF THIS WARRANT MAY BE LESS THAN THE AMOUNTS SET FORTH ON THE FACE HEREOF PURSUANT TO SECTION 1(a) OF THIS WARRANT.</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cilex</w:t>
      </w:r>
      <w:r>
        <w:rPr>
          <w:rFonts w:ascii="Times New Roman" w:cs="Times New Roman" w:eastAsia="Times New Roman" w:hAnsi="Times New Roman"/>
          <w:sz w:val="22"/>
          <w:szCs w:val="22"/>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Warrant No.: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Issuance: February 19, 2026 (“</w:t>
      </w: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Scilex Holding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certifies that, for good and valuable consideration, the receipt and sufficiency of which are hereby acknowledged, ORAMED PHARMACEUTICALS INC., the registered holder hereof or its permitted assigns (the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at any time or times on or after the Issuance Date, but not after 11:59 p.m., New York time, on the Expiration Date (as defined below), 100,000 (subject to adjustment as provided herein) fully paid and non-assessable shares of Common Stock (as defined below) (the “</w:t>
      </w:r>
      <w:r>
        <w:rPr>
          <w:rFonts w:ascii="Times New Roman" w:cs="Times New Roman" w:eastAsia="Times New Roman" w:hAnsi="Times New Roman"/>
          <w:sz w:val="22"/>
          <w:szCs w:val="22"/>
          <w:b w:val="1"/>
          <w:bCs w:val="1"/>
          <w:color w:val="auto"/>
        </w:rPr>
        <w:t>Warrant Shares</w:t>
      </w:r>
      <w:r>
        <w:rPr>
          <w:rFonts w:ascii="Times New Roman" w:cs="Times New Roman" w:eastAsia="Times New Roman" w:hAnsi="Times New Roman"/>
          <w:sz w:val="22"/>
          <w:szCs w:val="22"/>
          <w:color w:val="auto"/>
        </w:rPr>
        <w:t>”, and such number of Warrant Shares, the “</w:t>
      </w:r>
      <w:r>
        <w:rPr>
          <w:rFonts w:ascii="Times New Roman" w:cs="Times New Roman" w:eastAsia="Times New Roman" w:hAnsi="Times New Roman"/>
          <w:sz w:val="22"/>
          <w:szCs w:val="22"/>
          <w:b w:val="1"/>
          <w:bCs w:val="1"/>
          <w:color w:val="auto"/>
        </w:rPr>
        <w:t>Warrant Number</w:t>
      </w:r>
      <w:r>
        <w:rPr>
          <w:rFonts w:ascii="Times New Roman" w:cs="Times New Roman" w:eastAsia="Times New Roman" w:hAnsi="Times New Roman"/>
          <w:sz w:val="22"/>
          <w:szCs w:val="22"/>
          <w:color w:val="auto"/>
        </w:rPr>
        <w:t>”). Except as otherwise defined herein, capitalized terms in this Warrant shall have the meanings set forth in Section 19. This Warrant is issued pursuant to Section 1 of that certain Warrant Agreement, dated as of February 19, 2026, by and between the Company and the Holder, as amended from time to time (the “</w:t>
      </w: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WARRANT.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 Subject to the terms and conditions hereof (including, without limitation, the limitations set forth in Section 1(f)), this Warrant may be exercised by the Holder on any day on or after the Issuance Date (an “</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in whole or in part,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 w:name="page18"/>
    <w:bookmarkEnd w:id="17"/>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delivery (whether via facsimile or otherwise) of a written notice, in the 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of the Holder’s election to exercise this Warrant. Within one (1) Trading Day following an exercise of this Warrant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aforesaid, the Holder shall deliver payment to the Company of an amount equal to the Exercise Price in effect on the date of such exercise multiplied by the number of Warrant Shares as to which this Warrant was so exercised (the “</w:t>
      </w:r>
      <w:r>
        <w:rPr>
          <w:rFonts w:ascii="Times New Roman" w:cs="Times New Roman" w:eastAsia="Times New Roman" w:hAnsi="Times New Roman"/>
          <w:sz w:val="22"/>
          <w:szCs w:val="22"/>
          <w:b w:val="1"/>
          <w:bCs w:val="1"/>
          <w:color w:val="auto"/>
        </w:rPr>
        <w:t>Aggregate 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w:t>
      </w:r>
      <w:r>
        <w:rPr>
          <w:rFonts w:ascii="Times New Roman" w:cs="Times New Roman" w:eastAsia="Times New Roman" w:hAnsi="Times New Roman"/>
          <w:sz w:val="22"/>
          <w:szCs w:val="22"/>
          <w:color w:val="auto"/>
        </w:rPr>
        <w:t>”) in cash or via wire transfer of immediately available funds if the Holder did not notify the Company in such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the date on which the Company has received an Exercise Notice (if received prior to 4:00 pm New York City time, otherwise on the next day), the Company shall transmit by electronic mail an acknowledgment of confirmation of receipt of such Exercise Notice, in the form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to the Holder and the Company’s transfer agent (the “</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(X) provided that the Transfer Agent is participating in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Automated Securities Transfer Program (“</w:t>
      </w:r>
      <w:r>
        <w:rPr>
          <w:rFonts w:ascii="Times New Roman" w:cs="Times New Roman" w:eastAsia="Times New Roman" w:hAnsi="Times New Roman"/>
          <w:sz w:val="22"/>
          <w:szCs w:val="22"/>
          <w:b w:val="1"/>
          <w:bCs w:val="1"/>
          <w:color w:val="auto"/>
        </w:rPr>
        <w:t>FAST</w:t>
      </w:r>
      <w:r>
        <w:rPr>
          <w:rFonts w:ascii="Times New Roman" w:cs="Times New Roman" w:eastAsia="Times New Roman" w:hAnsi="Times New Roman"/>
          <w:sz w:val="22"/>
          <w:szCs w:val="22"/>
          <w:color w:val="auto"/>
        </w:rPr>
        <w: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provided, that the Holder shall be deemed to have waived any voting rights of any such Warrant Shares that may arise with respect to the period commencing on such Exercise Date, through, and including, such applicable Share Delivery Date (as defined below) (each, an “</w:t>
      </w:r>
      <w:r>
        <w:rPr>
          <w:rFonts w:ascii="Times New Roman" w:cs="Times New Roman" w:eastAsia="Times New Roman" w:hAnsi="Times New Roman"/>
          <w:sz w:val="22"/>
          <w:szCs w:val="22"/>
          <w:b w:val="1"/>
          <w:bCs w:val="1"/>
          <w:color w:val="auto"/>
        </w:rPr>
        <w:t>Exercise Period</w:t>
      </w:r>
      <w:r>
        <w:rPr>
          <w:rFonts w:ascii="Times New Roman" w:cs="Times New Roman" w:eastAsia="Times New Roman" w:hAnsi="Times New Roman"/>
          <w:sz w:val="22"/>
          <w:szCs w:val="22"/>
          <w:color w:val="auto"/>
        </w:rPr>
        <w:t>”), as necessary, such that the aggregate voting rights of any shares of Common Stock (including such Warrant Shares) beneficially owned by the Holder and/or any Attribution Parties, collectively, on any such date of determination shall not exceed the Maximum Percentage (as defined below) as a result of any such exercise of this Warrant; provided, further that, for the avoidance of doubt, the Holder shall have no voting rights with respect to any Warrant Shares issuable with respect to any cash exercise of this Warrant until the Company shall have received the Aggregate Exercise Price with respect thereto. If this Warrant is submitted in connection with any exercise pursuant to this Section 1(a) and the number of</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 w:name="page19"/>
    <w:bookmarkEnd w:id="18"/>
    <w:p>
      <w:pPr>
        <w:jc w:val="both"/>
        <w:spacing w:after="0" w:line="243" w:lineRule="auto"/>
        <w:rPr>
          <w:sz w:val="20"/>
          <w:szCs w:val="20"/>
          <w:color w:val="auto"/>
        </w:rPr>
      </w:pPr>
      <w:r>
        <w:rPr>
          <w:rFonts w:ascii="Times New Roman" w:cs="Times New Roman" w:eastAsia="Times New Roman" w:hAnsi="Times New Roman"/>
          <w:sz w:val="21"/>
          <w:szCs w:val="21"/>
          <w:color w:val="auto"/>
        </w:rPr>
        <w:t>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Company shall pay cash in lieu of any fraction of a share, as provided in Section 1(h).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one</w:t>
      </w:r>
    </w:p>
    <w:p>
      <w:pPr>
        <w:spacing w:after="0" w:line="8" w:lineRule="exact"/>
        <w:rPr>
          <w:sz w:val="20"/>
          <w:szCs w:val="20"/>
          <w:color w:val="auto"/>
        </w:rPr>
      </w:pPr>
    </w:p>
    <w:p>
      <w:pPr>
        <w:jc w:val="both"/>
        <w:ind w:firstLine="8"/>
        <w:spacing w:after="0" w:line="233" w:lineRule="auto"/>
        <w:tabs>
          <w:tab w:leader="none" w:pos="31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 after receipt of the applicable Exercise Notice (or such earlier date as required pursuant to the 1934 Act or other applicable law, rule or regulation for the settlement of a trade of such Warrant Shares initiated on the applicable Exercise Date) and (ii) the date of the Company’s receipt of the Aggregate Exercise Price (or valid notice of a Cashless Exercise) (such later date, the “</w:t>
      </w:r>
      <w:r>
        <w:rPr>
          <w:rFonts w:ascii="Times New Roman" w:cs="Times New Roman" w:eastAsia="Times New Roman" w:hAnsi="Times New Roman"/>
          <w:sz w:val="22"/>
          <w:szCs w:val="22"/>
          <w:b w:val="1"/>
          <w:bCs w:val="1"/>
          <w:color w:val="auto"/>
        </w:rPr>
        <w:t>Share Delivery Date</w:t>
      </w:r>
      <w:r>
        <w:rPr>
          <w:rFonts w:ascii="Times New Roman" w:cs="Times New Roman" w:eastAsia="Times New Roman" w:hAnsi="Times New Roman"/>
          <w:sz w:val="22"/>
          <w:szCs w:val="22"/>
          <w:color w:val="auto"/>
        </w:rPr>
        <w:t>”) shall not be deemed to be a breach of this Warrant. From the Issuance Date through and including the Expiration Date, the Company shall maintain a transfer agent that participates in FAST.</w:t>
      </w:r>
    </w:p>
    <w:p>
      <w:pPr>
        <w:spacing w:after="0" w:line="17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For purposes of this Warrant,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means $20.00, subject to adjustment as provided</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w:t>
      </w:r>
    </w:p>
    <w:p>
      <w:pPr>
        <w:spacing w:after="0" w:line="182" w:lineRule="exact"/>
        <w:rPr>
          <w:rFonts w:ascii="Times New Roman" w:cs="Times New Roman" w:eastAsia="Times New Roman" w:hAnsi="Times New Roman"/>
          <w:sz w:val="22"/>
          <w:szCs w:val="22"/>
          <w:color w:val="auto"/>
        </w:rPr>
      </w:pPr>
    </w:p>
    <w:p>
      <w:pPr>
        <w:jc w:val="both"/>
        <w:ind w:firstLine="757"/>
        <w:spacing w:after="0" w:line="243" w:lineRule="auto"/>
        <w:tabs>
          <w:tab w:leader="none" w:pos="1018"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Failure to Timely Deliver Securities</w:t>
      </w:r>
      <w:r>
        <w:rPr>
          <w:rFonts w:ascii="Times New Roman" w:cs="Times New Roman" w:eastAsia="Times New Roman" w:hAnsi="Times New Roman"/>
          <w:sz w:val="21"/>
          <w:szCs w:val="21"/>
          <w:color w:val="auto"/>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to credit the balance account of the Holder or the Holder’s designee with DTC for such number of Warrant Shares to which the Holder is entitled upon the Holder’s exercise of this Warrant (as the case may be) or (II) if (i) a registration statement (or prospectus contained therein) covering the resale of the Warrant Shares that are the subject of the Exercise Notice is not available (the “</w:t>
      </w:r>
      <w:r>
        <w:rPr>
          <w:rFonts w:ascii="Times New Roman" w:cs="Times New Roman" w:eastAsia="Times New Roman" w:hAnsi="Times New Roman"/>
          <w:sz w:val="21"/>
          <w:szCs w:val="21"/>
          <w:b w:val="1"/>
          <w:bCs w:val="1"/>
          <w:color w:val="auto"/>
        </w:rPr>
        <w:t>Unavailable Registration Statement</w:t>
      </w:r>
      <w:r>
        <w:rPr>
          <w:rFonts w:ascii="Times New Roman" w:cs="Times New Roman" w:eastAsia="Times New Roman" w:hAnsi="Times New Roman"/>
          <w:sz w:val="21"/>
          <w:szCs w:val="21"/>
          <w:color w:val="auto"/>
        </w:rPr>
        <w:t>”) for the resale of such Warrant Shares, (ii) the Company fails to promptly notify Holder of the Unavailable Registration Statement and (iii) the Company fails to promptly deliver the Warrant Shares electronically without any restrictive legend by crediting such aggregate number of Warrant Shares to which the Holder is entitled pursuant to Cashless Exercise to the Holder’s or its designee’s balance account with DTC through its Deposit/Withdrawal At Custodian system (the event described in the immediately foregoing clause (II) is hereinafter referred to as a “</w:t>
      </w:r>
      <w:r>
        <w:rPr>
          <w:rFonts w:ascii="Times New Roman" w:cs="Times New Roman" w:eastAsia="Times New Roman" w:hAnsi="Times New Roman"/>
          <w:sz w:val="21"/>
          <w:szCs w:val="21"/>
          <w:b w:val="1"/>
          <w:bCs w:val="1"/>
          <w:color w:val="auto"/>
        </w:rPr>
        <w:t>Notice Failure</w:t>
      </w:r>
      <w:r>
        <w:rPr>
          <w:rFonts w:ascii="Times New Roman" w:cs="Times New Roman" w:eastAsia="Times New Roman" w:hAnsi="Times New Roman"/>
          <w:sz w:val="21"/>
          <w:szCs w:val="21"/>
          <w:color w:val="auto"/>
        </w:rPr>
        <w:t>” and together with the event described in clause</w:t>
      </w:r>
    </w:p>
    <w:p>
      <w:pPr>
        <w:spacing w:after="0" w:line="5"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above, a “</w:t>
      </w:r>
      <w:r>
        <w:rPr>
          <w:rFonts w:ascii="Times New Roman" w:cs="Times New Roman" w:eastAsia="Times New Roman" w:hAnsi="Times New Roman"/>
          <w:sz w:val="22"/>
          <w:szCs w:val="22"/>
          <w:b w:val="1"/>
          <w:bCs w:val="1"/>
          <w:color w:val="auto"/>
        </w:rPr>
        <w:t>Delivery Failure</w:t>
      </w:r>
      <w:r>
        <w:rPr>
          <w:rFonts w:ascii="Times New Roman" w:cs="Times New Roman" w:eastAsia="Times New Roman" w:hAnsi="Times New Roman"/>
          <w:sz w:val="22"/>
          <w:szCs w:val="22"/>
          <w:color w:val="auto"/>
        </w:rPr>
        <w:t>”), then, in addition to all other remedies available to the Holder, (X) the Company shall pay in cash to the Holder on each day after the Share Delivery Date and during such Delivery Failure an amount equal to 1.5%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jc w:val="both"/>
        <w:spacing w:after="0" w:line="242" w:lineRule="auto"/>
        <w:rPr>
          <w:sz w:val="20"/>
          <w:szCs w:val="20"/>
          <w:color w:val="auto"/>
        </w:rPr>
      </w:pPr>
      <w:r>
        <w:rPr>
          <w:rFonts w:ascii="Times New Roman" w:cs="Times New Roman" w:eastAsia="Times New Roman" w:hAnsi="Times New Roman"/>
          <w:sz w:val="21"/>
          <w:szCs w:val="21"/>
          <w:color w:val="auto"/>
        </w:rPr>
        <w:t>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a Delivery Failure occurs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cs="Times New Roman" w:eastAsia="Times New Roman" w:hAnsi="Times New Roman"/>
          <w:sz w:val="21"/>
          <w:szCs w:val="21"/>
          <w:b w:val="1"/>
          <w:bCs w:val="1"/>
          <w:color w:val="auto"/>
        </w:rPr>
        <w:t>Buy-In</w:t>
      </w:r>
      <w:r>
        <w:rPr>
          <w:rFonts w:ascii="Times New Roman" w:cs="Times New Roman" w:eastAsia="Times New Roman" w:hAnsi="Times New Roman"/>
          <w:sz w:val="21"/>
          <w:szCs w:val="21"/>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21"/>
          <w:szCs w:val="21"/>
          <w:b w:val="1"/>
          <w:bCs w:val="1"/>
          <w:color w:val="auto"/>
        </w:rPr>
        <w:t>Buy-In Price</w:t>
      </w:r>
      <w:r>
        <w:rPr>
          <w:rFonts w:ascii="Times New Roman" w:cs="Times New Roman" w:eastAsia="Times New Roman" w:hAnsi="Times New Roman"/>
          <w:sz w:val="21"/>
          <w:szCs w:val="21"/>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Times New Roman" w:cs="Times New Roman" w:eastAsia="Times New Roman" w:hAnsi="Times New Roman"/>
          <w:sz w:val="21"/>
          <w:szCs w:val="21"/>
          <w:b w:val="1"/>
          <w:bCs w:val="1"/>
          <w:color w:val="auto"/>
        </w:rPr>
        <w:t>Buy-In Payment Amount</w:t>
      </w:r>
      <w:r>
        <w:rPr>
          <w:rFonts w:ascii="Times New Roman" w:cs="Times New Roman" w:eastAsia="Times New Roman" w:hAnsi="Times New Roman"/>
          <w:sz w:val="21"/>
          <w:szCs w:val="21"/>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 w:name="page21"/>
    <w:bookmarkEnd w:id="20"/>
    <w:p>
      <w:pPr>
        <w:jc w:val="both"/>
        <w:spacing w:after="0" w:line="236" w:lineRule="auto"/>
        <w:rPr>
          <w:sz w:val="20"/>
          <w:szCs w:val="20"/>
          <w:color w:val="auto"/>
        </w:rPr>
      </w:pPr>
      <w:r>
        <w:rPr>
          <w:rFonts w:ascii="Times New Roman" w:cs="Times New Roman" w:eastAsia="Times New Roman" w:hAnsi="Times New Roman"/>
          <w:sz w:val="22"/>
          <w:szCs w:val="22"/>
          <w:color w:val="auto"/>
        </w:rPr>
        <w:t>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181" w:lineRule="exact"/>
        <w:rPr>
          <w:sz w:val="20"/>
          <w:szCs w:val="20"/>
          <w:color w:val="auto"/>
        </w:rPr>
      </w:pPr>
    </w:p>
    <w:p>
      <w:pPr>
        <w:jc w:val="both"/>
        <w:ind w:firstLine="757"/>
        <w:spacing w:after="0" w:line="235" w:lineRule="auto"/>
        <w:tabs>
          <w:tab w:leader="none" w:pos="10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Notwithstanding anything contained herein to the contrary (other than Section 1(f) below), at any time after the six-month anniversary of the Issuance Date, if at the time of exercise hereof a registration statement is not effective (or the prospectus contained therein is not available for use) for the resale by the Holder (or issuance to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cs="Times New Roman" w:eastAsia="Times New Roman" w:hAnsi="Times New Roman"/>
          <w:sz w:val="22"/>
          <w:szCs w:val="22"/>
          <w:b w:val="1"/>
          <w:bCs w:val="1"/>
          <w:color w:val="auto"/>
        </w:rPr>
        <w:t>Cashless Exercise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 xml:space="preserve">Net Number = </w:t>
      </w:r>
      <w:r>
        <w:rPr>
          <w:rFonts w:ascii="Times New Roman" w:cs="Times New Roman" w:eastAsia="Times New Roman" w:hAnsi="Times New Roman"/>
          <w:sz w:val="22"/>
          <w:szCs w:val="22"/>
          <w:u w:val="single" w:color="auto"/>
          <w:color w:val="auto"/>
        </w:rPr>
        <w:t>(A x B) - (A x C)</w:t>
      </w:r>
    </w:p>
    <w:p>
      <w:pPr>
        <w:spacing w:after="0" w:line="1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w:t>
      </w:r>
    </w:p>
    <w:p>
      <w:pPr>
        <w:spacing w:after="0" w:line="18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For purposes of the foregoing formula: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 the total number of shares with respect to which this Warrant is then being exercised.</w:t>
      </w:r>
    </w:p>
    <w:p>
      <w:pPr>
        <w:spacing w:after="0" w:line="206" w:lineRule="exact"/>
        <w:rPr>
          <w:sz w:val="20"/>
          <w:szCs w:val="20"/>
          <w:color w:val="auto"/>
        </w:rPr>
      </w:pPr>
    </w:p>
    <w:p>
      <w:pPr>
        <w:jc w:val="both"/>
        <w:ind w:left="1500"/>
        <w:spacing w:after="0" w:line="247" w:lineRule="auto"/>
        <w:rPr>
          <w:sz w:val="20"/>
          <w:szCs w:val="20"/>
          <w:color w:val="auto"/>
        </w:rPr>
      </w:pPr>
      <w:r>
        <w:rPr>
          <w:rFonts w:ascii="Times New Roman" w:cs="Times New Roman" w:eastAsia="Times New Roman" w:hAnsi="Times New Roman"/>
          <w:sz w:val="21"/>
          <w:szCs w:val="21"/>
          <w:color w:val="auto"/>
        </w:rPr>
        <w:t>B = as elected by the Holder: (i) the VWAP of the shares of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w:t>
      </w:r>
    </w:p>
    <w:p>
      <w:pPr>
        <w:spacing w:after="0" w:line="2" w:lineRule="exact"/>
        <w:rPr>
          <w:sz w:val="20"/>
          <w:szCs w:val="20"/>
          <w:color w:val="auto"/>
        </w:rPr>
      </w:pPr>
    </w:p>
    <w:p>
      <w:pPr>
        <w:jc w:val="both"/>
        <w:ind w:left="1500" w:firstLine="5"/>
        <w:spacing w:after="0" w:line="232" w:lineRule="auto"/>
        <w:tabs>
          <w:tab w:leader="none" w:pos="192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Regulation NMS promulgated under the federal securities laws) on such Trading Day, (ii) at the option of the Holder, either (y) the VWAP on the Trading Day immediately preceding the date of the applicable Exercise Notice or (z) the Bid Price of the shares of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 = the Exercise Price then in effect for the applicable Warrant Shares at the time of such exercise.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Issuance Date, it is intended that the Warrant Shares issued in a Cashless Exercise shall be deemed to have been acquired by the Holder, and the holding period for the Warrant Shares shall be deemed to have commenced, on the date this Warrant was originally issued pursuant to the Warrant Agreement.</w:t>
      </w:r>
    </w:p>
    <w:p>
      <w:pPr>
        <w:spacing w:after="0" w:line="168" w:lineRule="exact"/>
        <w:rPr>
          <w:sz w:val="20"/>
          <w:szCs w:val="20"/>
          <w:color w:val="auto"/>
        </w:rPr>
      </w:pPr>
    </w:p>
    <w:p>
      <w:pPr>
        <w:jc w:val="both"/>
        <w:ind w:firstLine="757"/>
        <w:spacing w:after="0" w:line="244" w:lineRule="auto"/>
        <w:tabs>
          <w:tab w:leader="none" w:pos="101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pacing w:after="0" w:line="173" w:lineRule="exact"/>
        <w:rPr>
          <w:rFonts w:ascii="Times New Roman" w:cs="Times New Roman" w:eastAsia="Times New Roman" w:hAnsi="Times New Roman"/>
          <w:sz w:val="22"/>
          <w:szCs w:val="22"/>
          <w:color w:val="auto"/>
        </w:rPr>
      </w:pPr>
    </w:p>
    <w:p>
      <w:pPr>
        <w:jc w:val="both"/>
        <w:ind w:firstLine="757"/>
        <w:spacing w:after="0" w:line="242" w:lineRule="auto"/>
        <w:tabs>
          <w:tab w:leader="none" w:pos="1018"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Exercises</w:t>
      </w:r>
      <w:r>
        <w:rPr>
          <w:rFonts w:ascii="Times New Roman" w:cs="Times New Roman" w:eastAsia="Times New Roman" w:hAnsi="Times New Roman"/>
          <w:sz w:val="21"/>
          <w:szCs w:val="21"/>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21"/>
          <w:szCs w:val="21"/>
          <w:b w:val="1"/>
          <w:bCs w:val="1"/>
          <w:color w:val="auto"/>
        </w:rPr>
        <w:t>Maximum Percentage</w:t>
      </w:r>
      <w:r>
        <w:rPr>
          <w:rFonts w:ascii="Times New Roman" w:cs="Times New Roman" w:eastAsia="Times New Roman" w:hAnsi="Times New Roman"/>
          <w:sz w:val="21"/>
          <w:szCs w:val="21"/>
          <w:color w:val="auto"/>
        </w:rPr>
        <w:t>”) of the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1934 Act.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21"/>
          <w:szCs w:val="21"/>
          <w:b w:val="1"/>
          <w:bCs w:val="1"/>
          <w:color w:val="auto"/>
        </w:rPr>
        <w:t>Reported Outstanding Share Number</w:t>
      </w:r>
      <w:r>
        <w:rPr>
          <w:rFonts w:ascii="Times New Roman" w:cs="Times New Roman" w:eastAsia="Times New Roman" w:hAnsi="Times New Roman"/>
          <w:sz w:val="21"/>
          <w:szCs w:val="21"/>
          <w:color w:val="auto"/>
        </w:rPr>
        <w:t>”). If the Company receives an Exercise Notice from the Holder at a time when the actual number of outstanding shares of Common Stock is less than the Reported Outstanding Share Number, the Company shall</w:t>
      </w:r>
    </w:p>
    <w:p>
      <w:pPr>
        <w:spacing w:after="0" w:line="13" w:lineRule="exact"/>
        <w:rPr>
          <w:rFonts w:ascii="Times New Roman" w:cs="Times New Roman" w:eastAsia="Times New Roman" w:hAnsi="Times New Roman"/>
          <w:sz w:val="21"/>
          <w:szCs w:val="21"/>
          <w:color w:val="auto"/>
        </w:rPr>
      </w:pPr>
    </w:p>
    <w:p>
      <w:pPr>
        <w:jc w:val="both"/>
        <w:ind w:firstLine="8"/>
        <w:spacing w:after="0" w:line="233" w:lineRule="auto"/>
        <w:tabs>
          <w:tab w:leader="none" w:pos="2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acquired pursuant to such Exercise Notice (the number of shares by which such purchase is reduced, the “</w:t>
      </w:r>
      <w:r>
        <w:rPr>
          <w:rFonts w:ascii="Times New Roman" w:cs="Times New Roman" w:eastAsia="Times New Roman" w:hAnsi="Times New Roman"/>
          <w:sz w:val="22"/>
          <w:szCs w:val="22"/>
          <w:b w:val="1"/>
          <w:bCs w:val="1"/>
          <w:color w:val="auto"/>
        </w:rPr>
        <w:t>Reduction Shares</w:t>
      </w:r>
      <w:r>
        <w:rPr>
          <w:rFonts w:ascii="Times New Roman" w:cs="Times New Roman" w:eastAsia="Times New Roman" w:hAnsi="Times New Roman"/>
          <w:sz w:val="22"/>
          <w:szCs w:val="22"/>
          <w:color w:val="auto"/>
        </w:rPr>
        <w:t>”) and (ii) as soon as reasonably practicable, the Company shall return to the Holder any exercise price paid by the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jc w:val="both"/>
        <w:spacing w:after="0" w:line="232" w:lineRule="auto"/>
        <w:rPr>
          <w:sz w:val="20"/>
          <w:szCs w:val="20"/>
          <w:color w:val="auto"/>
        </w:rPr>
      </w:pPr>
      <w:r>
        <w:rPr>
          <w:rFonts w:ascii="Times New Roman" w:cs="Times New Roman" w:eastAsia="Times New Roman" w:hAnsi="Times New Roman"/>
          <w:sz w:val="22"/>
          <w:szCs w:val="22"/>
          <w:color w:val="auto"/>
        </w:rPr>
        <w:t>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22"/>
          <w:szCs w:val="22"/>
          <w:b w:val="1"/>
          <w:bCs w:val="1"/>
          <w:color w:val="auto"/>
        </w:rPr>
        <w:t>Excess Shares</w:t>
      </w:r>
      <w:r>
        <w:rPr>
          <w:rFonts w:ascii="Times New Roman" w:cs="Times New Roman" w:eastAsia="Times New Roman" w:hAnsi="Times New Roman"/>
          <w:sz w:val="22"/>
          <w:szCs w:val="22"/>
          <w:color w:val="auto"/>
        </w:rPr>
        <w:t xml:space="preserve">”) shall be deemed null and void and shall be cancelled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day after such notice is delivered to the Company and (ii) any such increase or decrease will apply only to the Holder and the other Attribution Parties.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modified or amended and shall apply to a successor holder of this Warrant.</w:t>
      </w:r>
    </w:p>
    <w:p>
      <w:pPr>
        <w:spacing w:after="0" w:line="177" w:lineRule="exact"/>
        <w:rPr>
          <w:sz w:val="20"/>
          <w:szCs w:val="20"/>
          <w:color w:val="auto"/>
        </w:rPr>
      </w:pPr>
    </w:p>
    <w:p>
      <w:pPr>
        <w:ind w:left="1020" w:hanging="263"/>
        <w:spacing w:after="0"/>
        <w:tabs>
          <w:tab w:leader="none" w:pos="10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2048"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Reserve Amount</w:t>
      </w:r>
      <w:r>
        <w:rPr>
          <w:rFonts w:ascii="Times New Roman" w:cs="Times New Roman" w:eastAsia="Times New Roman" w:hAnsi="Times New Roman"/>
          <w:sz w:val="21"/>
          <w:szCs w:val="21"/>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this Warrant (without regard to any limitations on exercise) (the “</w:t>
      </w:r>
      <w:r>
        <w:rPr>
          <w:rFonts w:ascii="Times New Roman" w:cs="Times New Roman" w:eastAsia="Times New Roman" w:hAnsi="Times New Roman"/>
          <w:sz w:val="21"/>
          <w:szCs w:val="21"/>
          <w:b w:val="1"/>
          <w:bCs w:val="1"/>
          <w:color w:val="auto"/>
        </w:rPr>
        <w:t>Required Reserve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Amount</w:t>
      </w:r>
      <w:r>
        <w:rPr>
          <w:rFonts w:ascii="Times New Roman" w:cs="Times New Roman" w:eastAsia="Times New Roman" w:hAnsi="Times New Roman"/>
          <w:sz w:val="21"/>
          <w:szCs w:val="21"/>
          <w:color w:val="auto"/>
        </w:rPr>
        <w:t>”); provided that at no time shall the number of shares of Common Stock reserved pursuant to this Section 1(g)</w:t>
      </w:r>
    </w:p>
    <w:p>
      <w:pPr>
        <w:spacing w:after="0" w:line="1" w:lineRule="exact"/>
        <w:rPr>
          <w:rFonts w:ascii="Times New Roman" w:cs="Times New Roman" w:eastAsia="Times New Roman" w:hAnsi="Times New Roman"/>
          <w:sz w:val="21"/>
          <w:szCs w:val="21"/>
          <w:color w:val="auto"/>
        </w:rPr>
      </w:pPr>
    </w:p>
    <w:p>
      <w:pPr>
        <w:jc w:val="both"/>
        <w:ind w:left="760" w:hanging="3"/>
        <w:spacing w:after="0" w:line="234" w:lineRule="auto"/>
        <w:tabs>
          <w:tab w:leader="none" w:pos="103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reduced other than in connection with any exercise or redemption of the Warrant or such other event covered by Section 2(a) below. In the event that the Holder shall sell or otherwise transfer any portion of the Warrant, each transferee shall be allocated a pro rata portion of the Required Reserve Amount. Any shares of Common Stock reserved and allocated to any Person which ceases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to hold a portion of the Warrant shall be allocated to the remaining holders, pro rata based on the number of shares of Common Stock issuable upon exercise of such portion of the Warrant then held by such holders (without regard to any limitations on exercise).</w:t>
      </w:r>
    </w:p>
    <w:p>
      <w:pPr>
        <w:spacing w:after="0" w:line="173" w:lineRule="exact"/>
        <w:rPr>
          <w:sz w:val="20"/>
          <w:szCs w:val="20"/>
          <w:color w:val="auto"/>
        </w:rPr>
      </w:pPr>
    </w:p>
    <w:p>
      <w:pPr>
        <w:jc w:val="both"/>
        <w:ind w:left="760" w:firstLine="745"/>
        <w:spacing w:after="0" w:line="255" w:lineRule="auto"/>
        <w:tabs>
          <w:tab w:leader="none" w:pos="204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Authorized Shares</w:t>
      </w:r>
      <w:r>
        <w:rPr>
          <w:rFonts w:ascii="Times New Roman" w:cs="Times New Roman" w:eastAsia="Times New Roman" w:hAnsi="Times New Roman"/>
          <w:sz w:val="20"/>
          <w:szCs w:val="20"/>
          <w:color w:val="auto"/>
        </w:rPr>
        <w:t>. If, notwithstanding Section 1(g)(i) above, and not in limitation thereof, at any time while the Warrant remains outstanding, the Company does not have a sufficient number of authorized and unreserved shares of Common Stock to satisfy its obligation to reserve the Required Reserve Amount (an “</w:t>
      </w:r>
      <w:r>
        <w:rPr>
          <w:rFonts w:ascii="Times New Roman" w:cs="Times New Roman" w:eastAsia="Times New Roman" w:hAnsi="Times New Roman"/>
          <w:sz w:val="20"/>
          <w:szCs w:val="20"/>
          <w:b w:val="1"/>
          <w:bCs w:val="1"/>
          <w:color w:val="auto"/>
        </w:rPr>
        <w:t>Authorized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 Failure</w:t>
      </w:r>
      <w:r>
        <w:rPr>
          <w:rFonts w:ascii="Times New Roman" w:cs="Times New Roman" w:eastAsia="Times New Roman" w:hAnsi="Times New Roman"/>
          <w:sz w:val="20"/>
          <w:szCs w:val="20"/>
          <w:color w:val="auto"/>
        </w:rPr>
        <w:t>”), then the Company shall promptly take all action reasonably necessary to increase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shares of Common Stock to an amount sufficient to allow the Company to reserve the Required Reserve Amount for the outstanding Warrant. Without limiting the generality of the foregoing sentence, as soon as practicable after the date of the occurrence of an Authorized Share Failure, but in no event later than sixty (60) days after the occurrence of such Authorized Share Failure, the Company shall file a preliminary proxy statement on Schedule 14A noticing a meeting of its stockholders to be held no later than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calendar day after the filing of such proxy statement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20"/>
          <w:szCs w:val="20"/>
          <w:b w:val="1"/>
          <w:bCs w:val="1"/>
          <w:color w:val="auto"/>
        </w:rPr>
        <w:t>Authorization Failure Shares</w:t>
      </w:r>
      <w:r>
        <w:rPr>
          <w:rFonts w:ascii="Times New Roman" w:cs="Times New Roman" w:eastAsia="Times New Roman" w:hAnsi="Times New Roman"/>
          <w:sz w:val="20"/>
          <w:szCs w:val="20"/>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Warrant Agreement.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The Company shall not be required to issue a fractional Warrant Share upon exercise of any Warrant. As to any fraction of a Warrant Share that the Holder would otherwise be entitled to purchase upon such exercise or otherwise, the Company shall pay to such</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22"/>
          <w:szCs w:val="22"/>
          <w:color w:val="auto"/>
        </w:rPr>
        <w:t>Holder an amount in cash (by delivery of a certified or official bank check or by wire transfer of immediately available funds) equal to the product of (i) such fraction multiplied by (ii) the Market Price of one Warrant Share on the Exercise Date.</w:t>
      </w:r>
    </w:p>
    <w:p>
      <w:pPr>
        <w:spacing w:after="0" w:line="158" w:lineRule="exact"/>
        <w:rPr>
          <w:sz w:val="20"/>
          <w:szCs w:val="20"/>
          <w:color w:val="auto"/>
        </w:rPr>
      </w:pPr>
    </w:p>
    <w:p>
      <w:pPr>
        <w:ind w:firstLine="8"/>
        <w:spacing w:after="0" w:line="270" w:lineRule="auto"/>
        <w:tabs>
          <w:tab w:leader="none" w:pos="50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ADJUSTMENT OF EXERCISE PRICE AND NUMBER OF WARRANT SHARES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Exercise Price and number of 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Shares issuable upon exercise of this Warrant are subject to adjustment from time to time as set forth in this Section 2.</w:t>
      </w:r>
    </w:p>
    <w:p>
      <w:pPr>
        <w:spacing w:after="0" w:line="145"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Without limiting any provision of Section 3 or Section 4, if the Company, at any time on or after the Issuance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2"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Upon Issuance of Shares of Common Stock</w:t>
      </w:r>
      <w:r>
        <w:rPr>
          <w:rFonts w:ascii="Times New Roman" w:cs="Times New Roman" w:eastAsia="Times New Roman" w:hAnsi="Times New Roman"/>
          <w:sz w:val="22"/>
          <w:szCs w:val="22"/>
          <w:color w:val="auto"/>
        </w:rPr>
        <w:t>. If and whenever on or after the Issuance Date, the Company grants, issues or sells (or enters into any agreement to grant, issue or sell), or in accordance with this Section 2 is deemed to have granted, issued or sold, any shares of Common Stock (including the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22"/>
          <w:szCs w:val="22"/>
          <w:b w:val="1"/>
          <w:bCs w:val="1"/>
          <w:color w:val="auto"/>
        </w:rPr>
        <w:t>New Issuance Price</w:t>
      </w:r>
      <w:r>
        <w:rPr>
          <w:rFonts w:ascii="Times New Roman" w:cs="Times New Roman" w:eastAsia="Times New Roman" w:hAnsi="Times New Roman"/>
          <w:sz w:val="22"/>
          <w:szCs w:val="22"/>
          <w:color w:val="auto"/>
        </w:rPr>
        <w:t>”) less than a price equal to the Exercise Price in effect immediately prior to such granting, issuance or sale or deemed granting, issuance or sale (such Exercise Price then in effect is referred to herein as the “</w:t>
      </w:r>
      <w:r>
        <w:rPr>
          <w:rFonts w:ascii="Times New Roman" w:cs="Times New Roman" w:eastAsia="Times New Roman" w:hAnsi="Times New Roman"/>
          <w:sz w:val="22"/>
          <w:szCs w:val="22"/>
          <w:b w:val="1"/>
          <w:bCs w:val="1"/>
          <w:color w:val="auto"/>
        </w:rPr>
        <w:t>Applicable Price</w:t>
      </w:r>
      <w:r>
        <w:rPr>
          <w:rFonts w:ascii="Times New Roman" w:cs="Times New Roman" w:eastAsia="Times New Roman" w:hAnsi="Times New Roman"/>
          <w:sz w:val="22"/>
          <w:szCs w:val="22"/>
          <w:color w:val="auto"/>
        </w:rPr>
        <w:t>”) (the foregoing a “</w:t>
      </w:r>
      <w:r>
        <w:rPr>
          <w:rFonts w:ascii="Times New Roman" w:cs="Times New Roman" w:eastAsia="Times New Roman" w:hAnsi="Times New Roman"/>
          <w:sz w:val="22"/>
          <w:szCs w:val="22"/>
          <w:b w:val="1"/>
          <w:bCs w:val="1"/>
          <w:color w:val="auto"/>
        </w:rPr>
        <w:t>Dilutive Issuance</w:t>
      </w:r>
      <w:r>
        <w:rPr>
          <w:rFonts w:ascii="Times New Roman" w:cs="Times New Roman" w:eastAsia="Times New Roman" w:hAnsi="Times New Roman"/>
          <w:sz w:val="22"/>
          <w:szCs w:val="22"/>
          <w:color w:val="auto"/>
        </w:rPr>
        <w:t>”), then immediately after such Dilutive Issuance, the Exercise Price then in effect shall be reduced to an amount equal to the greater of (x) the Floor Price and (y) the New Issuance Price. For all purposes of the foregoing (including, without limitation, determining the adjusted Exercise Price and the New Issuance Price under this Section 2(b)), the following shall be applicable:</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Options</w:t>
      </w:r>
      <w:r>
        <w:rPr>
          <w:rFonts w:ascii="Times New Roman" w:cs="Times New Roman" w:eastAsia="Times New Roman" w:hAnsi="Times New Roman"/>
          <w:sz w:val="22"/>
          <w:szCs w:val="22"/>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jc w:val="both"/>
        <w:ind w:left="3"/>
        <w:spacing w:after="0" w:line="247" w:lineRule="auto"/>
        <w:rPr>
          <w:sz w:val="20"/>
          <w:szCs w:val="20"/>
          <w:color w:val="auto"/>
        </w:rPr>
      </w:pPr>
      <w:r>
        <w:rPr>
          <w:rFonts w:ascii="Times New Roman" w:cs="Times New Roman" w:eastAsia="Times New Roman" w:hAnsi="Times New Roman"/>
          <w:sz w:val="21"/>
          <w:szCs w:val="21"/>
          <w:color w:val="auto"/>
        </w:rPr>
        <w:t>(or the time of execution of such agreement to grant, issue or sell, as applicable)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w:t>
      </w:r>
    </w:p>
    <w:p>
      <w:pPr>
        <w:spacing w:after="0" w:line="2" w:lineRule="exact"/>
        <w:rPr>
          <w:sz w:val="20"/>
          <w:szCs w:val="20"/>
          <w:color w:val="auto"/>
        </w:rPr>
      </w:pPr>
    </w:p>
    <w:p>
      <w:pPr>
        <w:jc w:val="both"/>
        <w:ind w:left="3" w:hanging="3"/>
        <w:spacing w:after="0" w:line="242" w:lineRule="auto"/>
        <w:tabs>
          <w:tab w:leader="none" w:pos="32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the lowest amounts of consideration (if any) received or receivable by the Company with respect to any one share of Common Stock upon the granting, issuance or sale (or pursuant to the agreement to grant, issue or sell, as applicable)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issuance or sale (or the agreement to grant, issue or sell, as applicable)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184" w:lineRule="exact"/>
        <w:rPr>
          <w:rFonts w:ascii="Times New Roman" w:cs="Times New Roman" w:eastAsia="Times New Roman" w:hAnsi="Times New Roman"/>
          <w:sz w:val="21"/>
          <w:szCs w:val="21"/>
          <w:color w:val="auto"/>
        </w:rPr>
      </w:pPr>
    </w:p>
    <w:p>
      <w:pPr>
        <w:jc w:val="both"/>
        <w:ind w:left="3" w:firstLine="745"/>
        <w:spacing w:after="0" w:line="232" w:lineRule="auto"/>
        <w:tabs>
          <w:tab w:leader="none" w:pos="129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Convertible Securities</w:t>
      </w:r>
      <w:r>
        <w:rPr>
          <w:rFonts w:ascii="Times New Roman" w:cs="Times New Roman" w:eastAsia="Times New Roman" w:hAnsi="Times New Roman"/>
          <w:sz w:val="22"/>
          <w:szCs w:val="22"/>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(or the agreement to issue or sell, as applicable) of such Convertible Security plus the value of any other consideration received or</w:t>
      </w:r>
    </w:p>
    <w:p>
      <w:pPr>
        <w:spacing w:after="0" w:line="353"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632460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26" w:name="page27"/>
    <w:bookmarkEnd w:id="26"/>
    <w:p>
      <w:pPr>
        <w:jc w:val="both"/>
        <w:spacing w:after="0" w:line="236" w:lineRule="auto"/>
        <w:rPr>
          <w:sz w:val="20"/>
          <w:szCs w:val="20"/>
          <w:color w:val="auto"/>
        </w:rPr>
      </w:pPr>
      <w:r>
        <w:rPr>
          <w:rFonts w:ascii="Times New Roman" w:cs="Times New Roman" w:eastAsia="Times New Roman" w:hAnsi="Times New Roman"/>
          <w:sz w:val="22"/>
          <w:szCs w:val="22"/>
          <w:color w:val="auto"/>
        </w:rPr>
        <w:t>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issuance or sale.</w:t>
      </w:r>
    </w:p>
    <w:p>
      <w:pPr>
        <w:spacing w:after="0" w:line="181" w:lineRule="exact"/>
        <w:rPr>
          <w:sz w:val="20"/>
          <w:szCs w:val="20"/>
          <w:color w:val="auto"/>
        </w:rPr>
      </w:pPr>
    </w:p>
    <w:p>
      <w:pPr>
        <w:jc w:val="both"/>
        <w:ind w:firstLine="745"/>
        <w:spacing w:after="0" w:line="233" w:lineRule="auto"/>
        <w:tabs>
          <w:tab w:leader="none" w:pos="128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Option Price or Rate of Conversion</w:t>
      </w:r>
      <w:r>
        <w:rPr>
          <w:rFonts w:ascii="Times New Roman" w:cs="Times New Roman" w:eastAsia="Times New Roman" w:hAnsi="Times New Roman"/>
          <w:sz w:val="22"/>
          <w:szCs w:val="22"/>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2(a)),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(including, without limitation,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179" w:lineRule="exact"/>
        <w:rPr>
          <w:rFonts w:ascii="Times New Roman" w:cs="Times New Roman" w:eastAsia="Times New Roman" w:hAnsi="Times New Roman"/>
          <w:sz w:val="22"/>
          <w:szCs w:val="22"/>
          <w:color w:val="auto"/>
        </w:rPr>
      </w:pPr>
    </w:p>
    <w:p>
      <w:pPr>
        <w:jc w:val="both"/>
        <w:ind w:firstLine="745"/>
        <w:spacing w:after="0" w:line="233" w:lineRule="auto"/>
        <w:tabs>
          <w:tab w:leader="none" w:pos="128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Consideration Received</w:t>
      </w:r>
      <w:r>
        <w:rPr>
          <w:rFonts w:ascii="Times New Roman" w:cs="Times New Roman" w:eastAsia="Times New Roman" w:hAnsi="Times New Roman"/>
          <w:sz w:val="22"/>
          <w:szCs w:val="22"/>
          <w:color w:val="auto"/>
        </w:rPr>
        <w:t>. If any Option and/or Convertible Security is issued in connection with the issuance or sale or deemed issuance or sale of any other securities of the Company (as determined by the Holder, the “</w:t>
      </w:r>
      <w:r>
        <w:rPr>
          <w:rFonts w:ascii="Times New Roman" w:cs="Times New Roman" w:eastAsia="Times New Roman" w:hAnsi="Times New Roman"/>
          <w:sz w:val="22"/>
          <w:szCs w:val="22"/>
          <w:b w:val="1"/>
          <w:bCs w:val="1"/>
          <w:color w:val="auto"/>
        </w:rPr>
        <w:t>Primary Security</w:t>
      </w:r>
      <w:r>
        <w:rPr>
          <w:rFonts w:ascii="Times New Roman" w:cs="Times New Roman" w:eastAsia="Times New Roman" w:hAnsi="Times New Roman"/>
          <w:sz w:val="22"/>
          <w:szCs w:val="22"/>
          <w:color w:val="auto"/>
        </w:rPr>
        <w:t>”, and such Option and/or Convertible Security, the “</w:t>
      </w:r>
      <w:r>
        <w:rPr>
          <w:rFonts w:ascii="Times New Roman" w:cs="Times New Roman" w:eastAsia="Times New Roman" w:hAnsi="Times New Roman"/>
          <w:sz w:val="22"/>
          <w:szCs w:val="22"/>
          <w:b w:val="1"/>
          <w:bCs w:val="1"/>
          <w:color w:val="auto"/>
        </w:rPr>
        <w:t>Secondary Securities</w:t>
      </w:r>
      <w:r>
        <w:rPr>
          <w:rFonts w:ascii="Times New Roman" w:cs="Times New Roman" w:eastAsia="Times New Roman" w:hAnsi="Times New Roman"/>
          <w:sz w:val="22"/>
          <w:szCs w:val="22"/>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2(b)(i) or 2(b)(ii) above, as applicable) in such integrated transaction solely with respect to such Primary Security, minus (y) with respect to such Secondary Securities, the sum of (I) the Black Scholes Consideration Value of each such Option, if any, and (II) the fair market value (as determined by the Holder) of such Convertible Security, if any, in each case, as determined on a per share basis in accordance with this Section 2(b)(iv). If any shares of Common Stock, Options or Convertible Securities are issued or sold or deemed to have been issued or sold for cash, the consideration received therefor (for the purpose of determining the consideration paid for such Common Stock, Option or Convertible</w:t>
      </w:r>
    </w:p>
    <w:p>
      <w:pPr>
        <w:spacing w:after="0" w:line="33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632460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27" w:name="page28"/>
    <w:bookmarkEnd w:id="27"/>
    <w:p>
      <w:pPr>
        <w:jc w:val="both"/>
        <w:ind w:left="760"/>
        <w:spacing w:after="0" w:line="242" w:lineRule="auto"/>
        <w:rPr>
          <w:sz w:val="20"/>
          <w:szCs w:val="20"/>
          <w:color w:val="auto"/>
        </w:rPr>
      </w:pPr>
      <w:r>
        <w:rPr>
          <w:rFonts w:ascii="Times New Roman" w:cs="Times New Roman" w:eastAsia="Times New Roman" w:hAnsi="Times New Roman"/>
          <w:sz w:val="21"/>
          <w:szCs w:val="21"/>
          <w:color w:val="auto"/>
        </w:rPr>
        <w:t>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21"/>
          <w:szCs w:val="21"/>
          <w:b w:val="1"/>
          <w:bCs w:val="1"/>
          <w:color w:val="auto"/>
        </w:rPr>
        <w:t>Valuation Event</w:t>
      </w:r>
      <w:r>
        <w:rPr>
          <w:rFonts w:ascii="Times New Roman" w:cs="Times New Roman" w:eastAsia="Times New Roman" w:hAnsi="Times New Roman"/>
          <w:sz w:val="21"/>
          <w:szCs w:val="21"/>
          <w:color w:val="auto"/>
        </w:rPr>
        <w:t>”), the fair value of such consideration will be determined within five</w:t>
      </w:r>
    </w:p>
    <w:p>
      <w:pPr>
        <w:spacing w:after="0" w:line="16" w:lineRule="exact"/>
        <w:rPr>
          <w:sz w:val="20"/>
          <w:szCs w:val="20"/>
          <w:color w:val="auto"/>
        </w:rPr>
      </w:pPr>
    </w:p>
    <w:p>
      <w:pPr>
        <w:jc w:val="both"/>
        <w:ind w:left="760" w:hanging="3"/>
        <w:spacing w:after="0" w:line="235" w:lineRule="auto"/>
        <w:tabs>
          <w:tab w:leader="none" w:pos="110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7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 If the Company takes a record of the holders of shares of Common Stock for the purpose of entitling them (A) to receive a dividend or other distribution payable in shares of Common Stock, Options or in Convertible Securities or</w:t>
      </w:r>
    </w:p>
    <w:p>
      <w:pPr>
        <w:spacing w:after="0" w:line="1" w:lineRule="exact"/>
        <w:rPr>
          <w:sz w:val="20"/>
          <w:szCs w:val="20"/>
          <w:color w:val="auto"/>
        </w:rPr>
      </w:pPr>
    </w:p>
    <w:p>
      <w:pPr>
        <w:jc w:val="both"/>
        <w:ind w:firstLine="8"/>
        <w:spacing w:after="0" w:line="234" w:lineRule="auto"/>
        <w:tabs>
          <w:tab w:leader="none" w:pos="3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77"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Warrant Shares</w:t>
      </w:r>
      <w:r>
        <w:rPr>
          <w:rFonts w:ascii="Times New Roman" w:cs="Times New Roman" w:eastAsia="Times New Roman" w:hAnsi="Times New Roman"/>
          <w:sz w:val="22"/>
          <w:szCs w:val="22"/>
          <w:color w:val="auto"/>
        </w:rPr>
        <w:t>. Simultaneously with any adjustment to the Exercise Price pursuant to Section 2(a) above,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2 shall be made by rounding to the nearest cent or the nearest 1/100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a share, as applicable. The number of shares of Common Stock outstanding at any given time shall not include shares owned or held by or for the account of the Company, and the disposition of any such shares shall be considered an issuance or sale of Common Stock.</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 w:name="page29"/>
    <w:bookmarkEnd w:id="28"/>
    <w:p>
      <w:pPr>
        <w:jc w:val="both"/>
        <w:ind w:firstLine="757"/>
        <w:spacing w:after="0" w:line="244" w:lineRule="auto"/>
        <w:tabs>
          <w:tab w:leader="none" w:pos="101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Adjustment By Company</w:t>
      </w:r>
      <w:r>
        <w:rPr>
          <w:rFonts w:ascii="Times New Roman" w:cs="Times New Roman" w:eastAsia="Times New Roman" w:hAnsi="Times New Roman"/>
          <w:sz w:val="22"/>
          <w:szCs w:val="22"/>
          <w:color w:val="auto"/>
        </w:rPr>
        <w:t>. Subject to the rules and regulations of the Principal Market,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73" w:lineRule="exact"/>
        <w:rPr>
          <w:rFonts w:ascii="Times New Roman" w:cs="Times New Roman" w:eastAsia="Times New Roman" w:hAnsi="Times New Roman"/>
          <w:sz w:val="22"/>
          <w:szCs w:val="22"/>
          <w:color w:val="auto"/>
        </w:rPr>
      </w:pPr>
    </w:p>
    <w:p>
      <w:pPr>
        <w:jc w:val="both"/>
        <w:ind w:firstLine="8"/>
        <w:spacing w:after="0" w:line="232" w:lineRule="auto"/>
        <w:tabs>
          <w:tab w:leader="none" w:pos="50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UPON DISTRIBUTION OF ASSETS</w:t>
      </w:r>
      <w:r>
        <w:rPr>
          <w:rFonts w:ascii="Times New Roman" w:cs="Times New Roman" w:eastAsia="Times New Roman" w:hAnsi="Times New Roman"/>
          <w:sz w:val="22"/>
          <w:szCs w:val="22"/>
          <w:color w:val="auto"/>
        </w:rPr>
        <w:t>. In addition to any adjustments pursuant to Section 2 above or Section 4(a)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at any time after the issuance of this Warrant, then, in each such case, the Holder shall, upon each exercise of this Warrant be entitled to participate in such Distribution to the same extent that the Holder would have participated therein if the Holder had held the number of shares of Common Stock the Holder acquired upon each such exercise of this Warrant (or, if elected in writing by the Company, the Holder shall be entitled to such Distributions which the Holder could have acquired if the Holder had held the number of shares of Common Stock acquirable upon complete such exercise of this Warrant without taking into account any limitations or restrictions on the exercisability of this Warrant and assuming for such purpose that this Warrant was exercised at the Exercise Price as of the applicable record date)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in excess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2"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RIGHTS; FUNDAMENTAL TRANSACTIONS.</w:t>
      </w:r>
    </w:p>
    <w:p>
      <w:pPr>
        <w:spacing w:after="0" w:line="206"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22"/>
          <w:szCs w:val="22"/>
          <w:b w:val="1"/>
          <w:bCs w:val="1"/>
          <w:color w:val="auto"/>
        </w:rPr>
        <w:t>Purchase Rights</w:t>
      </w:r>
      <w:r>
        <w:rPr>
          <w:rFonts w:ascii="Times New Roman" w:cs="Times New Roman" w:eastAsia="Times New Roman" w:hAnsi="Times New Roman"/>
          <w:sz w:val="22"/>
          <w:szCs w:val="22"/>
          <w:color w:val="auto"/>
        </w:rPr>
        <w:t>”), then, upon each exercise of the Warrant, the Holder will be entitled to acquire, upon the terms applicable to such Purchase Rights, the aggregate Purchase Rights which the Holder could have acquired if the Holder had held the number of shares of Common Stock the Holder acquired upon each such exercise of this Warrant (or, if elected in writing by the Company, the Holder shall be entitled to acquire, upon the terms applicable to such Purchase Rights, the aggregate Purchase Rights which the Holder could have acquired if the Holder had held the number of Warrant Shares acquirable upon a complete exercise of this Warrant without taking into account any limitations or restrictions on the exercisability of this Warrant and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1"/>
          <w:szCs w:val="21"/>
          <w:color w:val="auto"/>
        </w:rPr>
        <w:t>assuming for such purpose that this Warrant was converted at the Exercise Price as of the applicable record date)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77" w:lineRule="exact"/>
        <w:rPr>
          <w:sz w:val="20"/>
          <w:szCs w:val="20"/>
          <w:color w:val="auto"/>
        </w:rPr>
      </w:pPr>
    </w:p>
    <w:p>
      <w:pPr>
        <w:jc w:val="both"/>
        <w:ind w:firstLine="757"/>
        <w:spacing w:after="0" w:line="232" w:lineRule="auto"/>
        <w:tabs>
          <w:tab w:leader="none" w:pos="101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Transactions</w:t>
      </w:r>
      <w:r>
        <w:rPr>
          <w:rFonts w:ascii="Times New Roman" w:cs="Times New Roman" w:eastAsia="Times New Roman" w:hAnsi="Times New Roman"/>
          <w:sz w:val="22"/>
          <w:szCs w:val="22"/>
          <w:color w:val="auto"/>
        </w:rPr>
        <w:t>. The Company shall not enter into or be party to a Fundamental Transaction unless the Successor Entity assumes in writing all of the obligations of the Company under this Warrant and the other Transaction Documents (as defined in the Warrant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expressly assume in writing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jc w:val="both"/>
        <w:spacing w:after="0" w:line="239" w:lineRule="auto"/>
        <w:rPr>
          <w:sz w:val="20"/>
          <w:szCs w:val="20"/>
          <w:color w:val="auto"/>
        </w:rPr>
      </w:pPr>
      <w:r>
        <w:rPr>
          <w:rFonts w:ascii="Times New Roman" w:cs="Times New Roman" w:eastAsia="Times New Roman" w:hAnsi="Times New Roman"/>
          <w:sz w:val="22"/>
          <w:szCs w:val="22"/>
          <w:color w:val="auto"/>
        </w:rPr>
        <w:t>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w:t>
      </w:r>
    </w:p>
    <w:p>
      <w:pPr>
        <w:spacing w:after="0" w:line="180" w:lineRule="exact"/>
        <w:rPr>
          <w:sz w:val="20"/>
          <w:szCs w:val="20"/>
          <w:color w:val="auto"/>
        </w:rPr>
      </w:pPr>
    </w:p>
    <w:p>
      <w:pPr>
        <w:jc w:val="both"/>
        <w:ind w:firstLine="757"/>
        <w:spacing w:after="0" w:line="233" w:lineRule="auto"/>
        <w:tabs>
          <w:tab w:leader="none" w:pos="101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22"/>
          <w:szCs w:val="22"/>
          <w:b w:val="1"/>
          <w:bCs w:val="1"/>
          <w:color w:val="auto"/>
        </w:rPr>
        <w:t>Corporate Event</w:t>
      </w:r>
      <w:r>
        <w:rPr>
          <w:rFonts w:ascii="Times New Roman" w:cs="Times New Roman" w:eastAsia="Times New Roman" w:hAnsi="Times New Roman"/>
          <w:sz w:val="22"/>
          <w:szCs w:val="22"/>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4"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 Scholes Value</w:t>
      </w:r>
      <w:r>
        <w:rPr>
          <w:rFonts w:ascii="Times New Roman" w:cs="Times New Roman" w:eastAsia="Times New Roman" w:hAnsi="Times New Roman"/>
          <w:sz w:val="22"/>
          <w:szCs w:val="22"/>
          <w:color w:val="auto"/>
        </w:rPr>
        <w:t>. Notwithstanding the foregoing and the provisions of Section 4(b) above, at the request of the Holder delivered at any time commencing on the earliest to occur of (x) the public disclosure of any Change of Control (as defined in the Notes), (y) the consummation of any Change of Control and (z) the Holder first becoming aware of any Change of Control through the date that is ninety (90) days after the public disclosure of the consummation of such Change of Control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Trading Day after the date of such request and (y) the date of consummation of such Change of Control.</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76"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NONCIRCUMVENTION</w:t>
      </w:r>
      <w:r>
        <w:rPr>
          <w:rFonts w:ascii="Times New Roman" w:cs="Times New Roman" w:eastAsia="Times New Roman" w:hAnsi="Times New Roman"/>
          <w:sz w:val="22"/>
          <w:szCs w:val="22"/>
          <w:color w:val="auto"/>
        </w:rPr>
        <w:t>. The Company hereby covenants and agrees that the Company will not, by amendment of its Certificate of Incorporation (as defined in the Warrant Agreement), Bylaws (as defined in the Warrant Agreement) or through any reorganization, transfer of assets, consolidation, merger, scheme of arrangement, dissolution, issuance or sale of securities, or any other voluntary action, avoid or seek to avoid the observance or performance of any of the terms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spacing w:after="0" w:line="183" w:lineRule="exact"/>
        <w:rPr>
          <w:sz w:val="20"/>
          <w:szCs w:val="20"/>
          <w:color w:val="auto"/>
        </w:rPr>
      </w:pPr>
    </w:p>
    <w:p>
      <w:pPr>
        <w:jc w:val="both"/>
        <w:ind w:firstLine="8"/>
        <w:spacing w:after="0" w:line="233" w:lineRule="auto"/>
        <w:tabs>
          <w:tab w:leader="none" w:pos="50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HOLDER NOT DEEMED A STOCKHOLDER</w:t>
      </w:r>
      <w:r>
        <w:rPr>
          <w:rFonts w:ascii="Times New Roman" w:cs="Times New Roman" w:eastAsia="Times New Roman" w:hAnsi="Times New Roman"/>
          <w:sz w:val="22"/>
          <w:szCs w:val="22"/>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however, that the Company shall not be obligated to provide such notice or information if it is filed with the SEC through EDGAR and available to the public through the EDGAR system.</w:t>
      </w:r>
    </w:p>
    <w:p>
      <w:pPr>
        <w:spacing w:after="0" w:line="17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REISSUANCE OF WARRANTS.</w:t>
      </w:r>
    </w:p>
    <w:p>
      <w:pPr>
        <w:spacing w:after="0" w:line="20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Warrant</w:t>
      </w:r>
      <w:r>
        <w:rPr>
          <w:rFonts w:ascii="Times New Roman" w:cs="Times New Roman" w:eastAsia="Times New Roman" w:hAnsi="Times New Roman"/>
          <w:sz w:val="22"/>
          <w:szCs w:val="22"/>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The Company shall not be obligated to pay any income tax of the Holder which may be payable with respect to any transfer (or deemed transfer) arising in connection with the registration of any certificates for Warrant Shares or Warrants in the name of any Person other than the Holder.</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Lost, Stolen or Mutilated Warrant</w:t>
      </w:r>
      <w:r>
        <w:rPr>
          <w:rFonts w:ascii="Times New Roman" w:cs="Times New Roman" w:eastAsia="Times New Roman" w:hAnsi="Times New Roman"/>
          <w:sz w:val="22"/>
          <w:szCs w:val="22"/>
          <w:color w:val="auto"/>
        </w:rPr>
        <w:t>. Upon receipt by the Company of evidence reasonably satisfactory to the Company of the loss, theft, destruction or mutilation of this Warrant (as to which a written certification and the indemnification contemplated below shall suffice as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both"/>
        <w:spacing w:after="0" w:line="239" w:lineRule="auto"/>
        <w:rPr>
          <w:sz w:val="20"/>
          <w:szCs w:val="20"/>
          <w:color w:val="auto"/>
        </w:rPr>
      </w:pPr>
      <w:r>
        <w:rPr>
          <w:rFonts w:ascii="Times New Roman" w:cs="Times New Roman" w:eastAsia="Times New Roman" w:hAnsi="Times New Roman"/>
          <w:sz w:val="22"/>
          <w:szCs w:val="22"/>
          <w:color w:val="auto"/>
        </w:rPr>
        <w:t>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0" w:lineRule="exact"/>
        <w:rPr>
          <w:sz w:val="20"/>
          <w:szCs w:val="20"/>
          <w:color w:val="auto"/>
        </w:rPr>
      </w:pPr>
    </w:p>
    <w:p>
      <w:pPr>
        <w:jc w:val="both"/>
        <w:ind w:firstLine="757"/>
        <w:spacing w:after="0" w:line="238" w:lineRule="auto"/>
        <w:tabs>
          <w:tab w:leader="none" w:pos="101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Exchangeable for Multiple Warrants</w:t>
      </w:r>
      <w:r>
        <w:rPr>
          <w:rFonts w:ascii="Times New Roman" w:cs="Times New Roman" w:eastAsia="Times New Roman" w:hAnsi="Times New Roman"/>
          <w:sz w:val="22"/>
          <w:szCs w:val="22"/>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New Warrants</w:t>
      </w:r>
      <w:r>
        <w:rPr>
          <w:rFonts w:ascii="Times New Roman" w:cs="Times New Roman" w:eastAsia="Times New Roman" w:hAnsi="Times New Roman"/>
          <w:sz w:val="22"/>
          <w:szCs w:val="22"/>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terms, rights and conditions as this Warrant.</w:t>
      </w:r>
    </w:p>
    <w:p>
      <w:pPr>
        <w:spacing w:after="0" w:line="183" w:lineRule="exact"/>
        <w:rPr>
          <w:rFonts w:ascii="Times New Roman" w:cs="Times New Roman" w:eastAsia="Times New Roman" w:hAnsi="Times New Roman"/>
          <w:sz w:val="22"/>
          <w:szCs w:val="22"/>
          <w:color w:val="auto"/>
        </w:rPr>
      </w:pPr>
    </w:p>
    <w:p>
      <w:pPr>
        <w:jc w:val="both"/>
        <w:ind w:firstLine="8"/>
        <w:spacing w:after="0" w:line="232" w:lineRule="auto"/>
        <w:tabs>
          <w:tab w:leader="none" w:pos="50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Whenever notice is required to be given under this Warrant, unless otherwise provided herein, such notice shall be given in accordance with Section 9(f) of the Warrant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ten (10)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(other than Excluded Securities)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setting forth in reasonable detail any material events with respect to such Fundamental Transaction (unless, solely with respect to the Designated Transactions (as defined in the Notes), such reasonable detail is otherwise previously disclosed in the SEC Documents (as defined in the Warrant Agreement)). To the extent that any notice provided hereunder constitutes, or contains, material, non-public information regarding the Company or any of its Subsidiaries, the Company shall simultaneously file such notice with the SEC (as defined in the Warrant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jc w:val="both"/>
        <w:ind w:firstLine="509"/>
        <w:spacing w:after="0" w:line="235" w:lineRule="auto"/>
        <w:rPr>
          <w:sz w:val="20"/>
          <w:szCs w:val="20"/>
          <w:color w:val="auto"/>
        </w:rPr>
      </w:pPr>
      <w:r>
        <w:rPr>
          <w:rFonts w:ascii="Times New Roman" w:cs="Times New Roman" w:eastAsia="Times New Roman" w:hAnsi="Times New Roman"/>
          <w:sz w:val="22"/>
          <w:szCs w:val="22"/>
          <w:color w:val="auto"/>
        </w:rPr>
        <w:t>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183" w:lineRule="exact"/>
        <w:rPr>
          <w:sz w:val="20"/>
          <w:szCs w:val="20"/>
          <w:color w:val="auto"/>
        </w:rPr>
      </w:pPr>
    </w:p>
    <w:p>
      <w:pPr>
        <w:jc w:val="both"/>
        <w:ind w:firstLine="8"/>
        <w:spacing w:after="0" w:line="245" w:lineRule="auto"/>
        <w:tabs>
          <w:tab w:leader="none" w:pos="50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the Warrant Agreement.</w:t>
      </w:r>
    </w:p>
    <w:p>
      <w:pPr>
        <w:spacing w:after="0" w:line="177" w:lineRule="exact"/>
        <w:rPr>
          <w:rFonts w:ascii="Times New Roman" w:cs="Times New Roman" w:eastAsia="Times New Roman" w:hAnsi="Times New Roman"/>
          <w:sz w:val="21"/>
          <w:szCs w:val="21"/>
          <w:color w:val="auto"/>
        </w:rPr>
      </w:pPr>
    </w:p>
    <w:p>
      <w:pPr>
        <w:jc w:val="both"/>
        <w:ind w:firstLine="8"/>
        <w:spacing w:after="0" w:line="248" w:lineRule="auto"/>
        <w:tabs>
          <w:tab w:leader="none" w:pos="50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ABSENCE OF TRADING AND DISCLOSURE RESTRICTIONS</w:t>
      </w:r>
      <w:r>
        <w:rPr>
          <w:rFonts w:ascii="Times New Roman" w:cs="Times New Roman" w:eastAsia="Times New Roman" w:hAnsi="Times New Roman"/>
          <w:sz w:val="21"/>
          <w:szCs w:val="21"/>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70" w:lineRule="exact"/>
        <w:rPr>
          <w:rFonts w:ascii="Times New Roman" w:cs="Times New Roman" w:eastAsia="Times New Roman" w:hAnsi="Times New Roman"/>
          <w:sz w:val="21"/>
          <w:szCs w:val="21"/>
          <w:color w:val="auto"/>
        </w:rPr>
      </w:pPr>
    </w:p>
    <w:p>
      <w:pPr>
        <w:jc w:val="both"/>
        <w:ind w:firstLine="8"/>
        <w:spacing w:after="0" w:line="238" w:lineRule="auto"/>
        <w:tabs>
          <w:tab w:leader="none" w:pos="50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Except as otherwise provided herein, the provisions of this Warrant (other than Section 1(f) and this Section 11, which may not be amended, modified or waived)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76"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jc w:val="both"/>
        <w:ind w:firstLine="509"/>
        <w:spacing w:after="0" w:line="248" w:lineRule="auto"/>
        <w:rPr>
          <w:sz w:val="20"/>
          <w:szCs w:val="20"/>
          <w:color w:val="auto"/>
        </w:rPr>
      </w:pPr>
      <w:r>
        <w:rPr>
          <w:rFonts w:ascii="Times New Roman" w:cs="Times New Roman" w:eastAsia="Times New Roman" w:hAnsi="Times New Roman"/>
          <w:sz w:val="21"/>
          <w:szCs w:val="21"/>
          <w:color w:val="auto"/>
        </w:rPr>
        <w:t>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0" w:lineRule="exact"/>
        <w:rPr>
          <w:sz w:val="20"/>
          <w:szCs w:val="20"/>
          <w:color w:val="auto"/>
        </w:rPr>
      </w:pPr>
    </w:p>
    <w:p>
      <w:pPr>
        <w:jc w:val="both"/>
        <w:ind w:firstLine="8"/>
        <w:spacing w:after="0" w:line="242" w:lineRule="auto"/>
        <w:tabs>
          <w:tab w:leader="none" w:pos="50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3(f) of the Warrant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21"/>
          <w:szCs w:val="21"/>
          <w:b w:val="1"/>
          <w:bCs w:val="1"/>
          <w:color w:val="auto"/>
        </w:rPr>
        <w:t>EACH PARTY HERETO HEREBY IRREVOCABLY WAIVES ANY RIGHT IT MAY HAVE TO,</w:t>
      </w:r>
    </w:p>
    <w:p>
      <w:pPr>
        <w:spacing w:after="0" w:line="16" w:lineRule="exact"/>
        <w:rPr>
          <w:rFonts w:ascii="Times New Roman" w:cs="Times New Roman" w:eastAsia="Times New Roman" w:hAnsi="Times New Roman"/>
          <w:sz w:val="21"/>
          <w:szCs w:val="21"/>
          <w:color w:val="auto"/>
        </w:rPr>
      </w:pP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AND AGREES NOT TO REQUEST, A JURY TRIAL FOR THE ADJUDICATION OF ANY DISPUTE HEREUNDER OR IN CONNECTION WITH OR ARISING OUT OF THIS WARRANT OR ANY TRANSACTION CONTEMPLATED HEREBY.</w:t>
      </w:r>
    </w:p>
    <w:p>
      <w:pPr>
        <w:spacing w:after="0" w:line="177" w:lineRule="exact"/>
        <w:rPr>
          <w:rFonts w:ascii="Times New Roman" w:cs="Times New Roman" w:eastAsia="Times New Roman" w:hAnsi="Times New Roman"/>
          <w:sz w:val="21"/>
          <w:szCs w:val="21"/>
          <w:color w:val="auto"/>
        </w:rPr>
      </w:pPr>
    </w:p>
    <w:p>
      <w:pPr>
        <w:jc w:val="both"/>
        <w:ind w:firstLine="8"/>
        <w:spacing w:after="0" w:line="238" w:lineRule="auto"/>
        <w:tabs>
          <w:tab w:leader="none" w:pos="50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HEADINGS</w:t>
      </w:r>
      <w:r>
        <w:rPr>
          <w:rFonts w:ascii="Times New Roman" w:cs="Times New Roman" w:eastAsia="Times New Roman" w:hAnsi="Times New Roman"/>
          <w:sz w:val="22"/>
          <w:szCs w:val="22"/>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Warrant Agreement) in such other Transaction Documents unless otherwise consented to in writing by the Holder.</w:t>
      </w:r>
    </w:p>
    <w:p>
      <w:pPr>
        <w:spacing w:after="0" w:line="17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ind w:left="263" w:hanging="263"/>
        <w:spacing w:after="0"/>
        <w:tabs>
          <w:tab w:leader="none" w:pos="26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Dispute Resolution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 w:firstLine="745"/>
        <w:spacing w:after="0" w:line="233" w:lineRule="auto"/>
        <w:tabs>
          <w:tab w:leader="none" w:pos="129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dispute relating to the Exercise Price, the Closing Sale Price, the Bid Price, Black Scholes Consideration Value,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such Black Scholes Consideration Value, Black Scholes Value or such fair market value or such arithmetic calculation of the number of Warrant Shares (as the case may be), at any time after the second (2nd) Business Day following such initial notice by the Company or the Holder (as the case may be) of such dispute to the Company or the Holder (as the case may be), then the Holder may select an independent, reputable investment bank to resolve such dispute, provided such investment bank is reasonably acceptable to the Company (such approval not to be unreasonably withheld, conditioned or delayed).</w:t>
      </w:r>
    </w:p>
    <w:p>
      <w:pPr>
        <w:spacing w:after="0" w:line="182"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291"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(5th) Business Day immediately following the date on which the Holder selected such investment bank and notified the Company of such selection and provided the Company with necessary contact information for such investment bank (the “</w:t>
      </w:r>
      <w:r>
        <w:rPr>
          <w:rFonts w:ascii="Times New Roman" w:cs="Times New Roman" w:eastAsia="Times New Roman" w:hAnsi="Times New Roman"/>
          <w:sz w:val="21"/>
          <w:szCs w:val="21"/>
          <w:b w:val="1"/>
          <w:bCs w:val="1"/>
          <w:color w:val="auto"/>
        </w:rPr>
        <w:t>Dispute Submission Deadline</w:t>
      </w:r>
      <w:r>
        <w:rPr>
          <w:rFonts w:ascii="Times New Roman" w:cs="Times New Roman" w:eastAsia="Times New Roman" w:hAnsi="Times New Roman"/>
          <w:sz w:val="21"/>
          <w:szCs w:val="21"/>
          <w:color w:val="auto"/>
        </w:rPr>
        <w:t>”) (the documents referred to in the immediately preceding clauses (A) and (B) are collectively referred to herein as the “</w:t>
      </w:r>
      <w:r>
        <w:rPr>
          <w:rFonts w:ascii="Times New Roman" w:cs="Times New Roman" w:eastAsia="Times New Roman" w:hAnsi="Times New Roman"/>
          <w:sz w:val="21"/>
          <w:szCs w:val="21"/>
          <w:b w:val="1"/>
          <w:bCs w:val="1"/>
          <w:color w:val="auto"/>
        </w:rPr>
        <w:t>Required Dispute Documentation</w:t>
      </w:r>
      <w:r>
        <w:rPr>
          <w:rFonts w:ascii="Times New Roman" w:cs="Times New Roman" w:eastAsia="Times New Roman" w:hAnsi="Times New Roman"/>
          <w:sz w:val="21"/>
          <w:szCs w:val="21"/>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178" w:lineRule="exact"/>
        <w:rPr>
          <w:rFonts w:ascii="Times New Roman" w:cs="Times New Roman" w:eastAsia="Times New Roman" w:hAnsi="Times New Roman"/>
          <w:sz w:val="21"/>
          <w:szCs w:val="21"/>
          <w:color w:val="auto"/>
        </w:rPr>
      </w:pPr>
    </w:p>
    <w:p>
      <w:pPr>
        <w:jc w:val="both"/>
        <w:ind w:left="3" w:firstLine="745"/>
        <w:spacing w:after="0" w:line="238" w:lineRule="auto"/>
        <w:tabs>
          <w:tab w:leader="none" w:pos="129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339"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632460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36" w:name="page37"/>
    <w:bookmarkEnd w:id="36"/>
    <w:p>
      <w:pPr>
        <w:jc w:val="both"/>
        <w:ind w:firstLine="757"/>
        <w:spacing w:after="0" w:line="232" w:lineRule="auto"/>
        <w:tabs>
          <w:tab w:leader="none" w:pos="101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Each of the Company and the Holder expressly acknowledges and agrees that (i) this Section 15 constitutes an agreement to arbitrate between the Company and the Holder (and constitutes an arbitration agreement) under the rules then in effect under § 7501, et seq. of the New York Civil Practice Law and Rules (“</w:t>
      </w:r>
      <w:r>
        <w:rPr>
          <w:rFonts w:ascii="Times New Roman" w:cs="Times New Roman" w:eastAsia="Times New Roman" w:hAnsi="Times New Roman"/>
          <w:sz w:val="22"/>
          <w:szCs w:val="22"/>
          <w:b w:val="1"/>
          <w:bCs w:val="1"/>
          <w:color w:val="auto"/>
        </w:rPr>
        <w:t>CPLR</w:t>
      </w:r>
      <w:r>
        <w:rPr>
          <w:rFonts w:ascii="Times New Roman" w:cs="Times New Roman" w:eastAsia="Times New Roman" w:hAnsi="Times New Roman"/>
          <w:sz w:val="22"/>
          <w:szCs w:val="22"/>
          <w:color w:val="auto"/>
        </w:rPr>
        <w:t>”) and that each of the Holder and the Company is authorized to apply for an order to compel arbitration pursuant to CPLR § 7503(a) in order to compel compliance with this Section 15, (ii) a dispute relating to the Exercise Price includes, without limitation, disputes as to whether an agreement, instrument, security or the like constitutes and Option or Convertible Security , (iii)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(including, without limitation, determining whether an agreement, instrument, security or the like constitutes and Option or Convertible Security and in resolving such dispute such investment bank shall apply such findings, determinations and the like to the terms of this Warrant and any other applicable Transaction Documents, (iv) each of the Company and the Holder shall have the right to submit any dispute described in this Section 15 to any state or federal court sitting in The City of New York, Borough of Manhattan in lieu of utilizing the procedures set forth in this Section 15 and (v) nothing in this Section 15 shall limit the Holder from obtaining any injunctive relief or other equitable remedies (including, without limitation, with respect to any matters described in this Section 15).</w:t>
      </w:r>
    </w:p>
    <w:p>
      <w:pPr>
        <w:spacing w:after="0" w:line="191" w:lineRule="exact"/>
        <w:rPr>
          <w:rFonts w:ascii="Times New Roman" w:cs="Times New Roman" w:eastAsia="Times New Roman" w:hAnsi="Times New Roman"/>
          <w:sz w:val="22"/>
          <w:szCs w:val="22"/>
          <w:color w:val="auto"/>
        </w:rPr>
      </w:pPr>
    </w:p>
    <w:p>
      <w:pPr>
        <w:jc w:val="both"/>
        <w:ind w:firstLine="8"/>
        <w:spacing w:after="0" w:line="232" w:lineRule="auto"/>
        <w:tabs>
          <w:tab w:leader="none" w:pos="50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CHARACTERIZATION, OTHER OBLIGATIONS, BREACHES AND INJUNCTIVE RELIEF</w:t>
      </w:r>
      <w:r>
        <w:rPr>
          <w:rFonts w:ascii="Times New Roman" w:cs="Times New Roman" w:eastAsia="Times New Roman" w:hAnsi="Times New Roman"/>
          <w:sz w:val="22"/>
          <w:szCs w:val="22"/>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both"/>
        <w:ind w:firstLine="8"/>
        <w:spacing w:after="0" w:line="235" w:lineRule="auto"/>
        <w:tabs>
          <w:tab w:leader="none" w:pos="50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COLLECTION, ENFORCEMENT AND OTHER COSTS</w:t>
      </w:r>
      <w:r>
        <w:rPr>
          <w:rFonts w:ascii="Times New Roman" w:cs="Times New Roman" w:eastAsia="Times New Roman" w:hAnsi="Times New Roman"/>
          <w:sz w:val="22"/>
          <w:szCs w:val="22"/>
          <w:color w:val="auto"/>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83"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This Warrant may be offered for sale, sold, transferred or assigned without the consent of the Company, except as may otherwise be required by the Warrant Agreement.</w:t>
      </w:r>
    </w:p>
    <w:p>
      <w:pPr>
        <w:spacing w:after="0" w:line="15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Warrant, the following terms shall have the following meanings:</w:t>
      </w:r>
    </w:p>
    <w:p>
      <w:pPr>
        <w:spacing w:after="0" w:line="20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1933 Act</w:t>
      </w:r>
      <w:r>
        <w:rPr>
          <w:rFonts w:ascii="Times New Roman" w:cs="Times New Roman" w:eastAsia="Times New Roman" w:hAnsi="Times New Roman"/>
          <w:sz w:val="22"/>
          <w:szCs w:val="22"/>
          <w:color w:val="auto"/>
        </w:rPr>
        <w:t>” means the Securities Act of 1933, as amended, and the rules and regulations thereunder.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1934 Act</w:t>
      </w:r>
      <w:r>
        <w:rPr>
          <w:rFonts w:ascii="Times New Roman" w:cs="Times New Roman" w:eastAsia="Times New Roman" w:hAnsi="Times New Roman"/>
          <w:sz w:val="22"/>
          <w:szCs w:val="22"/>
          <w:color w:val="auto"/>
        </w:rPr>
        <w:t>” means the Securities Exchange Act of 1934, as amended, and the rules and regulations thereunder.</w:t>
      </w:r>
    </w:p>
    <w:p>
      <w:pPr>
        <w:spacing w:after="0" w:line="206" w:lineRule="exact"/>
        <w:rPr>
          <w:sz w:val="20"/>
          <w:szCs w:val="20"/>
          <w:color w:val="auto"/>
        </w:rPr>
      </w:pPr>
    </w:p>
    <w:p>
      <w:pPr>
        <w:jc w:val="both"/>
        <w:ind w:firstLine="757"/>
        <w:spacing w:after="0" w:line="256" w:lineRule="auto"/>
        <w:tabs>
          <w:tab w:leader="none" w:pos="101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5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b w:val="1"/>
          <w:bCs w:val="1"/>
          <w:color w:val="auto"/>
        </w:rPr>
        <w:t>Approved Stock Plan</w:t>
      </w:r>
      <w:r>
        <w:rPr>
          <w:rFonts w:ascii="Times New Roman" w:cs="Times New Roman" w:eastAsia="Times New Roman" w:hAnsi="Times New Roman"/>
          <w:sz w:val="22"/>
          <w:szCs w:val="22"/>
          <w:color w:val="auto"/>
        </w:rPr>
        <w:t>” means any stock, equity or option plan or agreement which has been approved by the board of directors of the Company prior to or subsequent to the Issuance Date pursuant to which shares of Common Stock, restricted stock units, stock options to purchase Common Stock and other equity awards may be issued to any employee, officer, director or consultant for services provided to the Company in their capacity as such.</w:t>
      </w:r>
    </w:p>
    <w:p>
      <w:pPr>
        <w:spacing w:after="0" w:line="172" w:lineRule="exact"/>
        <w:rPr>
          <w:sz w:val="20"/>
          <w:szCs w:val="20"/>
          <w:color w:val="auto"/>
        </w:rPr>
      </w:pPr>
    </w:p>
    <w:p>
      <w:pPr>
        <w:jc w:val="both"/>
        <w:ind w:firstLine="757"/>
        <w:spacing w:after="0" w:line="235"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Attribution Parties</w:t>
      </w:r>
      <w:r>
        <w:rPr>
          <w:rFonts w:ascii="Times New Roman" w:cs="Times New Roman" w:eastAsia="Times New Roman" w:hAnsi="Times New Roman"/>
          <w:sz w:val="22"/>
          <w:szCs w:val="22"/>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78"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Bid Price</w:t>
      </w:r>
      <w:r>
        <w:rPr>
          <w:rFonts w:ascii="Times New Roman" w:cs="Times New Roman" w:eastAsia="Times New Roman" w:hAnsi="Times New Roman"/>
          <w:sz w:val="22"/>
          <w:szCs w:val="22"/>
          <w:color w:val="auto"/>
        </w:rPr>
        <w:t>” means, for any security as of the particular time of determination, the bid price for such security on the Principal Market as reported by Bloomberg as of such time of</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jc w:val="both"/>
        <w:spacing w:after="0" w:line="233" w:lineRule="auto"/>
        <w:rPr>
          <w:sz w:val="20"/>
          <w:szCs w:val="20"/>
          <w:color w:val="auto"/>
        </w:rPr>
      </w:pPr>
      <w:r>
        <w:rPr>
          <w:rFonts w:ascii="Times New Roman" w:cs="Times New Roman" w:eastAsia="Times New Roman" w:hAnsi="Times New Roman"/>
          <w:sz w:val="22"/>
          <w:szCs w:val="22"/>
          <w:color w:val="auto"/>
        </w:rPr>
        <w:t>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b w:val="1"/>
          <w:bCs w:val="1"/>
          <w:color w:val="auto"/>
        </w:rPr>
        <w:t>Black Scholes Consideration Value</w:t>
      </w:r>
      <w:r>
        <w:rPr>
          <w:rFonts w:ascii="Times New Roman" w:cs="Times New Roman" w:eastAsia="Times New Roman" w:hAnsi="Times New Roman"/>
          <w:sz w:val="22"/>
          <w:szCs w:val="22"/>
          <w:color w:val="auto"/>
        </w:rPr>
        <w:t>” 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or Convertible Security (as the case may be).</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b w:val="1"/>
          <w:bCs w:val="1"/>
          <w:color w:val="auto"/>
        </w:rPr>
        <w:t>Black Scholes Value</w:t>
      </w:r>
      <w:r>
        <w:rPr>
          <w:rFonts w:ascii="Times New Roman" w:cs="Times New Roman" w:eastAsia="Times New Roman" w:hAnsi="Times New Roman"/>
          <w:sz w:val="22"/>
          <w:szCs w:val="22"/>
          <w:color w:val="auto"/>
        </w:rPr>
        <w:t>” means the value of the unexercised portion of this Warrant remaining on the date of the Holder’s request pursuant to Section 4(d),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Change of Control (or the consummation of the applicable Change of Control, if earlier) and ending on the Trading Day of the Holder’s request pursuant to Section 4(d) and (2) the sum of the price per share being offered in cash in the applicable Change of Control (if any) plus the value of the non-cash consideration being offered in the applicable Change of Control (if any), (ii) a strike price equal to the Exercise Price in effect on the date of the Holder’s request pursuant to Section 4(d), (iii) a risk-free interest rate corresponding to the U.S. Treasury rate for a period equal to the greater of (1) the remaining term of this Warrant as of the date of the Holder’s request pursuant to Section 4(d) and (2) the remaining term of this Warrant as of the date of consummation of the applicable Change of Control or as of the date of the Holder’s request pursuant to Section 4(d) if such request is prior to the date of the consummation of the applicable Change of Control, (iv) a zero cost of borrow and (v) an expected volatility equal to the greater of</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both"/>
        <w:spacing w:after="0" w:line="244" w:lineRule="auto"/>
        <w:rPr>
          <w:sz w:val="20"/>
          <w:szCs w:val="20"/>
          <w:color w:val="auto"/>
        </w:rPr>
      </w:pPr>
      <w:r>
        <w:rPr>
          <w:rFonts w:ascii="Times New Roman" w:cs="Times New Roman" w:eastAsia="Times New Roman" w:hAnsi="Times New Roman"/>
          <w:sz w:val="22"/>
          <w:szCs w:val="22"/>
          <w:color w:val="auto"/>
        </w:rPr>
        <w:t>100% and the 30 day volatility obtained from the “HVT” function on Bloomberg (determined utilizing a 365 day annualization factor) as of the Trading Day immediately following the earliest to occur of (A) the public disclosure of the applicable Change of Control and (B) the date of the Holder’s request pursuant to Section 4(d).</w:t>
      </w:r>
    </w:p>
    <w:p>
      <w:pPr>
        <w:spacing w:after="0" w:line="169" w:lineRule="exact"/>
        <w:rPr>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Bloomberg</w:t>
      </w:r>
      <w:r>
        <w:rPr>
          <w:rFonts w:ascii="Times New Roman" w:cs="Times New Roman" w:eastAsia="Times New Roman" w:hAnsi="Times New Roman"/>
          <w:sz w:val="22"/>
          <w:szCs w:val="22"/>
          <w:color w:val="auto"/>
        </w:rPr>
        <w:t>” means Bloomberg, L.P.</w:t>
      </w:r>
    </w:p>
    <w:p>
      <w:pPr>
        <w:spacing w:after="0" w:line="206"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22"/>
          <w:szCs w:val="22"/>
          <w:b w:val="1"/>
          <w:bCs w:val="1"/>
          <w:color w:val="auto"/>
        </w:rPr>
        <w:t>Closing Sale Price</w:t>
      </w:r>
      <w:r>
        <w:rPr>
          <w:rFonts w:ascii="Times New Roman" w:cs="Times New Roman" w:eastAsia="Times New Roman" w:hAnsi="Times New Roman"/>
          <w:sz w:val="22"/>
          <w:szCs w:val="22"/>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0" w:lineRule="exact"/>
        <w:rPr>
          <w:sz w:val="20"/>
          <w:szCs w:val="20"/>
          <w:color w:val="auto"/>
        </w:rPr>
      </w:pPr>
    </w:p>
    <w:p>
      <w:pPr>
        <w:jc w:val="both"/>
        <w:ind w:firstLine="757"/>
        <w:spacing w:after="0" w:line="246" w:lineRule="auto"/>
        <w:tabs>
          <w:tab w:leader="none" w:pos="10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b w:val="1"/>
          <w:bCs w:val="1"/>
          <w:color w:val="auto"/>
        </w:rPr>
        <w:t>Convertible Securities</w:t>
      </w:r>
      <w:r>
        <w:rPr>
          <w:rFonts w:ascii="Times New Roman" w:cs="Times New Roman" w:eastAsia="Times New Roman" w:hAnsi="Times New Roman"/>
          <w:sz w:val="22"/>
          <w:szCs w:val="22"/>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22"/>
          <w:szCs w:val="22"/>
          <w:b w:val="1"/>
          <w:bCs w:val="1"/>
          <w:color w:val="auto"/>
        </w:rPr>
        <w:t>Eligible Market</w:t>
      </w:r>
      <w:r>
        <w:rPr>
          <w:rFonts w:ascii="Times New Roman" w:cs="Times New Roman" w:eastAsia="Times New Roman" w:hAnsi="Times New Roman"/>
          <w:sz w:val="22"/>
          <w:szCs w:val="22"/>
          <w:color w:val="auto"/>
        </w:rPr>
        <w:t>” means The New York Stock Exchange, the NYSE American, the Nasdaq Global Select Market, the Nasdaq Global Market, the Nasdaq Capital Market or the Principal Market.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(o)“</w:t>
      </w:r>
      <w:r>
        <w:rPr>
          <w:rFonts w:ascii="Times New Roman" w:cs="Times New Roman" w:eastAsia="Times New Roman" w:hAnsi="Times New Roman"/>
          <w:sz w:val="21"/>
          <w:szCs w:val="21"/>
          <w:b w:val="1"/>
          <w:bCs w:val="1"/>
          <w:color w:val="auto"/>
        </w:rPr>
        <w:t>Excluded Securities</w:t>
      </w:r>
      <w:r>
        <w:rPr>
          <w:rFonts w:ascii="Times New Roman" w:cs="Times New Roman" w:eastAsia="Times New Roman" w:hAnsi="Times New Roman"/>
          <w:sz w:val="21"/>
          <w:szCs w:val="21"/>
          <w:color w:val="auto"/>
        </w:rPr>
        <w:t>” means (i) shares of Common Stock, or options or other equity awards issued to directors, officers, employees or consultants of the Company for services rendered to the Company in their capacity as such pursuant to an Approved Stock Plan (as defined above), provided that (A) all such issuances to directors, officers, employees or consultants (taking into account the shares of Common Stock issuable upon exercise of such Common Stock, or options or other equity awards) after the Issuance Date pursuant to this clause (i) do not, in the aggregate, exceed more than 15% of the Common Stock issued and outstanding immediately prior to the Issuance Date and (B) the exercise price of any such securities is not lowered, none of such securities are amended to increase the number of shares issuable thereunder and none of the terms or conditions of any such securities are otherwise changed in any manner that adversely affects the Holder; (ii) shares of Common Stock issued upon the conversion or exercise of Convertible Securities or Options (other than securities issued pursuant to an Approved Stock Plan that are covered by clause (i) above) issued prior to the Issuance Date, provided that the conversion price of any such Convertible Securities or Options (other than securities issued pursuant to an Approved Stock Plan that are covered by clause (i) above) is not lowered, none of such Convertible Securities or Options (other than securities issued pursuant to an Approved Stock Plan that are covered by clause (i) above) are amended to increase the number of shares issuable thereunder and none of the terms or conditions of any such Convertible Securities or Options (other than securities issued pursuant to an Approved Stock Plan that are covered by clause (i) above) are otherwise changed in any manner that adversely affects the Holder; (iii) the shares of Common Stock issuable upon conversion of the Notes or otherwise pursuant to the terms of the Notes; provided, that the terms of the Notes are not amended, modified or changed on or after the Issuance Date (other than antidilution adjustments pursuant to the terms thereof in effect as of the Issuance Date), (iv) the shares of Common Stock issuable upon exercise of the Warrant; provided, that the terms of the Warrant are not amended, modified or changed on or after the Issuance Date (other than antidilution adjustments pursuant to the terms thereof in effect as of the Issuance Date), (v) any Subsequent Placement (as defined in the Notes) in which at least 80% of the gross cash proceeds are used to effect a Company Optional Redemption (as such term is defined in the Notes) under the Notes; (vi) shares of Common Stock issued pursuant to any at-the-market offering transaction that the Company may enter into from time to time after the Issuance Date, and (vii) securities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22"/>
          <w:szCs w:val="22"/>
          <w:color w:val="auto"/>
        </w:rPr>
        <w:t>Person’s actual participation in (or fair market value of the contribution to) such strategic or commercial alliance or strategic or commercial partnership or ownership of such assets or securities to be acquired by the Company, as applicable.</w:t>
      </w:r>
    </w:p>
    <w:p>
      <w:pPr>
        <w:spacing w:after="0" w:line="15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means December 13, 2029 or, if such date falls on a day other than a Trading Day or on which trading does not take place on the Principal Market (a “</w:t>
      </w:r>
      <w:r>
        <w:rPr>
          <w:rFonts w:ascii="Times New Roman" w:cs="Times New Roman" w:eastAsia="Times New Roman" w:hAnsi="Times New Roman"/>
          <w:sz w:val="22"/>
          <w:szCs w:val="22"/>
          <w:b w:val="1"/>
          <w:bCs w:val="1"/>
          <w:color w:val="auto"/>
        </w:rPr>
        <w:t>Holiday</w:t>
      </w:r>
      <w:r>
        <w:rPr>
          <w:rFonts w:ascii="Times New Roman" w:cs="Times New Roman" w:eastAsia="Times New Roman" w:hAnsi="Times New Roman"/>
          <w:sz w:val="22"/>
          <w:szCs w:val="22"/>
          <w:color w:val="auto"/>
        </w:rPr>
        <w:t>”), the next date that is not a Holiday.</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(q)“</w:t>
      </w:r>
      <w:r>
        <w:rPr>
          <w:rFonts w:ascii="Times New Roman" w:cs="Times New Roman" w:eastAsia="Times New Roman" w:hAnsi="Times New Roman"/>
          <w:sz w:val="22"/>
          <w:szCs w:val="22"/>
          <w:b w:val="1"/>
          <w:bCs w:val="1"/>
          <w:color w:val="auto"/>
        </w:rPr>
        <w:t>Floor Price</w:t>
      </w:r>
      <w:r>
        <w:rPr>
          <w:rFonts w:ascii="Times New Roman" w:cs="Times New Roman" w:eastAsia="Times New Roman" w:hAnsi="Times New Roman"/>
          <w:sz w:val="22"/>
          <w:szCs w:val="22"/>
          <w:color w:val="auto"/>
        </w:rPr>
        <w:t>” means $8.22 (as adjusted for stock splits, stock dividends, stock combinations, recapitalizations and similar events).</w:t>
      </w:r>
    </w:p>
    <w:p>
      <w:pPr>
        <w:spacing w:after="0" w:line="150" w:lineRule="exact"/>
        <w:rPr>
          <w:sz w:val="20"/>
          <w:szCs w:val="20"/>
          <w:color w:val="auto"/>
        </w:rPr>
      </w:pPr>
    </w:p>
    <w:p>
      <w:pPr>
        <w:jc w:val="both"/>
        <w:ind w:firstLine="757"/>
        <w:spacing w:after="0" w:line="255" w:lineRule="auto"/>
        <w:tabs>
          <w:tab w:leader="none" w:pos="1018"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Fundamental Transaction</w:t>
      </w:r>
      <w:r>
        <w:rPr>
          <w:rFonts w:ascii="Times New Roman" w:cs="Times New Roman" w:eastAsia="Times New Roman" w:hAnsi="Times New Roman"/>
          <w:sz w:val="21"/>
          <w:szCs w:val="21"/>
          <w:color w:val="auto"/>
        </w:rPr>
        <w:t>” means any of the following transactions involving a Successor Entity (A) that the Company shall, directly or indirectly, including through subsidiaries, Affiliates or otherwise, in one or more related transactions,</w:t>
      </w:r>
    </w:p>
    <w:p>
      <w:pPr>
        <w:jc w:val="both"/>
        <w:ind w:firstLine="8"/>
        <w:spacing w:after="0" w:line="231" w:lineRule="auto"/>
        <w:tabs>
          <w:tab w:leader="none" w:pos="27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 or merge with or into another Subject Entity, in which the Company is not the surviving entity or in which the stockholders of the Company immediately prior to such consolidation or merger do not own, directly or indirectly, at least 50% of the voting power of the surviving entity immediately after such consolidation or merger, or (ii) sell, assign, transfer, convey or otherwise dispose of all or substantially all of the properties or assets of the Company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spacing w:after="0" w:line="233" w:lineRule="auto"/>
        <w:rPr>
          <w:sz w:val="20"/>
          <w:szCs w:val="20"/>
          <w:color w:val="auto"/>
        </w:rPr>
      </w:pPr>
      <w:r>
        <w:rPr>
          <w:rFonts w:ascii="Times New Roman" w:cs="Times New Roman" w:eastAsia="Times New Roman" w:hAnsi="Times New Roman"/>
          <w:sz w:val="22"/>
          <w:szCs w:val="22"/>
          <w:color w:val="auto"/>
        </w:rPr>
        <w:t>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83" w:lineRule="exact"/>
        <w:rPr>
          <w:sz w:val="20"/>
          <w:szCs w:val="20"/>
          <w:color w:val="auto"/>
        </w:rPr>
      </w:pPr>
    </w:p>
    <w:p>
      <w:pPr>
        <w:ind w:left="1020" w:hanging="263"/>
        <w:spacing w:after="0"/>
        <w:tabs>
          <w:tab w:leader="none" w:pos="10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 means a “group” as that term is used in Section 13(d) of the 1934 Act and as defined in Rule 13d-5</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thereunder.</w:t>
      </w:r>
    </w:p>
    <w:p>
      <w:pPr>
        <w:spacing w:after="0" w:line="178" w:lineRule="exact"/>
        <w:rPr>
          <w:rFonts w:ascii="Times New Roman" w:cs="Times New Roman" w:eastAsia="Times New Roman" w:hAnsi="Times New Roman"/>
          <w:sz w:val="22"/>
          <w:szCs w:val="22"/>
          <w:color w:val="auto"/>
        </w:rPr>
      </w:pPr>
    </w:p>
    <w:p>
      <w:pPr>
        <w:ind w:right="20" w:firstLine="757"/>
        <w:spacing w:after="0" w:line="286" w:lineRule="auto"/>
        <w:tabs>
          <w:tab w:leader="none" w:pos="101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 Price</w:t>
      </w:r>
      <w:r>
        <w:rPr>
          <w:rFonts w:ascii="Times New Roman" w:cs="Times New Roman" w:eastAsia="Times New Roman" w:hAnsi="Times New Roman"/>
          <w:sz w:val="21"/>
          <w:szCs w:val="21"/>
          <w:color w:val="auto"/>
        </w:rPr>
        <w:t>” means, as of any given date, the VWAP of the Common Stock as of Trading Day ended immediately prior to such given date (as adjusted for stock splits, stock dividends, stock combinations, recapitalizations and similar events).</w:t>
      </w:r>
    </w:p>
    <w:p>
      <w:pPr>
        <w:spacing w:after="0" w:line="12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(u)“</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shall mean the Tranche B Notes (as defined in the Warrant Agreement) and shall include all notes issued in exchange therefor or replacement thereof.</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means any rights, warrants or options to subscribe for or purchase shares of Common Stock or Convertible Securities.</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22"/>
          <w:szCs w:val="22"/>
          <w:b w:val="1"/>
          <w:bCs w:val="1"/>
          <w:color w:val="auto"/>
        </w:rPr>
        <w:t>Parent Entity</w:t>
      </w:r>
      <w:r>
        <w:rPr>
          <w:rFonts w:ascii="Times New Roman" w:cs="Times New Roman" w:eastAsia="Times New Roman" w:hAnsi="Times New Roman"/>
          <w:sz w:val="22"/>
          <w:szCs w:val="22"/>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 provided, that in connection with the consummation of the Semnur Merger (as defined in the Notes), neither Denali (as defined in the Notes), Denali Merger Sub Inc. nor Semnur (as defined in the Notes) shall be a Successor Entity and/or a Parent Entity, as applicable, in connection therewith.</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a limited liability company, a partnership, a joint venture, a corporation, a trust, an unincorporated organization, any other entity or a government or any department or agency thereof.</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b w:val="1"/>
          <w:bCs w:val="1"/>
          <w:color w:val="auto"/>
        </w:rPr>
        <w:t>Principal Market</w:t>
      </w:r>
      <w:r>
        <w:rPr>
          <w:rFonts w:ascii="Times New Roman" w:cs="Times New Roman" w:eastAsia="Times New Roman" w:hAnsi="Times New Roman"/>
          <w:sz w:val="22"/>
          <w:szCs w:val="22"/>
          <w:color w:val="auto"/>
        </w:rPr>
        <w:t>” means the Nasdaq Capital Market.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(z)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United States Securities and Exchange Commission or the successor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(aa)</w:t>
      </w:r>
      <w:r>
        <w:rPr>
          <w:rFonts w:ascii="Times New Roman" w:cs="Times New Roman" w:eastAsia="Times New Roman" w:hAnsi="Times New Roman"/>
          <w:sz w:val="22"/>
          <w:szCs w:val="22"/>
          <w:b w:val="1"/>
          <w:bCs w:val="1"/>
          <w:color w:val="auto"/>
        </w:rPr>
        <w:t>“Subject Entity</w:t>
      </w:r>
      <w:r>
        <w:rPr>
          <w:rFonts w:ascii="Times New Roman" w:cs="Times New Roman" w:eastAsia="Times New Roman" w:hAnsi="Times New Roman"/>
          <w:sz w:val="22"/>
          <w:szCs w:val="22"/>
          <w:color w:val="auto"/>
        </w:rPr>
        <w:t>” means any Person, Persons or Group or any Affiliate or associate of any such Person, Persons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(bb)“</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6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(cc)“</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(dd)“</w:t>
      </w:r>
      <w:r>
        <w:rPr>
          <w:rFonts w:ascii="Times New Roman" w:cs="Times New Roman" w:eastAsia="Times New Roman" w:hAnsi="Times New Roman"/>
          <w:sz w:val="22"/>
          <w:szCs w:val="22"/>
          <w:b w:val="1"/>
          <w:bCs w:val="1"/>
          <w:color w:val="auto"/>
        </w:rPr>
        <w:t>VWAP</w:t>
      </w:r>
      <w:r>
        <w:rPr>
          <w:rFonts w:ascii="Times New Roman" w:cs="Times New Roman" w:eastAsia="Times New Roman" w:hAnsi="Times New Roman"/>
          <w:sz w:val="22"/>
          <w:szCs w:val="22"/>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 w:name="page45"/>
    <w:bookmarkEnd w:id="44"/>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caused this Warrant to Purchase Common Stock to be duly executed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Issuance Date set out above.</w:t>
      </w:r>
    </w:p>
    <w:p>
      <w:pPr>
        <w:spacing w:after="0" w:line="1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SCILEX HOLDING COMPANY</w:t>
      </w:r>
    </w:p>
    <w:p>
      <w:pPr>
        <w:spacing w:after="0" w:line="2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Name:</w:t>
      </w:r>
    </w:p>
    <w:p>
      <w:pPr>
        <w:jc w:val="center"/>
        <w:ind w:right="4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1123315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EXERCISE NOTICE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EXECUTED BY THE REGISTERED HOLDER TO EXERCISE THIS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WARRANT TO PURCHASE COMMON STOCK</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SCILEX HOLDING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undersigned holder hereby elects to exercise the Warrant to Purchase Common Stock No. _______ (the “</w:t>
      </w:r>
      <w:r>
        <w:rPr>
          <w:rFonts w:ascii="Times New Roman" w:cs="Times New Roman" w:eastAsia="Times New Roman" w:hAnsi="Times New Roman"/>
          <w:sz w:val="21"/>
          <w:szCs w:val="21"/>
          <w:b w:val="1"/>
          <w:bCs w:val="1"/>
          <w:color w:val="auto"/>
        </w:rPr>
        <w:t>Warrant</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of Scilex Holding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as specified below. Capitalized terms used herein and not otherwise defined shall have the respective meanings set forth in the Warrant.</w:t>
      </w:r>
    </w:p>
    <w:p>
      <w:pPr>
        <w:spacing w:after="0" w:line="178" w:lineRule="exact"/>
        <w:rPr>
          <w:sz w:val="20"/>
          <w:szCs w:val="20"/>
          <w:color w:val="auto"/>
        </w:rPr>
      </w:pPr>
    </w:p>
    <w:p>
      <w:pPr>
        <w:ind w:left="1180" w:hanging="423"/>
        <w:spacing w:after="0"/>
        <w:tabs>
          <w:tab w:leader="none" w:pos="11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Exercise Price</w:t>
      </w:r>
      <w:r>
        <w:rPr>
          <w:rFonts w:ascii="Times New Roman" w:cs="Times New Roman" w:eastAsia="Times New Roman" w:hAnsi="Times New Roman"/>
          <w:sz w:val="22"/>
          <w:szCs w:val="22"/>
          <w:color w:val="auto"/>
        </w:rPr>
        <w:t>. The Holder intends that payment of the Aggregate Exercise Price shall be made as:</w:t>
      </w:r>
    </w:p>
    <w:p>
      <w:pPr>
        <w:spacing w:after="0" w:line="227"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42"/>
        </w:numPr>
        <w:rPr>
          <w:rFonts w:ascii="MS PGothic" w:cs="MS PGothic" w:eastAsia="MS PGothic" w:hAnsi="MS PGothic"/>
          <w:sz w:val="22"/>
          <w:szCs w:val="22"/>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Cash Exercise</w:t>
      </w:r>
      <w:r>
        <w:rPr>
          <w:rFonts w:ascii="Times New Roman" w:cs="Times New Roman" w:eastAsia="Times New Roman" w:hAnsi="Times New Roman"/>
          <w:sz w:val="21"/>
          <w:szCs w:val="21"/>
          <w:color w:val="auto"/>
        </w:rPr>
        <w:t>” with respect to _________________ Warrant Shares; and/or</w:t>
      </w:r>
    </w:p>
    <w:p>
      <w:pPr>
        <w:spacing w:after="0" w:line="231" w:lineRule="exact"/>
        <w:rPr>
          <w:rFonts w:ascii="MS PGothic" w:cs="MS PGothic" w:eastAsia="MS PGothic" w:hAnsi="MS PGothic"/>
          <w:sz w:val="22"/>
          <w:szCs w:val="22"/>
          <w:color w:val="auto"/>
        </w:rPr>
      </w:pPr>
    </w:p>
    <w:p>
      <w:pPr>
        <w:ind w:left="1940" w:hanging="434"/>
        <w:spacing w:after="0"/>
        <w:tabs>
          <w:tab w:leader="none" w:pos="1940" w:val="left"/>
        </w:tabs>
        <w:numPr>
          <w:ilvl w:val="1"/>
          <w:numId w:val="42"/>
        </w:numPr>
        <w:rPr>
          <w:rFonts w:ascii="MS PGothic" w:cs="MS PGothic" w:eastAsia="MS PGothic" w:hAnsi="MS PGothic"/>
          <w:sz w:val="22"/>
          <w:szCs w:val="22"/>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Cashless Exercise</w:t>
      </w:r>
      <w:r>
        <w:rPr>
          <w:rFonts w:ascii="Times New Roman" w:cs="Times New Roman" w:eastAsia="Times New Roman" w:hAnsi="Times New Roman"/>
          <w:sz w:val="21"/>
          <w:szCs w:val="21"/>
          <w:color w:val="auto"/>
        </w:rPr>
        <w:t>” with respect to _______________ Warrant Shares.</w:t>
      </w:r>
    </w:p>
    <w:p>
      <w:pPr>
        <w:spacing w:after="0" w:line="21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1"/>
          <w:szCs w:val="21"/>
          <w:color w:val="auto"/>
        </w:rPr>
        <w:t>In the event that the Holder has elected a Cashless Exercise with respect to some or all of the Warrant Shares to be issued pursuant hereto, the Holder hereby represents and warrants that (i) this Exercise Notice was executed by the Holder at __________</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[a.m.][p.m.] on the date set forth below and (ii) if applicable, the Bid Price as of such time of execution of this Exercise Notice was $________.</w:t>
      </w:r>
    </w:p>
    <w:p>
      <w:pPr>
        <w:spacing w:after="0" w:line="183" w:lineRule="exact"/>
        <w:rPr>
          <w:sz w:val="20"/>
          <w:szCs w:val="20"/>
          <w:color w:val="auto"/>
        </w:rPr>
      </w:pPr>
    </w:p>
    <w:p>
      <w:pPr>
        <w:jc w:val="both"/>
        <w:ind w:firstLine="757"/>
        <w:spacing w:after="0" w:line="266" w:lineRule="auto"/>
        <w:tabs>
          <w:tab w:leader="none" w:pos="117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Exercise Price</w:t>
      </w:r>
      <w:r>
        <w:rPr>
          <w:rFonts w:ascii="Times New Roman" w:cs="Times New Roman" w:eastAsia="Times New Roman" w:hAnsi="Times New Roman"/>
          <w:sz w:val="20"/>
          <w:szCs w:val="20"/>
          <w:color w:val="auto"/>
        </w:rPr>
        <w:t>. In the event that the Holder has elected a Cash Exercise with respect to some or all of the Warrant Shares to be issued pursuant hereto, the Holder shall pay the Aggregate Exercise Price in the sum of $___________________</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the Company in accordance with the terms of the Warrant.</w:t>
      </w:r>
    </w:p>
    <w:p>
      <w:pPr>
        <w:spacing w:after="0" w:line="193" w:lineRule="exact"/>
        <w:rPr>
          <w:rFonts w:ascii="Times New Roman" w:cs="Times New Roman" w:eastAsia="Times New Roman" w:hAnsi="Times New Roman"/>
          <w:sz w:val="20"/>
          <w:szCs w:val="20"/>
          <w:color w:val="auto"/>
        </w:rPr>
      </w:pPr>
    </w:p>
    <w:p>
      <w:pPr>
        <w:ind w:left="1220" w:hanging="463"/>
        <w:spacing w:after="0"/>
        <w:tabs>
          <w:tab w:leader="none" w:pos="12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Warrant Shares</w:t>
      </w:r>
      <w:r>
        <w:rPr>
          <w:rFonts w:ascii="Times New Roman" w:cs="Times New Roman" w:eastAsia="Times New Roman" w:hAnsi="Times New Roman"/>
          <w:sz w:val="21"/>
          <w:szCs w:val="21"/>
          <w:color w:val="auto"/>
        </w:rPr>
        <w:t>.  The Company shall deliver to Holder, or its designee or agent as specified below,</w:t>
      </w:r>
    </w:p>
    <w:p>
      <w:pPr>
        <w:spacing w:after="0" w:line="17" w:lineRule="exact"/>
        <w:rPr>
          <w:rFonts w:ascii="Times New Roman" w:cs="Times New Roman" w:eastAsia="Times New Roman" w:hAnsi="Times New Roman"/>
          <w:sz w:val="21"/>
          <w:szCs w:val="21"/>
          <w:color w:val="auto"/>
        </w:rPr>
      </w:pPr>
    </w:p>
    <w:p>
      <w:pPr>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 shares of Common Stock in accordance with the terms of the Warrant. Delivery shall be made to Holder, or for its benefit, as follows:</w:t>
      </w:r>
    </w:p>
    <w:p>
      <w:pPr>
        <w:spacing w:after="0" w:line="180" w:lineRule="exact"/>
        <w:rPr>
          <w:sz w:val="20"/>
          <w:szCs w:val="20"/>
          <w:color w:val="auto"/>
        </w:rPr>
      </w:pPr>
    </w:p>
    <w:p>
      <w:pPr>
        <w:ind w:left="1180" w:hanging="423"/>
        <w:spacing w:after="0"/>
        <w:tabs>
          <w:tab w:leader="none" w:pos="1180" w:val="left"/>
        </w:tabs>
        <w:numPr>
          <w:ilvl w:val="0"/>
          <w:numId w:val="4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here if requesting delivery as a certificate to the following name and to the following address:</w:t>
      </w:r>
    </w:p>
    <w:p>
      <w:pPr>
        <w:spacing w:after="0" w:line="200" w:lineRule="exact"/>
        <w:rPr>
          <w:rFonts w:ascii="MS PGothic" w:cs="MS PGothic" w:eastAsia="MS PGothic" w:hAnsi="MS PGothic"/>
          <w:sz w:val="22"/>
          <w:szCs w:val="22"/>
          <w:color w:val="auto"/>
        </w:rPr>
      </w:pPr>
    </w:p>
    <w:p>
      <w:pPr>
        <w:spacing w:after="0" w:line="222" w:lineRule="exact"/>
        <w:rPr>
          <w:rFonts w:ascii="MS PGothic" w:cs="MS PGothic" w:eastAsia="MS PGothic" w:hAnsi="MS PGothic"/>
          <w:sz w:val="22"/>
          <w:szCs w:val="22"/>
          <w:color w:val="auto"/>
        </w:rPr>
      </w:pPr>
    </w:p>
    <w:p>
      <w:pPr>
        <w:ind w:left="260"/>
        <w:spacing w:after="0"/>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Issue to:</w:t>
      </w: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5" w:lineRule="exact"/>
        <w:rPr>
          <w:rFonts w:ascii="MS PGothic" w:cs="MS PGothic" w:eastAsia="MS PGothic" w:hAnsi="MS PGothic"/>
          <w:sz w:val="22"/>
          <w:szCs w:val="22"/>
          <w:color w:val="auto"/>
        </w:rPr>
      </w:pPr>
    </w:p>
    <w:p>
      <w:pPr>
        <w:ind w:left="1240" w:hanging="430"/>
        <w:spacing w:after="0"/>
        <w:tabs>
          <w:tab w:leader="none" w:pos="1240" w:val="left"/>
        </w:tabs>
        <w:numPr>
          <w:ilvl w:val="1"/>
          <w:numId w:val="4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-914400</wp:posOffset>
            </wp:positionV>
            <wp:extent cx="5606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60641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-682625</wp:posOffset>
            </wp:positionV>
            <wp:extent cx="56064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606415"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-451485</wp:posOffset>
            </wp:positionV>
            <wp:extent cx="56064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606415" cy="8890"/>
                    </a:xfrm>
                    <a:prstGeom prst="rect">
                      <a:avLst/>
                    </a:prstGeom>
                    <a:noFill/>
                  </pic:spPr>
                </pic:pic>
              </a:graphicData>
            </a:graphic>
          </wp:anchor>
        </w:drawing>
      </w:r>
    </w:p>
    <w:p>
      <w:pPr>
        <w:spacing w:after="0" w:line="1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10795</wp:posOffset>
            </wp:positionV>
            <wp:extent cx="1797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2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10795</wp:posOffset>
            </wp:positionV>
            <wp:extent cx="1797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6" w:name="page47"/>
    <w:bookmarkEnd w:id="46"/>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6893560</wp:posOffset>
            </wp:positionH>
            <wp:positionV relativeFrom="paragraph">
              <wp:posOffset>10795</wp:posOffset>
            </wp:positionV>
            <wp:extent cx="1797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274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Registered Holder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-13970</wp:posOffset>
            </wp:positionV>
            <wp:extent cx="2819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81940" cy="889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22"/>
          <w:szCs w:val="22"/>
          <w:color w:val="auto"/>
        </w:rPr>
        <w:t>Name:</w:t>
      </w:r>
    </w:p>
    <w:p>
      <w:pPr>
        <w:ind w:left="2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Tax ID:____________________________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E-mail Address:_____________________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914400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47" w:name="page48"/>
    <w:bookmarkEnd w:id="47"/>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18" w:lineRule="exact"/>
        <w:rPr>
          <w:sz w:val="20"/>
          <w:szCs w:val="20"/>
          <w:color w:val="auto"/>
        </w:rPr>
      </w:pPr>
    </w:p>
    <w:p>
      <w:pPr>
        <w:ind w:left="940"/>
        <w:spacing w:after="0"/>
        <w:tabs>
          <w:tab w:leader="none" w:pos="1460" w:val="left"/>
          <w:tab w:leader="none" w:pos="2480" w:val="left"/>
          <w:tab w:leader="none" w:pos="3260" w:val="left"/>
          <w:tab w:leader="none" w:pos="4640" w:val="left"/>
          <w:tab w:leader="none" w:pos="5160" w:val="left"/>
          <w:tab w:leader="none" w:pos="6080" w:val="left"/>
          <w:tab w:leader="none" w:pos="6860" w:val="left"/>
          <w:tab w:leader="none" w:pos="7360" w:val="left"/>
          <w:tab w:leader="none" w:pos="8140" w:val="left"/>
        </w:tabs>
        <w:rPr>
          <w:sz w:val="20"/>
          <w:szCs w:val="20"/>
          <w:color w:val="auto"/>
        </w:rPr>
      </w:pPr>
      <w:r>
        <w:rPr>
          <w:rFonts w:ascii="Times New Roman" w:cs="Times New Roman" w:eastAsia="Times New Roman" w:hAnsi="Times New Roman"/>
          <w:sz w:val="21"/>
          <w:szCs w:val="21"/>
          <w:color w:val="auto"/>
        </w:rPr>
        <w:t>The</w:t>
        <w:tab/>
        <w:t>Company</w:t>
        <w:tab/>
        <w:t>hereby</w:t>
        <w:tab/>
        <w:t>acknowledges</w:t>
        <w:tab/>
        <w:t>this</w:t>
        <w:tab/>
        <w:t>Exercise</w:t>
        <w:tab/>
        <w:t>Notice</w:t>
        <w:tab/>
        <w:t>and</w:t>
        <w:tab/>
        <w:t>hereby</w:t>
        <w:tab/>
        <w:t>directs</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______________ to issue the above indicated number of shares of Common Stock in accordance</w:t>
      </w: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with the Transfer Agent Instructions dated _________, 20__, from the Company and acknowledged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and agreed to by _______________.</w:t>
      </w:r>
    </w:p>
    <w:p>
      <w:pPr>
        <w:spacing w:after="0" w:line="200" w:lineRule="exact"/>
        <w:rPr>
          <w:sz w:val="20"/>
          <w:szCs w:val="20"/>
          <w:color w:val="auto"/>
        </w:rPr>
      </w:pPr>
    </w:p>
    <w:p>
      <w:pPr>
        <w:spacing w:after="0" w:line="2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SCILEX HOLDING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Name:</w:t>
      </w:r>
    </w:p>
    <w:p>
      <w:pPr>
        <w:spacing w:after="0" w:line="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876935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This Warrant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dated as of February 19, 2026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between Scilex Holding Company, a Delaware corporation with offices located at 960 San Antonio Road, Palo Alto, CA 94303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Oramed Pharmaceuticals Inc. (the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Capitalized terms not defined herein shall have the meaning as set forth in the Warrant (as defined below).</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prior to the date hereof, the Company issued a Senior Secured Convertible Note (as amended, the “</w:t>
      </w:r>
      <w:r>
        <w:rPr>
          <w:rFonts w:ascii="Times New Roman" w:cs="Times New Roman" w:eastAsia="Times New Roman" w:hAnsi="Times New Roman"/>
          <w:sz w:val="20"/>
          <w:szCs w:val="20"/>
          <w:b w:val="1"/>
          <w:bCs w:val="1"/>
          <w:color w:val="auto"/>
        </w:rPr>
        <w:t>Tranche B Note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Holder pursuant to that certain Securities Purchase Agreement, dated as of October 7, 2024 (the “</w:t>
      </w:r>
      <w:r>
        <w:rPr>
          <w:rFonts w:ascii="Times New Roman" w:cs="Times New Roman" w:eastAsia="Times New Roman" w:hAnsi="Times New Roman"/>
          <w:sz w:val="20"/>
          <w:szCs w:val="20"/>
          <w:b w:val="1"/>
          <w:bCs w:val="1"/>
          <w:color w:val="auto"/>
        </w:rPr>
        <w:t>October 2024 Securities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by and among the Company and the investors party thereto (including the Holder); and</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the amortization schedule included in the Tranche B Note, the Company was required to pay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amortization payment to the Holder on October 1, 2025 (the “</w:t>
      </w:r>
      <w:r>
        <w:rPr>
          <w:rFonts w:ascii="Times New Roman" w:cs="Times New Roman" w:eastAsia="Times New Roman" w:hAnsi="Times New Roman"/>
          <w:sz w:val="20"/>
          <w:szCs w:val="20"/>
          <w:b w:val="1"/>
          <w:bCs w:val="1"/>
          <w:color w:val="auto"/>
        </w:rPr>
        <w:t>Amortization Payment</w:t>
      </w:r>
      <w:r>
        <w:rPr>
          <w:rFonts w:ascii="Times New Roman" w:cs="Times New Roman" w:eastAsia="Times New Roman" w:hAnsi="Times New Roman"/>
          <w:sz w:val="20"/>
          <w:szCs w:val="20"/>
          <w:color w:val="auto"/>
        </w:rPr>
        <w:t>”) and the Company and the Holder desired to defer such Amortization Payment until January 1, 2026 (the “</w:t>
      </w:r>
      <w:r>
        <w:rPr>
          <w:rFonts w:ascii="Times New Roman" w:cs="Times New Roman" w:eastAsia="Times New Roman" w:hAnsi="Times New Roman"/>
          <w:sz w:val="20"/>
          <w:szCs w:val="20"/>
          <w:b w:val="1"/>
          <w:bCs w:val="1"/>
          <w:color w:val="auto"/>
        </w:rPr>
        <w:t>Deferral</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contained in this Agreement,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adequacy of which are hereby acknowledged, the Company and the Holder agree as follows:</w:t>
      </w:r>
    </w:p>
    <w:p>
      <w:pPr>
        <w:spacing w:after="0" w:line="156" w:lineRule="exact"/>
        <w:rPr>
          <w:sz w:val="20"/>
          <w:szCs w:val="20"/>
          <w:color w:val="auto"/>
        </w:rPr>
      </w:pPr>
    </w:p>
    <w:p>
      <w:pPr>
        <w:jc w:val="both"/>
        <w:ind w:firstLine="851"/>
        <w:spacing w:after="0" w:line="243" w:lineRule="auto"/>
        <w:tabs>
          <w:tab w:leader="none" w:pos="1068"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Warrant</w:t>
      </w:r>
      <w:r>
        <w:rPr>
          <w:rFonts w:ascii="Times New Roman" w:cs="Times New Roman" w:eastAsia="Times New Roman" w:hAnsi="Times New Roman"/>
          <w:sz w:val="20"/>
          <w:szCs w:val="20"/>
          <w:color w:val="auto"/>
        </w:rPr>
        <w:t>. In consideration of the Deferral and the mutual covenants, representations and warranties herein, the Company will issue to the Holder a Warrant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to purchase shares of common stock of the Company, par value $0.0001 per share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pursuant to Section 4(a)(2) of the Securities Act of 1933, as amended (the “</w:t>
      </w:r>
      <w:r>
        <w:rPr>
          <w:rFonts w:ascii="Times New Roman" w:cs="Times New Roman" w:eastAsia="Times New Roman" w:hAnsi="Times New Roman"/>
          <w:sz w:val="20"/>
          <w:szCs w:val="20"/>
          <w:b w:val="1"/>
          <w:bCs w:val="1"/>
          <w:color w:val="auto"/>
        </w:rPr>
        <w:t>1933 Act</w:t>
      </w:r>
      <w:r>
        <w:rPr>
          <w:rFonts w:ascii="Times New Roman" w:cs="Times New Roman" w:eastAsia="Times New Roman" w:hAnsi="Times New Roman"/>
          <w:sz w:val="20"/>
          <w:szCs w:val="20"/>
          <w:color w:val="auto"/>
        </w:rPr>
        <w:t>”), and Rule 506(b) of Regulation D (“</w:t>
      </w:r>
      <w:r>
        <w:rPr>
          <w:rFonts w:ascii="Times New Roman" w:cs="Times New Roman" w:eastAsia="Times New Roman" w:hAnsi="Times New Roman"/>
          <w:sz w:val="20"/>
          <w:szCs w:val="20"/>
          <w:b w:val="1"/>
          <w:bCs w:val="1"/>
          <w:color w:val="auto"/>
        </w:rPr>
        <w:t>Regulation D</w:t>
      </w:r>
      <w:r>
        <w:rPr>
          <w:rFonts w:ascii="Times New Roman" w:cs="Times New Roman" w:eastAsia="Times New Roman" w:hAnsi="Times New Roman"/>
          <w:sz w:val="20"/>
          <w:szCs w:val="20"/>
          <w:color w:val="auto"/>
        </w:rPr>
        <w:t>”) as promulgated by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under the 1933 Act, to purchase up to 100,000 shares of Common Stock (the “</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 and together with the Warrant,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xml:space="preserve">”) at an exercise price of $20.00 per share (which Warrant will be in the form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The closing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of the Transaction shall take place by electronic exchange of executed documents. The date and time of the Closing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shall be on such date as is mutually agreed to by the Company and Holder. Effective as of October 1, 2025, the Holder hereby grants the Company the Deferral.</w:t>
      </w:r>
    </w:p>
    <w:p>
      <w:pPr>
        <w:spacing w:after="0" w:line="199" w:lineRule="exact"/>
        <w:rPr>
          <w:rFonts w:ascii="Times New Roman" w:cs="Times New Roman" w:eastAsia="Times New Roman" w:hAnsi="Times New Roman"/>
          <w:sz w:val="20"/>
          <w:szCs w:val="20"/>
          <w:color w:val="auto"/>
        </w:rPr>
      </w:pPr>
    </w:p>
    <w:p>
      <w:pPr>
        <w:ind w:right="20" w:firstLine="806"/>
        <w:spacing w:after="0" w:line="269" w:lineRule="auto"/>
        <w:tabs>
          <w:tab w:leader="none" w:pos="99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Warranties and Covenants</w:t>
      </w:r>
      <w:r>
        <w:rPr>
          <w:rFonts w:ascii="Times New Roman" w:cs="Times New Roman" w:eastAsia="Times New Roman" w:hAnsi="Times New Roman"/>
          <w:sz w:val="20"/>
          <w:szCs w:val="20"/>
          <w:color w:val="auto"/>
        </w:rPr>
        <w:t xml:space="preserve">. The parties hereby make their respective representations and warranties set forth on </w:t>
      </w:r>
      <w:r>
        <w:rPr>
          <w:rFonts w:ascii="Times New Roman" w:cs="Times New Roman" w:eastAsia="Times New Roman" w:hAnsi="Times New Roman"/>
          <w:sz w:val="20"/>
          <w:szCs w:val="20"/>
          <w:u w:val="single" w:color="auto"/>
          <w:color w:val="auto"/>
        </w:rPr>
        <w:t>Annex 1</w:t>
      </w:r>
      <w:r>
        <w:rPr>
          <w:rFonts w:ascii="Times New Roman" w:cs="Times New Roman" w:eastAsia="Times New Roman" w:hAnsi="Times New Roman"/>
          <w:sz w:val="20"/>
          <w:szCs w:val="20"/>
          <w:color w:val="auto"/>
        </w:rPr>
        <w:t xml:space="preserve"> attached hereto. The parties hereby agree to the covenants set forth on </w:t>
      </w:r>
      <w:r>
        <w:rPr>
          <w:rFonts w:ascii="Times New Roman" w:cs="Times New Roman" w:eastAsia="Times New Roman" w:hAnsi="Times New Roman"/>
          <w:sz w:val="20"/>
          <w:szCs w:val="20"/>
          <w:u w:val="single" w:color="auto"/>
          <w:color w:val="auto"/>
        </w:rPr>
        <w:t>Annex 2</w:t>
      </w:r>
      <w:r>
        <w:rPr>
          <w:rFonts w:ascii="Times New Roman" w:cs="Times New Roman" w:eastAsia="Times New Roman" w:hAnsi="Times New Roman"/>
          <w:sz w:val="20"/>
          <w:szCs w:val="20"/>
          <w:color w:val="auto"/>
        </w:rPr>
        <w:t xml:space="preserve"> attached hereto.</w:t>
      </w:r>
    </w:p>
    <w:p>
      <w:pPr>
        <w:spacing w:after="0" w:line="172" w:lineRule="exact"/>
        <w:rPr>
          <w:rFonts w:ascii="Times New Roman" w:cs="Times New Roman" w:eastAsia="Times New Roman" w:hAnsi="Times New Roman"/>
          <w:sz w:val="20"/>
          <w:szCs w:val="20"/>
          <w:color w:val="auto"/>
        </w:rPr>
      </w:pPr>
    </w:p>
    <w:p>
      <w:pPr>
        <w:ind w:left="960" w:hanging="203"/>
        <w:spacing w:after="0"/>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3"/>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party hereto shall promptly execute and deliver such further agreements and instruments, and take such further actions, as the other party may reasonably request in order to carry out the purpose and intent of this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60" w:lineRule="auto"/>
        <w:tabs>
          <w:tab w:leader="none" w:pos="1934" w:val="left"/>
        </w:tabs>
        <w:numPr>
          <w:ilvl w:val="3"/>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 Jury Trial</w:t>
      </w:r>
      <w:r>
        <w:rPr>
          <w:rFonts w:ascii="Times New Roman" w:cs="Times New Roman" w:eastAsia="Times New Roman" w:hAnsi="Times New Roman"/>
          <w:sz w:val="19"/>
          <w:szCs w:val="19"/>
          <w:color w:val="auto"/>
        </w:rPr>
        <w:t>. This Agreement shall be governed by and construed and enforced in accordance with, and all questions concerning the construction, validity, interpretation and performance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waives personal service of process and consents to process being served in any such suit, action or proceeding by mailing a copy thereof to the Company at the address for such notices to it under this Agreement and agrees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9" w:name="page50"/>
    <w:bookmarkEnd w:id="49"/>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service shall constitute good and sufficient service of process and notice thereof.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w:t>
      </w:r>
      <w:r>
        <w:rPr>
          <w:rFonts w:ascii="Times New Roman" w:cs="Times New Roman" w:eastAsia="Times New Roman" w:hAnsi="Times New Roman"/>
          <w:sz w:val="20"/>
          <w:szCs w:val="20"/>
          <w:b w:val="1"/>
          <w:bCs w:val="1"/>
          <w:color w:val="auto"/>
        </w:rPr>
        <w:t>EACH PARTY HEREBY</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color w:val="auto"/>
        </w:rPr>
        <w:t xml:space="preserve">IRREVOCABLY WAIVES ANY RIGHT IT MAY HAVE TO, AND AGREES NOT TO REQUEST, A JURY TRIAL FOR THE ADJUDICATION OF ANY DISPUTE HEREUNDER OR IN CONNECTION WITH OR ARISING OUT OF THIS AGREEMENT OR ANY TRANSACTION CONTEMPLATED HEREBY. </w:t>
      </w:r>
      <w:r>
        <w:rPr>
          <w:rFonts w:ascii="Times New Roman" w:cs="Times New Roman" w:eastAsia="Times New Roman" w:hAnsi="Times New Roman"/>
          <w:sz w:val="20"/>
          <w:szCs w:val="20"/>
          <w:color w:val="auto"/>
        </w:rPr>
        <w:t>The Company hereby agrees to pay all costs incurred by the Holder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enforcement or other action related to this Agreement or any of the Transaction Documents (as defined below) or in connection with any bankruptcy, reorganization, receivership or other proceeding of the Company or any of its Subsidiaries (as defined below), including, without limitation, attorneys’ fees and disbursements.</w:t>
      </w:r>
    </w:p>
    <w:p>
      <w:pPr>
        <w:spacing w:after="0" w:line="191" w:lineRule="exact"/>
        <w:rPr>
          <w:sz w:val="20"/>
          <w:szCs w:val="20"/>
          <w:color w:val="auto"/>
        </w:rPr>
      </w:pPr>
    </w:p>
    <w:p>
      <w:pPr>
        <w:ind w:firstLine="1505"/>
        <w:spacing w:after="0" w:line="269" w:lineRule="auto"/>
        <w:tabs>
          <w:tab w:leader="none" w:pos="190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an original, but all of which shall constitute one and the same instrument.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Except as otherwise provided herein, the terms and conditions of this Agreement shall inure to the benefit of and be binding upon the parties hereto and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Finder’s Fees</w:t>
      </w:r>
      <w:r>
        <w:rPr>
          <w:rFonts w:ascii="Times New Roman" w:cs="Times New Roman" w:eastAsia="Times New Roman" w:hAnsi="Times New Roman"/>
          <w:sz w:val="20"/>
          <w:szCs w:val="20"/>
          <w:color w:val="auto"/>
        </w:rPr>
        <w:t>. Each party represents that it neither is nor will be obligated for any broker’s, placement agent’s, finder’s fee or commission in connection with this transaction. The Company shall indemnify and hold harmless the Holder from any liability for any such fee, commission or compensation (and the reasonable costs and expenses of defending against such liability or asserted liability) for which the Company or any of its officers, employees or representatives is responsible.</w:t>
      </w:r>
    </w:p>
    <w:p>
      <w:pPr>
        <w:spacing w:after="0" w:line="17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consents, waivers or other communications required or permitted to be given under the terms of this Agreement must be in writing and will be deemed to have been delivered: (i) upon receipt, when delivered personally; (ii) upon delivery, when sent electronically and kept on file by the sending party) or by electronic mail; or (iii) one Business Day after deposit with an overnight courier service, in each case properly addressed to the party to receive the same. The addresses and e-mail addresses for such communications shall be as set forth below or to such other address and/or e-mail address and/or to the attention of such other individual, a limited liability company, a partnership, a joint venture, a corporation, a trust, an unincorporated organization, any other entity and any governmental entity or any department or agency thereof (each, a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containing the time, date, recipient facsimile number and an image of the first page of such transmission or (C) provided by an overnight courier service shall be rebuttable evidence of personal service or receipt from an overnight courier service in accordance with clause (i), (ii) or (iii) above,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960 San Antonio 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CA 94303</w:t>
      </w:r>
    </w:p>
    <w:p>
      <w:pPr>
        <w:spacing w:after="0"/>
        <w:rPr>
          <w:sz w:val="20"/>
          <w:szCs w:val="20"/>
          <w:color w:val="auto"/>
        </w:rPr>
      </w:pPr>
      <w:r>
        <w:rPr>
          <w:rFonts w:ascii="Times New Roman" w:cs="Times New Roman" w:eastAsia="Times New Roman" w:hAnsi="Times New Roman"/>
          <w:sz w:val="20"/>
          <w:szCs w:val="20"/>
          <w:color w:val="auto"/>
        </w:rPr>
        <w:t>Attention: Stephen Ma</w:t>
      </w:r>
    </w:p>
    <w:p>
      <w:pPr>
        <w:spacing w:after="0"/>
        <w:rPr>
          <w:sz w:val="20"/>
          <w:szCs w:val="20"/>
          <w:color w:val="auto"/>
        </w:rPr>
      </w:pPr>
      <w:r>
        <w:rPr>
          <w:rFonts w:ascii="Times New Roman" w:cs="Times New Roman" w:eastAsia="Times New Roman" w:hAnsi="Times New Roman"/>
          <w:sz w:val="20"/>
          <w:szCs w:val="20"/>
          <w:color w:val="auto"/>
        </w:rPr>
        <w:t>Telephone: (650) 516-4310</w:t>
      </w:r>
    </w:p>
    <w:p>
      <w:pPr>
        <w:spacing w:after="0"/>
        <w:rPr>
          <w:sz w:val="20"/>
          <w:szCs w:val="20"/>
          <w:color w:val="auto"/>
        </w:rPr>
      </w:pPr>
      <w:r>
        <w:rPr>
          <w:rFonts w:ascii="Times New Roman" w:cs="Times New Roman" w:eastAsia="Times New Roman" w:hAnsi="Times New Roman"/>
          <w:sz w:val="20"/>
          <w:szCs w:val="20"/>
          <w:color w:val="auto"/>
        </w:rPr>
        <w:t>Email: sma@scilexholding.com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Paul Hastings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1117 S. California Avenue</w:t>
      </w:r>
    </w:p>
    <w:p>
      <w:pPr>
        <w:spacing w:after="0"/>
        <w:rPr>
          <w:sz w:val="20"/>
          <w:szCs w:val="20"/>
          <w:color w:val="auto"/>
        </w:rPr>
      </w:pPr>
      <w:r>
        <w:rPr>
          <w:rFonts w:ascii="Times New Roman" w:cs="Times New Roman" w:eastAsia="Times New Roman" w:hAnsi="Times New Roman"/>
          <w:sz w:val="20"/>
          <w:szCs w:val="20"/>
          <w:color w:val="auto"/>
        </w:rPr>
        <w:t>Palo Alto, CA 94304</w:t>
      </w:r>
    </w:p>
    <w:p>
      <w:pPr>
        <w:spacing w:after="0"/>
        <w:rPr>
          <w:sz w:val="20"/>
          <w:szCs w:val="20"/>
          <w:color w:val="auto"/>
        </w:rPr>
      </w:pPr>
      <w:r>
        <w:rPr>
          <w:rFonts w:ascii="Times New Roman" w:cs="Times New Roman" w:eastAsia="Times New Roman" w:hAnsi="Times New Roman"/>
          <w:sz w:val="20"/>
          <w:szCs w:val="20"/>
          <w:color w:val="auto"/>
        </w:rPr>
        <w:t>Attention: Elizabeth Razzano</w:t>
      </w:r>
    </w:p>
    <w:p>
      <w:pPr>
        <w:spacing w:after="0"/>
        <w:rPr>
          <w:sz w:val="20"/>
          <w:szCs w:val="20"/>
          <w:color w:val="auto"/>
        </w:rPr>
      </w:pPr>
      <w:r>
        <w:rPr>
          <w:rFonts w:ascii="Times New Roman" w:cs="Times New Roman" w:eastAsia="Times New Roman" w:hAnsi="Times New Roman"/>
          <w:sz w:val="20"/>
          <w:szCs w:val="20"/>
          <w:color w:val="auto"/>
        </w:rPr>
        <w:t>Telephone: (650) 320-1895</w:t>
      </w:r>
    </w:p>
    <w:p>
      <w:pPr>
        <w:spacing w:after="0"/>
        <w:rPr>
          <w:sz w:val="20"/>
          <w:szCs w:val="20"/>
          <w:color w:val="auto"/>
        </w:rPr>
      </w:pPr>
      <w:r>
        <w:rPr>
          <w:rFonts w:ascii="Times New Roman" w:cs="Times New Roman" w:eastAsia="Times New Roman" w:hAnsi="Times New Roman"/>
          <w:sz w:val="20"/>
          <w:szCs w:val="20"/>
          <w:color w:val="auto"/>
        </w:rPr>
        <w:t>E-mail: elizabethrazzano@paulhastings.com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Holder: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Oramed Pharmaceuticals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1185 Avenue of the Americas</w:t>
      </w:r>
    </w:p>
    <w:p>
      <w:pPr>
        <w:spacing w:after="0"/>
        <w:rPr>
          <w:sz w:val="20"/>
          <w:szCs w:val="20"/>
          <w:color w:val="auto"/>
        </w:rPr>
      </w:pPr>
      <w:r>
        <w:rPr>
          <w:rFonts w:ascii="Times New Roman" w:cs="Times New Roman" w:eastAsia="Times New Roman" w:hAnsi="Times New Roman"/>
          <w:sz w:val="20"/>
          <w:szCs w:val="20"/>
          <w:color w:val="auto"/>
        </w:rPr>
        <w:t>New York, NY 10036</w:t>
      </w:r>
    </w:p>
    <w:p>
      <w:pPr>
        <w:spacing w:after="0"/>
        <w:rPr>
          <w:sz w:val="20"/>
          <w:szCs w:val="20"/>
          <w:color w:val="auto"/>
        </w:rPr>
      </w:pPr>
      <w:r>
        <w:rPr>
          <w:rFonts w:ascii="Times New Roman" w:cs="Times New Roman" w:eastAsia="Times New Roman" w:hAnsi="Times New Roman"/>
          <w:sz w:val="20"/>
          <w:szCs w:val="20"/>
          <w:color w:val="auto"/>
        </w:rPr>
        <w:t>Attention: Nadav Kidron; Avi Gabay</w:t>
      </w:r>
    </w:p>
    <w:p>
      <w:pPr>
        <w:spacing w:after="0"/>
        <w:rPr>
          <w:sz w:val="20"/>
          <w:szCs w:val="20"/>
          <w:color w:val="auto"/>
        </w:rPr>
      </w:pPr>
      <w:r>
        <w:rPr>
          <w:rFonts w:ascii="Times New Roman" w:cs="Times New Roman" w:eastAsia="Times New Roman" w:hAnsi="Times New Roman"/>
          <w:sz w:val="20"/>
          <w:szCs w:val="20"/>
          <w:color w:val="auto"/>
        </w:rPr>
        <w:t>E-mail: nadav@oramed.com; avi@oramed.com</w:t>
      </w:r>
    </w:p>
    <w:p>
      <w:pPr>
        <w:spacing w:after="0"/>
        <w:rPr>
          <w:sz w:val="20"/>
          <w:szCs w:val="20"/>
          <w:color w:val="auto"/>
        </w:rPr>
      </w:pPr>
      <w:r>
        <w:rPr>
          <w:rFonts w:ascii="Times New Roman" w:cs="Times New Roman" w:eastAsia="Times New Roman" w:hAnsi="Times New Roman"/>
          <w:sz w:val="20"/>
          <w:szCs w:val="20"/>
          <w:color w:val="auto"/>
        </w:rPr>
        <w:t>with copy to (which shall not constitute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Proskauer Rose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Eleven Times Square</w:t>
      </w:r>
    </w:p>
    <w:p>
      <w:pPr>
        <w:spacing w:after="0"/>
        <w:rPr>
          <w:sz w:val="20"/>
          <w:szCs w:val="20"/>
          <w:color w:val="auto"/>
        </w:rPr>
      </w:pPr>
      <w:r>
        <w:rPr>
          <w:rFonts w:ascii="Times New Roman" w:cs="Times New Roman" w:eastAsia="Times New Roman" w:hAnsi="Times New Roman"/>
          <w:sz w:val="20"/>
          <w:szCs w:val="20"/>
          <w:color w:val="auto"/>
        </w:rPr>
        <w:t>New York, NY 10036</w:t>
      </w:r>
    </w:p>
    <w:p>
      <w:pPr>
        <w:spacing w:after="0"/>
        <w:rPr>
          <w:sz w:val="20"/>
          <w:szCs w:val="20"/>
          <w:color w:val="auto"/>
        </w:rPr>
      </w:pPr>
      <w:r>
        <w:rPr>
          <w:rFonts w:ascii="Times New Roman" w:cs="Times New Roman" w:eastAsia="Times New Roman" w:hAnsi="Times New Roman"/>
          <w:sz w:val="20"/>
          <w:szCs w:val="20"/>
          <w:color w:val="auto"/>
        </w:rPr>
        <w:t>Attention: Grant R. Darwin; Ehud Barak; Philip A. Kaminski</w:t>
      </w:r>
    </w:p>
    <w:p>
      <w:pPr>
        <w:spacing w:after="0"/>
        <w:rPr>
          <w:sz w:val="20"/>
          <w:szCs w:val="20"/>
          <w:color w:val="auto"/>
        </w:rPr>
      </w:pPr>
      <w:r>
        <w:rPr>
          <w:rFonts w:ascii="Times New Roman" w:cs="Times New Roman" w:eastAsia="Times New Roman" w:hAnsi="Times New Roman"/>
          <w:sz w:val="20"/>
          <w:szCs w:val="20"/>
          <w:color w:val="auto"/>
        </w:rPr>
        <w:t>E-mail: gdarwin@proskauer.com; ebarak@proskauer.com; pkaminski@proskauer.com;</w:t>
      </w:r>
    </w:p>
    <w:p>
      <w:pPr>
        <w:spacing w:after="0" w:line="194" w:lineRule="exact"/>
        <w:rPr>
          <w:sz w:val="20"/>
          <w:szCs w:val="20"/>
          <w:color w:val="auto"/>
        </w:rPr>
      </w:pPr>
    </w:p>
    <w:p>
      <w:pPr>
        <w:jc w:val="both"/>
        <w:ind w:firstLine="1505"/>
        <w:spacing w:after="0" w:line="254" w:lineRule="auto"/>
        <w:tabs>
          <w:tab w:leader="none" w:pos="190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Any term of this Agreement may be amended and the observance of any term of this Agreement may be waived (either generally or in a particular instance and either retroactively or prospectively), only with the written consent of the Company and the Holder.</w:t>
      </w:r>
    </w:p>
    <w:p>
      <w:pPr>
        <w:spacing w:after="0" w:line="17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0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Unless the context of this Agreement clearly requires otherwise, (i) references to the plural include the singular, the singular the plural, the part the whole, (ii) references to any gender include all genders, (iii) “including” has the inclusive meaning frequently identified with the phrase “but not limited to” and (iv) references to “hereunder” or “herein” relate to this Agreement.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ind w:firstLine="1505"/>
        <w:spacing w:after="0" w:line="269" w:lineRule="auto"/>
        <w:tabs>
          <w:tab w:leader="none" w:pos="190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This Agreement is intended for the benefit of the parties hereto and their respective permitted successors and assigns, and is not for the benefit of, nor may any provision hereof be enforced by, any other Person.</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 Survival</w:t>
      </w:r>
      <w:r>
        <w:rPr>
          <w:rFonts w:ascii="Times New Roman" w:cs="Times New Roman" w:eastAsia="Times New Roman" w:hAnsi="Times New Roman"/>
          <w:sz w:val="20"/>
          <w:szCs w:val="20"/>
          <w:color w:val="auto"/>
        </w:rPr>
        <w:t>. The language used in this Agreement will be deemed to be the language chosen by the parties to express their mutual intent, and no rules of strict construction will be applied against any party. The representations, warranties, agreements and covenants shall survive the Closing.</w:t>
      </w:r>
    </w:p>
    <w:p>
      <w:pPr>
        <w:spacing w:after="0" w:line="17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Equal Treatment Acknowledgement; Most Favored Nations</w:t>
      </w:r>
      <w:r>
        <w:rPr>
          <w:rFonts w:ascii="Times New Roman" w:cs="Times New Roman" w:eastAsia="Times New Roman" w:hAnsi="Times New Roman"/>
          <w:sz w:val="20"/>
          <w:szCs w:val="20"/>
          <w:color w:val="auto"/>
        </w:rPr>
        <w:t>. The Company hereby represents and warrants as of the date hereof and covenants and agrees that, during the period commencing on the date hereof until the six month anniversary of the date hereof, none of the terms offered to any Person with respect to any warrant issued by the Company to any other Person, including, without limitation with respect to any consent, approval, release, amendment, modification, settlement, transfer, exchange, or waiver relating to the Transaction or any other warrant (each an “</w:t>
      </w:r>
      <w:r>
        <w:rPr>
          <w:rFonts w:ascii="Times New Roman" w:cs="Times New Roman" w:eastAsia="Times New Roman" w:hAnsi="Times New Roman"/>
          <w:sz w:val="20"/>
          <w:szCs w:val="20"/>
          <w:b w:val="1"/>
          <w:bCs w:val="1"/>
          <w:color w:val="auto"/>
        </w:rPr>
        <w:t>Settlement Document</w:t>
      </w:r>
      <w:r>
        <w:rPr>
          <w:rFonts w:ascii="Times New Roman" w:cs="Times New Roman" w:eastAsia="Times New Roman" w:hAnsi="Times New Roman"/>
          <w:sz w:val="20"/>
          <w:szCs w:val="20"/>
          <w:color w:val="auto"/>
        </w:rPr>
        <w:t>”), is or will be more favorable to such Person (other than the reimbursement of legal fees) than those of the Holder and this Agreement. If, and whenever on or after the date hereof, the Company enters into a Settlement Document, then the Company shall provide written notice of such Settlement Document and its key terms to the Holder and the terms and conditions of this Agreement shall be, without any further action by the Holder or the Company, automatically amended and modified in an economically and legally equivalent manner such that the Holder shall receive the benefit of the more favorable terms and/or conditions (as the case may be) set forth in such Settlement Document, provided that upon written notice to the Company at any time the Holder may elect not to accept the benefit of any such amended or modified term or condition, in which event the term or condition contained in this Agreement shall apply to the Holder as it was in effect immediately prior to such amendment or modification as if such amendment or modification never occurred with respect to the Holder. The provisions of this Section 3(l) shall apply similarly and equally to each Settlement Document.</w:t>
      </w:r>
    </w:p>
    <w:p>
      <w:pPr>
        <w:spacing w:after="0" w:line="19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Tranche B Note</w:t>
      </w:r>
      <w:r>
        <w:rPr>
          <w:rFonts w:ascii="Times New Roman" w:cs="Times New Roman" w:eastAsia="Times New Roman" w:hAnsi="Times New Roman"/>
          <w:sz w:val="20"/>
          <w:szCs w:val="20"/>
          <w:color w:val="auto"/>
        </w:rPr>
        <w:t>. For avoidance of doubt, (i) neither the execution, delivery and effectiveness of this Agreement nor the consummation of any of the transactions contemplated hereunder constitutes or operates as a waiver of any of the Holder’s rights or remedies under the Tranche B Note or any of the other Transaction Documents (as defined in the October 2024 Securities Purchase Agreement), nor constitutes a waiver of any provision of the Transaction Documents and (ii) neither the Collateral Agent or the Holder has waived, is by this Agreement waiving or has any intention of waiving any Event of Default (as defined in the Tranche B Note) which may be continuing on the date hereof or any Events of Default which may occur after the date hereof (whether the same or similar to any existing Events of Default or otherwise), and neither the Collateral Agent nor the Holder has agreed to forbear with respect to any of their rights or remedies concerning any Event of Default occurring at any time.</w:t>
      </w:r>
    </w:p>
    <w:p>
      <w:pPr>
        <w:spacing w:after="0" w:line="18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[The remainder of the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Holder and the Company have caused their respective signature page to this Agreement to be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as of the date first written above.</w:t>
      </w:r>
    </w:p>
    <w:p>
      <w:pPr>
        <w:spacing w:after="0" w:line="200" w:lineRule="exact"/>
        <w:rPr>
          <w:sz w:val="20"/>
          <w:szCs w:val="20"/>
          <w:color w:val="auto"/>
        </w:rPr>
      </w:pPr>
    </w:p>
    <w:p>
      <w:pPr>
        <w:spacing w:after="0" w:line="35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SCILEX HOLDING COMPANY</w:t>
      </w:r>
    </w:p>
    <w:p>
      <w:pPr>
        <w:spacing w:after="0" w:line="200" w:lineRule="exact"/>
        <w:rPr>
          <w:sz w:val="20"/>
          <w:szCs w:val="20"/>
          <w:color w:val="auto"/>
        </w:rPr>
      </w:pPr>
    </w:p>
    <w:p>
      <w:pPr>
        <w:spacing w:after="0" w:line="398" w:lineRule="exact"/>
        <w:rPr>
          <w:sz w:val="20"/>
          <w:szCs w:val="20"/>
          <w:color w:val="auto"/>
        </w:rPr>
      </w:pPr>
    </w:p>
    <w:p>
      <w:pPr>
        <w:ind w:left="4600"/>
        <w:spacing w:after="0"/>
        <w:tabs>
          <w:tab w:leader="none" w:pos="50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Henry 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-10795</wp:posOffset>
            </wp:positionV>
            <wp:extent cx="753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 Henry Ji</w:t>
      </w:r>
    </w:p>
    <w:p>
      <w:pPr>
        <w:ind w:left="4900"/>
        <w:spacing w:after="0"/>
        <w:rPr>
          <w:sz w:val="20"/>
          <w:szCs w:val="20"/>
          <w:color w:val="auto"/>
        </w:rPr>
      </w:pPr>
      <w:r>
        <w:rPr>
          <w:rFonts w:ascii="Times New Roman" w:cs="Times New Roman" w:eastAsia="Times New Roman" w:hAnsi="Times New Roman"/>
          <w:sz w:val="20"/>
          <w:szCs w:val="20"/>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Warrant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3" w:name="page54"/>
    <w:bookmarkEnd w:id="53"/>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Holder and the Company have caused their respective signature page to this Agreement to be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as of the date first written above.</w:t>
      </w:r>
    </w:p>
    <w:p>
      <w:pPr>
        <w:spacing w:after="0" w:line="200" w:lineRule="exact"/>
        <w:rPr>
          <w:sz w:val="20"/>
          <w:szCs w:val="20"/>
          <w:color w:val="auto"/>
        </w:rPr>
      </w:pPr>
    </w:p>
    <w:p>
      <w:pPr>
        <w:spacing w:after="0" w:line="3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HOLDER:</w:t>
      </w:r>
    </w:p>
    <w:p>
      <w:pPr>
        <w:spacing w:after="0" w:line="17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ORAMED PHARMACEUTICALS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9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Avraham Gabay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-10795</wp:posOffset>
            </wp:positionV>
            <wp:extent cx="12566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Name: Avraham Gabay</w:t>
      </w:r>
    </w:p>
    <w:p>
      <w:pPr>
        <w:ind w:left="62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Warrant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Annex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33" w:lineRule="exact"/>
        <w:rPr>
          <w:sz w:val="20"/>
          <w:szCs w:val="20"/>
          <w:color w:val="auto"/>
        </w:rPr>
      </w:pPr>
    </w:p>
    <w:p>
      <w:pPr>
        <w:ind w:left="460" w:hanging="452"/>
        <w:spacing w:after="0" w:line="269" w:lineRule="auto"/>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xml:space="preserve"> The Company hereby represents and warrants to the Holder as of the Effective Date as follows:</w:t>
      </w:r>
    </w:p>
    <w:p>
      <w:pPr>
        <w:spacing w:after="0" w:line="388" w:lineRule="exact"/>
        <w:rPr>
          <w:rFonts w:ascii="Times New Roman" w:cs="Times New Roman" w:eastAsia="Times New Roman" w:hAnsi="Times New Roman"/>
          <w:sz w:val="20"/>
          <w:szCs w:val="20"/>
          <w:color w:val="auto"/>
        </w:rPr>
      </w:pPr>
    </w:p>
    <w:p>
      <w:pPr>
        <w:jc w:val="both"/>
        <w:ind w:firstLine="757"/>
        <w:spacing w:after="0" w:line="255" w:lineRule="auto"/>
        <w:tabs>
          <w:tab w:leader="none" w:pos="1018"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Organization and Qualification</w:t>
      </w:r>
      <w:r>
        <w:rPr>
          <w:rFonts w:ascii="Times New Roman" w:cs="Times New Roman" w:eastAsia="Times New Roman" w:hAnsi="Times New Roman"/>
          <w:sz w:val="19"/>
          <w:szCs w:val="19"/>
          <w:color w:val="auto"/>
        </w:rPr>
        <w:t>. Each of the Company and each of its Subsidiaries (as defined below)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means any material adverse effect on (i) the business, properties, assets, liabilities, operations (including results thereof), condition (financial or otherwise) or prospects of the Company or any Subsidiary,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Other than as set forth in the SEC Documents (as defined below) the Company has no significant Subsidiaries. “</w:t>
      </w:r>
      <w:r>
        <w:rPr>
          <w:rFonts w:ascii="Times New Roman" w:cs="Times New Roman" w:eastAsia="Times New Roman" w:hAnsi="Times New Roman"/>
          <w:sz w:val="19"/>
          <w:szCs w:val="19"/>
          <w:b w:val="1"/>
          <w:bCs w:val="1"/>
          <w:color w:val="auto"/>
        </w:rPr>
        <w:t>Subsidiaries</w:t>
      </w:r>
      <w:r>
        <w:rPr>
          <w:rFonts w:ascii="Times New Roman" w:cs="Times New Roman" w:eastAsia="Times New Roman" w:hAnsi="Times New Roman"/>
          <w:sz w:val="19"/>
          <w:szCs w:val="19"/>
          <w:color w:val="auto"/>
        </w:rPr>
        <w:t>” means one or more entities of which any of the capital stock or share capital or other equity or voting securities are Controlled (as defined below) or owned, directly or indirectly, by the respective Person, and each of the foregoing, is individually referred to herein as a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and policies of a Person, whether through the ownership of voting securities, by contract or otherwise; and the terms “Controlled” and “Controlling” shall have the meaning correlative to the foregoing.</w:t>
      </w:r>
    </w:p>
    <w:p>
      <w:pPr>
        <w:spacing w:after="0" w:line="173" w:lineRule="exact"/>
        <w:rPr>
          <w:rFonts w:ascii="Times New Roman" w:cs="Times New Roman" w:eastAsia="Times New Roman" w:hAnsi="Times New Roman"/>
          <w:sz w:val="19"/>
          <w:szCs w:val="19"/>
          <w:color w:val="auto"/>
        </w:rPr>
      </w:pPr>
    </w:p>
    <w:p>
      <w:pPr>
        <w:jc w:val="both"/>
        <w:ind w:firstLine="757"/>
        <w:spacing w:after="0" w:line="241" w:lineRule="auto"/>
        <w:tabs>
          <w:tab w:leader="none" w:pos="101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and Binding Obligation</w:t>
      </w:r>
      <w:r>
        <w:rPr>
          <w:rFonts w:ascii="Times New Roman" w:cs="Times New Roman" w:eastAsia="Times New Roman" w:hAnsi="Times New Roman"/>
          <w:sz w:val="20"/>
          <w:szCs w:val="20"/>
          <w:color w:val="auto"/>
        </w:rPr>
        <w:t>. The Company has the requisite power and authority to enter into and perform its obligations under this Agreement, the Warrant and each of the other agreements and certificates entered into by the parties hereto in connection with the transactions contemplated by this Agreement (collectively, the “</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 to consummate the transactions contemplated hereby and thereby and to issue and deliver the Securities in accordance with the terms hereof and thereof. The execution and delivery of the Transaction Documents by the Company and the consummation by the Company of the transactions contemplated hereby and thereby, including, without limitation, the Transaction, have been duly authorized by the board of directors of the Company, and, other than the filing with the SEC of a Form D and any other filings as may be required by any state securities agencies, and the notice and/or application(s) to the Principal Market (as defined below) for the issuance and sale of the Securities and the listing of the Warrant Shares for trading thereon in the time and manner required thereby (collectively, the “</w:t>
      </w:r>
      <w:r>
        <w:rPr>
          <w:rFonts w:ascii="Times New Roman" w:cs="Times New Roman" w:eastAsia="Times New Roman" w:hAnsi="Times New Roman"/>
          <w:sz w:val="20"/>
          <w:szCs w:val="20"/>
          <w:b w:val="1"/>
          <w:bCs w:val="1"/>
          <w:color w:val="auto"/>
        </w:rPr>
        <w:t>Required Approvals</w:t>
      </w:r>
      <w:r>
        <w:rPr>
          <w:rFonts w:ascii="Times New Roman" w:cs="Times New Roman" w:eastAsia="Times New Roman" w:hAnsi="Times New Roman"/>
          <w:sz w:val="20"/>
          <w:szCs w:val="20"/>
          <w:color w:val="auto"/>
        </w:rPr>
        <w:t>”), no further filing, consent or authorization is required by the Company, its Subsidiaries, their respective boards of directors or their stockholders or other governing body. This Agreement has been, and the other Transaction Documents to which it is a party will be prior to such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5" w:name="page56"/>
    <w:bookmarkEnd w:id="55"/>
    <w:p>
      <w:pPr>
        <w:jc w:val="both"/>
        <w:ind w:firstLine="757"/>
        <w:spacing w:after="0" w:line="242"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xml:space="preserve">. The execution, delivery and performance of the Transaction Documents by the Company and the consummation by the Company of the transactions contemplated hereby and thereby (including, without limitation, the issuance of the Securities and the reservation for issuance of the Warrant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or (ii) result in a violation of any law, rule, regulation, order, judgment or decree (including, without limitation, foreign, federal and state securities laws and regulations and the rules and regulations of the Nasdaq Global Market (the </w:t>
      </w:r>
      <w:r>
        <w:rPr>
          <w:rFonts w:ascii="Times New Roman" w:cs="Times New Roman" w:eastAsia="Times New Roman" w:hAnsi="Times New Roman"/>
          <w:sz w:val="20"/>
          <w:szCs w:val="20"/>
          <w:b w:val="1"/>
          <w:bCs w:val="1"/>
          <w:color w:val="auto"/>
        </w:rPr>
        <w:t>“Principal Market</w:t>
      </w:r>
      <w:r>
        <w:rPr>
          <w:rFonts w:ascii="Times New Roman" w:cs="Times New Roman" w:eastAsia="Times New Roman" w:hAnsi="Times New Roman"/>
          <w:sz w:val="20"/>
          <w:szCs w:val="20"/>
          <w:color w:val="auto"/>
        </w:rPr>
        <w:t>”) and including all applicable foreign, federal and state laws, rules and regulations) applicable to the Company or any of its Subsidiaries or by which any property or asset of the Company or any of its Subsidiaries is bound or affected; except in the case of clause (ii), such as would not have or reasonably be expected to result in a Material Adverse Effect.</w:t>
      </w:r>
    </w:p>
    <w:p>
      <w:pPr>
        <w:spacing w:after="0" w:line="192"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Neither the Company nor any Subsidiary is required to obtain any consent from, authorization or order of, or make any filing or registration with (other than the Required Approvals) any Governmental Entity (as defined in the October 2024 Securities Purchase Agreement) or any regulatory or self-regulatory agency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in the foreseeable future.</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Integration</w:t>
      </w:r>
      <w:r>
        <w:rPr>
          <w:rFonts w:ascii="Times New Roman" w:cs="Times New Roman" w:eastAsia="Times New Roman" w:hAnsi="Times New Roman"/>
          <w:sz w:val="20"/>
          <w:szCs w:val="20"/>
          <w:color w:val="auto"/>
        </w:rPr>
        <w:t>. None of the Company, its Subsidiaries, any of their affiliates, or any Person acting on their behalf has, directly or indirectly, made any offers or sales of any security or solicited any offers to buy any security, under circumstances that would require registration of any of the Securities under the 1933 Act or cause this offering of the Securities to be integrated with prior offerings by the Company for purposes of the 1933 Act or any applicable shareholder approval provisions, including, without limitation, under the rules and regulations of any exchange or automated quotation system on which any of the securities of the Company are listed or designated. None of the Company, its Subsidiaries, their affiliates or any Person acting on their behalf will take any action or steps referred to in the preceding sentence that would require registration of any of the Securities under the 1933 Act or cause the offering of the Securities to be integrated with other offerings.</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 Exemptions</w:t>
      </w:r>
      <w:r>
        <w:rPr>
          <w:rFonts w:ascii="Times New Roman" w:cs="Times New Roman" w:eastAsia="Times New Roman" w:hAnsi="Times New Roman"/>
          <w:sz w:val="20"/>
          <w:szCs w:val="20"/>
          <w:color w:val="auto"/>
        </w:rPr>
        <w:t>. Assuming the accuracy of the representations and warranties of the Holder contained herein, the offer, sale and issuance by the Company of the Securities is exempt from registration under the 1933 Act and all applicable state securities laws. The offer, sale and issuance of the Securities is exempt from registration under the 1933 Act pursuant to the exemption provided by Section 4(a)(2) of the 1933 Act and Regulation D promulgated under the 1933 Act.</w:t>
      </w:r>
    </w:p>
    <w:p>
      <w:pPr>
        <w:spacing w:after="0" w:line="17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Securities</w:t>
      </w:r>
      <w:r>
        <w:rPr>
          <w:rFonts w:ascii="Times New Roman" w:cs="Times New Roman" w:eastAsia="Times New Roman" w:hAnsi="Times New Roman"/>
          <w:sz w:val="20"/>
          <w:szCs w:val="20"/>
          <w:color w:val="auto"/>
        </w:rPr>
        <w:t>. The issuance of the Warrant has been duly authorized and upon issuance is in accordance with the terms of the Transaction Documents and shall be validly issued, fully paid and non-assessable and free from all Liens (as defined below) and shall be the binding obligation of the Company. Upon issuance or conversion in accordance with the Warrant, the Warrant Shares, when issued, will be validly issued, fully paid and nonassessable and free from all Liens with respect to the issue thereof, with the holders being entitled to all rights accorded to a holder of shares of Common Stock. As used herein, “</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shall mean any security or other property interest or right, claim, lien, pledge, option,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20"/>
          <w:szCs w:val="20"/>
          <w:color w:val="auto"/>
        </w:rPr>
        <w:t>charge, security interest, contingent or conditional sale, or other title claim or retention agreement, interest or other right or claim of third parties, whether perfected or not perfected, voluntarily incurred or arising by operation of law, and including any agreement to grant or submit to any of the foregoing in the future.</w:t>
      </w:r>
    </w:p>
    <w:p>
      <w:pPr>
        <w:spacing w:after="0" w:line="174" w:lineRule="exact"/>
        <w:rPr>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Capitalization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620" w:hanging="366"/>
        <w:spacing w:after="0"/>
        <w:tabs>
          <w:tab w:leader="none" w:pos="262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1500" w:firstLine="1698"/>
        <w:spacing w:after="0" w:line="256" w:lineRule="auto"/>
        <w:tabs>
          <w:tab w:leader="none" w:pos="3567"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means (x) the Company’s shares of common stock, $0.0001 par value per share, and (y) any capital stock into which such common stock shall have been changed or any share capital resulting from a reclassification of such common stock.</w:t>
      </w:r>
    </w:p>
    <w:p>
      <w:pPr>
        <w:spacing w:after="0" w:line="168" w:lineRule="exact"/>
        <w:rPr>
          <w:rFonts w:ascii="Times New Roman" w:cs="Times New Roman" w:eastAsia="Times New Roman" w:hAnsi="Times New Roman"/>
          <w:sz w:val="20"/>
          <w:szCs w:val="20"/>
          <w:color w:val="auto"/>
        </w:rPr>
      </w:pPr>
    </w:p>
    <w:p>
      <w:pPr>
        <w:jc w:val="both"/>
        <w:ind w:left="1500" w:firstLine="1698"/>
        <w:spacing w:after="0" w:line="300" w:lineRule="auto"/>
        <w:tabs>
          <w:tab w:leader="none" w:pos="3567"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Preferred Stock</w:t>
      </w:r>
      <w:r>
        <w:rPr>
          <w:rFonts w:ascii="Times New Roman" w:cs="Times New Roman" w:eastAsia="Times New Roman" w:hAnsi="Times New Roman"/>
          <w:sz w:val="19"/>
          <w:szCs w:val="19"/>
          <w:color w:val="auto"/>
        </w:rPr>
        <w:t>” means the Company’s preferred stock, $0.0001 par value per share, the terms of which have been and may be designated by the board of directors of the Company in a certificate of designations.</w:t>
      </w:r>
    </w:p>
    <w:p>
      <w:pPr>
        <w:spacing w:after="0" w:line="132" w:lineRule="exact"/>
        <w:rPr>
          <w:rFonts w:ascii="Times New Roman" w:cs="Times New Roman" w:eastAsia="Times New Roman" w:hAnsi="Times New Roman"/>
          <w:sz w:val="19"/>
          <w:szCs w:val="19"/>
          <w:color w:val="auto"/>
        </w:rPr>
      </w:pPr>
    </w:p>
    <w:p>
      <w:pPr>
        <w:jc w:val="both"/>
        <w:ind w:left="760" w:firstLine="1494"/>
        <w:spacing w:after="0" w:line="243" w:lineRule="auto"/>
        <w:tabs>
          <w:tab w:leader="none" w:pos="2557"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Authorized and Outstanding Capital Stock</w:t>
      </w:r>
      <w:r>
        <w:rPr>
          <w:rFonts w:ascii="Times New Roman" w:cs="Times New Roman" w:eastAsia="Times New Roman" w:hAnsi="Times New Roman"/>
          <w:sz w:val="20"/>
          <w:szCs w:val="20"/>
          <w:color w:val="auto"/>
        </w:rPr>
        <w:t>. As of the date hereof, the authorized capital stock of the Company consists of (A) 740,000,000 shares of Common Stock, of which 8,491,267 shares are issued and outstanding and 13,238,853 shares are currently issuable pursuant to Common Stock Equivalents (as defined below) (other than the Securities) exercisable or exchangeable for, or convertible into, (B) 45,000,000 shares of Preferred Stock, 29,057,097 of which are issued and outstanding and have been designated as Series A Preferred Stock. Except as set forth in the SEC Documents, no shares of Common Stock are held in the treasury of the Company. “</w:t>
      </w:r>
      <w:r>
        <w:rPr>
          <w:rFonts w:ascii="Times New Roman" w:cs="Times New Roman" w:eastAsia="Times New Roman" w:hAnsi="Times New Roman"/>
          <w:sz w:val="20"/>
          <w:szCs w:val="20"/>
          <w:b w:val="1"/>
          <w:bCs w:val="1"/>
          <w:color w:val="auto"/>
        </w:rPr>
        <w:t>Common Stock Equivalents</w:t>
      </w:r>
      <w:r>
        <w:rPr>
          <w:rFonts w:ascii="Times New Roman" w:cs="Times New Roman" w:eastAsia="Times New Roman" w:hAnsi="Times New Roman"/>
          <w:sz w:val="20"/>
          <w:szCs w:val="20"/>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186"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Valid Issuance; Available Shares; Affiliates</w:t>
      </w:r>
      <w:r>
        <w:rPr>
          <w:rFonts w:ascii="Times New Roman" w:cs="Times New Roman" w:eastAsia="Times New Roman" w:hAnsi="Times New Roman"/>
          <w:sz w:val="20"/>
          <w:szCs w:val="20"/>
          <w:color w:val="auto"/>
        </w:rPr>
        <w:t>. All of such outstanding shares are duly authorized and have been, or upon issuance will be, validly issued and are fully paid and nonassessable. Except as set forth in the SEC Documents, to the knowledge of the Company, no Person owns 10% or more of the Company’s issued and outstanding shares of Common Stock (calculated based on the assumption that all Common Stock Equivalents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86" w:lineRule="exact"/>
        <w:rPr>
          <w:sz w:val="20"/>
          <w:szCs w:val="20"/>
          <w:color w:val="auto"/>
        </w:rPr>
      </w:pPr>
    </w:p>
    <w:p>
      <w:pPr>
        <w:jc w:val="both"/>
        <w:ind w:left="760" w:firstLine="1494"/>
        <w:spacing w:after="0" w:line="243" w:lineRule="auto"/>
        <w:tabs>
          <w:tab w:leader="none" w:pos="255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Securities; Obligations</w:t>
      </w:r>
      <w:r>
        <w:rPr>
          <w:rFonts w:ascii="Times New Roman" w:cs="Times New Roman" w:eastAsia="Times New Roman" w:hAnsi="Times New Roman"/>
          <w:sz w:val="20"/>
          <w:szCs w:val="20"/>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Company or any of its Subsidiaries; (C) there are no agreements or arrangements under which the Company or any of its Subsidiaries is obligated to register the sale of any of their securities under the 1933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spacing w:after="0" w:line="189" w:lineRule="exact"/>
        <w:rPr>
          <w:sz w:val="20"/>
          <w:szCs w:val="20"/>
          <w:color w:val="auto"/>
        </w:rPr>
      </w:pPr>
    </w:p>
    <w:p>
      <w:pPr>
        <w:jc w:val="both"/>
        <w:ind w:left="760" w:firstLine="1494"/>
        <w:spacing w:after="0" w:line="249" w:lineRule="auto"/>
        <w:tabs>
          <w:tab w:leader="none" w:pos="2557"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The Company has furnished to the Holder, or publicly filed with the SEC, true, correct and complete copies of the Company’s Certificate of Incorporation, as amended and as in effect on the date hereof (the “</w:t>
      </w:r>
      <w:r>
        <w:rPr>
          <w:rFonts w:ascii="Times New Roman" w:cs="Times New Roman" w:eastAsia="Times New Roman" w:hAnsi="Times New Roman"/>
          <w:sz w:val="20"/>
          <w:szCs w:val="20"/>
          <w:b w:val="1"/>
          <w:bCs w:val="1"/>
          <w:color w:val="auto"/>
        </w:rPr>
        <w:t>Certificate of Incorporation</w:t>
      </w:r>
      <w:r>
        <w:rPr>
          <w:rFonts w:ascii="Times New Roman" w:cs="Times New Roman" w:eastAsia="Times New Roman" w:hAnsi="Times New Roman"/>
          <w:sz w:val="20"/>
          <w:szCs w:val="20"/>
          <w:color w:val="auto"/>
        </w:rPr>
        <w:t>”), and the Company’s Bylaws, as amended and as in effect on the date hereof (the “</w:t>
      </w:r>
      <w:r>
        <w:rPr>
          <w:rFonts w:ascii="Times New Roman" w:cs="Times New Roman" w:eastAsia="Times New Roman" w:hAnsi="Times New Roman"/>
          <w:sz w:val="20"/>
          <w:szCs w:val="20"/>
          <w:b w:val="1"/>
          <w:bCs w:val="1"/>
          <w:color w:val="auto"/>
        </w:rPr>
        <w:t>Bylaws</w:t>
      </w:r>
      <w:r>
        <w:rPr>
          <w:rFonts w:ascii="Times New Roman" w:cs="Times New Roman" w:eastAsia="Times New Roman" w:hAnsi="Times New Roman"/>
          <w:sz w:val="20"/>
          <w:szCs w:val="20"/>
          <w:color w:val="auto"/>
        </w:rPr>
        <w:t>”), and the terms of all Common Stock Equivalents and the material rights of the holders thereof in respect thereto.</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 On the Effective Date, all share transfer or other taxes (other than income or similar taxes) which are required to be paid in connection with the issuance of the Securities to be issued to the Holder hereunder will be, or will have been, fully paid or provided for by the Company, and all laws imposing such taxes will be or will have been complied with.</w:t>
      </w:r>
    </w:p>
    <w:p>
      <w:pPr>
        <w:spacing w:after="0" w:line="174" w:lineRule="exact"/>
        <w:rPr>
          <w:rFonts w:ascii="Times New Roman" w:cs="Times New Roman" w:eastAsia="Times New Roman" w:hAnsi="Times New Roman"/>
          <w:sz w:val="20"/>
          <w:szCs w:val="20"/>
          <w:color w:val="auto"/>
        </w:rPr>
      </w:pPr>
    </w:p>
    <w:p>
      <w:pPr>
        <w:jc w:val="both"/>
        <w:ind w:firstLine="757"/>
        <w:spacing w:after="0"/>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Documents; Financial Statements</w:t>
      </w:r>
      <w:r>
        <w:rPr>
          <w:rFonts w:ascii="Times New Roman" w:cs="Times New Roman" w:eastAsia="Times New Roman" w:hAnsi="Times New Roman"/>
          <w:sz w:val="20"/>
          <w:szCs w:val="20"/>
          <w:color w:val="auto"/>
        </w:rPr>
        <w:t>. Except as previously disclosed in the Company’s public filings with the SEC,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20"/>
          <w:szCs w:val="20"/>
          <w:b w:val="1"/>
          <w:bCs w:val="1"/>
          <w:color w:val="auto"/>
        </w:rPr>
        <w:t>SEC Documents</w:t>
      </w:r>
      <w:r>
        <w:rPr>
          <w:rFonts w:ascii="Times New Roman" w:cs="Times New Roman" w:eastAsia="Times New Roman" w:hAnsi="Times New Roman"/>
          <w:sz w:val="20"/>
          <w:szCs w:val="20"/>
          <w:color w:val="auto"/>
        </w:rPr>
        <w:t>”). The Company has delivered or has made available to the Holder or its representatives true, correct and complete copies of each of the SEC Documents requested by the Holder and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the Holder which is not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both"/>
        <w:spacing w:after="0" w:line="243" w:lineRule="auto"/>
        <w:rPr>
          <w:sz w:val="20"/>
          <w:szCs w:val="20"/>
          <w:color w:val="auto"/>
        </w:rPr>
      </w:pPr>
      <w:r>
        <w:rPr>
          <w:rFonts w:ascii="Times New Roman" w:cs="Times New Roman" w:eastAsia="Times New Roman" w:hAnsi="Times New Roman"/>
          <w:sz w:val="20"/>
          <w:szCs w:val="20"/>
          <w:color w:val="auto"/>
        </w:rPr>
        <w:t>included in the SEC Documents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189" w:lineRule="exact"/>
        <w:rPr>
          <w:sz w:val="20"/>
          <w:szCs w:val="20"/>
          <w:color w:val="auto"/>
        </w:rPr>
      </w:pPr>
    </w:p>
    <w:p>
      <w:pPr>
        <w:jc w:val="both"/>
        <w:ind w:firstLine="757"/>
        <w:spacing w:after="0" w:line="249"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The Company is not, and upon consummation of the Transaction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Other than as set forth in the 8-K Filing (as defined below), the Company confirms that neither it nor any other Person acting on its behalf has provided the Holder or its agents or counsel with any information that constitutes or could reasonably be expected to constitute material, nonpublic information. The Company understands and confirms that the Holder will rely on the foregoing representations in effecting transactions in the Securities.</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No General Solicitation</w:t>
      </w:r>
      <w:r>
        <w:rPr>
          <w:rFonts w:ascii="Times New Roman" w:cs="Times New Roman" w:eastAsia="Times New Roman" w:hAnsi="Times New Roman"/>
          <w:sz w:val="20"/>
          <w:szCs w:val="20"/>
          <w:color w:val="auto"/>
        </w:rPr>
        <w:t>. Neither the Company nor any person acting on behalf of the Company has offered or issued any of the Warrant or Warrant Shares by any form of general solicitation or general advertising. The Company has offered the Warrant and Warrant Shares only to the Holder.</w:t>
      </w:r>
    </w:p>
    <w:p>
      <w:pPr>
        <w:spacing w:after="0" w:line="174" w:lineRule="exact"/>
        <w:rPr>
          <w:sz w:val="20"/>
          <w:szCs w:val="20"/>
          <w:color w:val="auto"/>
        </w:rPr>
      </w:pPr>
    </w:p>
    <w:p>
      <w:pPr>
        <w:ind w:left="920" w:right="20" w:hanging="440"/>
        <w:spacing w:after="0" w:line="269" w:lineRule="auto"/>
        <w:tabs>
          <w:tab w:leader="none" w:pos="9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Holder</w:t>
      </w:r>
      <w:r>
        <w:rPr>
          <w:rFonts w:ascii="Times New Roman" w:cs="Times New Roman" w:eastAsia="Times New Roman" w:hAnsi="Times New Roman"/>
          <w:sz w:val="20"/>
          <w:szCs w:val="20"/>
          <w:color w:val="auto"/>
        </w:rPr>
        <w:t>. The Holder hereby represents and warrants to the Company as of the Effective Date as follows:</w:t>
      </w:r>
    </w:p>
    <w:p>
      <w:pPr>
        <w:spacing w:after="0" w:line="15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 Enforceability</w:t>
      </w:r>
      <w:r>
        <w:rPr>
          <w:rFonts w:ascii="Times New Roman" w:cs="Times New Roman" w:eastAsia="Times New Roman" w:hAnsi="Times New Roman"/>
          <w:sz w:val="20"/>
          <w:szCs w:val="20"/>
          <w:color w:val="auto"/>
        </w:rPr>
        <w:t>. The Holder is an entity duly organized, validly existing and in good standing under the laws of the jurisdiction of its organization. The Holder has all requisite power and authority to enter into and to perform its obligations under the Transaction Documents, to consummate the transactions contemplated hereby and thereby. The execution, delivery and performance of this Agreement by the Holder and the consummation by it of the transactions contemplated hereby have been duly authorized by the Holder and no further consent or authorization of the Holder is required. This Agreement has been duly executed and delivered by the Holder and constitutes a legal, valid and binding obligation of the Holder enforceable against the Holder in accordance with its terms, except as enforceability may be limited by applicable bankruptcy, insolvency, reorganization, or moratorium or similar laws affecting creditors’ and contracting parties’ rights generally and except as enforceability may be subject to general principles of equity.</w:t>
      </w:r>
    </w:p>
    <w:p>
      <w:pPr>
        <w:spacing w:after="0" w:line="189"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 The execution, delivery and performance of this Agreement by the Holder and the consummation by the Holder of the transactions contemplated hereby will not (i) conflict with or result in a violation of any provision of its organizational documents, (ii) violate or conflict with, or result in a breach of any provision of, or constitute a default under, or give rise to any right of termination or acceleration under, or constitute a change of control under, any agreement, indenture, or instrument to which the Holder or its subsidiaries is a party or it or any of its subsidiaries is bound, or (iii) result in a violation of any law, rule, regulation, order, judgment or decree applicable to the Holder or its subsidiaries is a party or it or any of its subsidiaries is bound, except in the case of clauses (ii) and (iii) only, for such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spacing w:after="0" w:line="269" w:lineRule="auto"/>
        <w:rPr>
          <w:sz w:val="20"/>
          <w:szCs w:val="20"/>
          <w:color w:val="auto"/>
        </w:rPr>
      </w:pPr>
      <w:r>
        <w:rPr>
          <w:rFonts w:ascii="Times New Roman" w:cs="Times New Roman" w:eastAsia="Times New Roman" w:hAnsi="Times New Roman"/>
          <w:sz w:val="20"/>
          <w:szCs w:val="20"/>
          <w:color w:val="auto"/>
        </w:rPr>
        <w:t>conflicts, breaches, defaults, and violations as would not reasonably be expected to have, individually or in the aggregate, a material adverse effect on the ability of the Holder to perform any material obligations pursuant to this Agreement.</w:t>
      </w:r>
    </w:p>
    <w:p>
      <w:pPr>
        <w:spacing w:after="0" w:line="159" w:lineRule="exact"/>
        <w:rPr>
          <w:sz w:val="20"/>
          <w:szCs w:val="20"/>
          <w:color w:val="auto"/>
        </w:rPr>
      </w:pPr>
    </w:p>
    <w:p>
      <w:pPr>
        <w:jc w:val="both"/>
        <w:ind w:firstLine="1505"/>
        <w:spacing w:after="0" w:line="243"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Public Sale of Distribution</w:t>
      </w:r>
      <w:r>
        <w:rPr>
          <w:rFonts w:ascii="Times New Roman" w:cs="Times New Roman" w:eastAsia="Times New Roman" w:hAnsi="Times New Roman"/>
          <w:sz w:val="20"/>
          <w:szCs w:val="20"/>
          <w:color w:val="auto"/>
        </w:rPr>
        <w:t>. The Holder understands that the Warrant is a “restricted security” and has not been registered under the 1933 Act or any applicable state securities law and the Holder is acquiring the Warrant as principal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the Holder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The Holder does not presently have any agreement or understanding, directly or indirectly, with any Person to distribute any of the Securities in violation of applicable securities laws. The Holder has no present intent to effect a “change of control” of the Company as such term is understood under the rules promulgated pursuant to Section 13(d) of the Exchange Act.</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 Status</w:t>
      </w:r>
      <w:r>
        <w:rPr>
          <w:rFonts w:ascii="Times New Roman" w:cs="Times New Roman" w:eastAsia="Times New Roman" w:hAnsi="Times New Roman"/>
          <w:sz w:val="20"/>
          <w:szCs w:val="20"/>
          <w:color w:val="auto"/>
        </w:rPr>
        <w:t>. The Holder is (a) either an “accredited investor” as that term is defined in Rule 501(a) of Regulation D or a “qualified institutional buyer” as defined in Rule 144A(a) under the 1933 Act, (b) an “Institutional Account” as defined in FINRA Rule 4512(c) and (c) a sophisticated institutional investor, experienced in investing in private equity transactions and capable of evaluating investment risks independently, both in general and with regard to all transactions and investment strategies involving a security or securities, including the Holder’s participation in the transactions contemplated by this Agreement.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on Exemptions</w:t>
      </w:r>
      <w:r>
        <w:rPr>
          <w:rFonts w:ascii="Times New Roman" w:cs="Times New Roman" w:eastAsia="Times New Roman" w:hAnsi="Times New Roman"/>
          <w:sz w:val="20"/>
          <w:szCs w:val="20"/>
          <w:color w:val="auto"/>
        </w:rPr>
        <w:t>. The Holder understands that the Securities are being offered and issued to it in reliance on specific exemptions from the registration requirements of United States federal and state securities laws and that the Company is relying in part upon the truth and accuracy of, and the Holder’s compliance with, the representations, warranties, agreements, acknowledgments and understandings of the Holder set forth herein in order to determine the availability of such exemptions and the eligibility of the Holder to acquire the Securities. The Holder further acknowledges and understands that the Securities may not be resold or otherwise transferred except in a transaction registered under the 1933 Act or unless an exemption from such registration is available.</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The Holder and its advisors, if any, have been furnished with all materials relating to the business, finances and operations of the Company and materials relating to the offer and sale of the Securities that have been requested by the Holder and that are sufficient to enable the Holder to evaluate its investment. The Holder and its advisors, if any, have been afforded the opportunity to ask questions of the Company regarding its investment and have been provided access to information about the Company and its financial condition, results of operations, business, properties, management and prospects sufficient to enable it to evaluate its investment. Neither such inquiries nor any other due diligence investigations conducted by the Holder or its advisors, if any, or its representatives shall modify, amend or affect the Holder’s right to rely on the Company’s representations and warranties contained herein. The Holder understands that its investment in the Securities involves a high degree of risk. The Holder has sought such accounting, legal and tax advice as it has considered necessary to make an informed investment decision with respect to its acquisition of the Securities. The Holder acknowledges and agrees that the Company does not make and has not made any representations or warranties with respect to the transactions contemplated hereby other than those specifically set forth in Section 1 of this Annex 1.</w:t>
      </w:r>
    </w:p>
    <w:p>
      <w:pPr>
        <w:spacing w:after="0" w:line="18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or Resale</w:t>
      </w:r>
      <w:r>
        <w:rPr>
          <w:rFonts w:ascii="Times New Roman" w:cs="Times New Roman" w:eastAsia="Times New Roman" w:hAnsi="Times New Roman"/>
          <w:sz w:val="20"/>
          <w:szCs w:val="20"/>
          <w:color w:val="auto"/>
        </w:rPr>
        <w:t>. The Holder understands that: (i) the Securities have not been and are not being registered under the 1933 Act or any state securities laws, and may not be offered for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41" w:lineRule="auto"/>
        <w:rPr>
          <w:sz w:val="20"/>
          <w:szCs w:val="20"/>
          <w:color w:val="auto"/>
        </w:rPr>
      </w:pPr>
      <w:r>
        <w:rPr>
          <w:rFonts w:ascii="Times New Roman" w:cs="Times New Roman" w:eastAsia="Times New Roman" w:hAnsi="Times New Roman"/>
          <w:sz w:val="20"/>
          <w:szCs w:val="20"/>
          <w:color w:val="auto"/>
        </w:rPr>
        <w:t>sale, sold, assigned or transferred unless (A) subsequently registered thereunder, or (B) the Holder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the Holder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except as provided for in this Agreement, neither the Company nor any other Person is under any obligation to register the Warrant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Holder effecting a pledge of Securities shall be required to provide the Company with any notice thereof or otherwise make any delivery to the Company pursuant to this Agreement or any other Transaction Document, including, without limitation, this Section 2(g) in connection with effecting such pledge.</w:t>
      </w:r>
    </w:p>
    <w:p>
      <w:pPr>
        <w:spacing w:after="0" w:line="194" w:lineRule="exact"/>
        <w:rPr>
          <w:sz w:val="20"/>
          <w:szCs w:val="20"/>
          <w:color w:val="auto"/>
        </w:rPr>
      </w:pPr>
    </w:p>
    <w:p>
      <w:pPr>
        <w:jc w:val="both"/>
        <w:ind w:firstLine="1505"/>
        <w:spacing w:after="0" w:line="254" w:lineRule="auto"/>
        <w:tabs>
          <w:tab w:leader="none" w:pos="203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Governmental Review</w:t>
      </w:r>
      <w:r>
        <w:rPr>
          <w:rFonts w:ascii="Times New Roman" w:cs="Times New Roman" w:eastAsia="Times New Roman" w:hAnsi="Times New Roman"/>
          <w:sz w:val="20"/>
          <w:szCs w:val="20"/>
          <w:color w:val="auto"/>
        </w:rPr>
        <w:t>. The Holder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Annex 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Covenants</w:t>
      </w:r>
    </w:p>
    <w:p>
      <w:pPr>
        <w:spacing w:after="0" w:line="220" w:lineRule="exact"/>
        <w:rPr>
          <w:sz w:val="20"/>
          <w:szCs w:val="20"/>
          <w:color w:val="auto"/>
        </w:rPr>
      </w:pPr>
    </w:p>
    <w:p>
      <w:pPr>
        <w:jc w:val="both"/>
        <w:ind w:firstLine="757"/>
        <w:spacing w:after="0" w:line="243"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Blue Sky</w:t>
      </w:r>
      <w:r>
        <w:rPr>
          <w:rFonts w:ascii="Times New Roman" w:cs="Times New Roman" w:eastAsia="Times New Roman" w:hAnsi="Times New Roman"/>
          <w:sz w:val="20"/>
          <w:szCs w:val="20"/>
          <w:color w:val="auto"/>
        </w:rPr>
        <w:t>. The Company shall, on or before the Effective Date, take such action as the Company shall reasonably determine is necessary in order to obtain an exemption for, or to, qualify the Securities for issuance to the Holder pursuant to this Agreement under applicable securities or “Blue Sky” laws of the states of the United States (or to obtain an exemption from such qualification), and shall provide evidence of any such action so taken to the Holder on or prior to the Effective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Holder.</w:t>
      </w:r>
    </w:p>
    <w:p>
      <w:pPr>
        <w:spacing w:after="0" w:line="185"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Status</w:t>
      </w:r>
      <w:r>
        <w:rPr>
          <w:rFonts w:ascii="Times New Roman" w:cs="Times New Roman" w:eastAsia="Times New Roman" w:hAnsi="Times New Roman"/>
          <w:sz w:val="20"/>
          <w:szCs w:val="20"/>
          <w:color w:val="auto"/>
        </w:rPr>
        <w:t>. Until the date on which the Holder shall have sold all of the Warrant Shares (the “</w:t>
      </w:r>
      <w:r>
        <w:rPr>
          <w:rFonts w:ascii="Times New Roman" w:cs="Times New Roman" w:eastAsia="Times New Roman" w:hAnsi="Times New Roman"/>
          <w:sz w:val="20"/>
          <w:szCs w:val="20"/>
          <w:b w:val="1"/>
          <w:bCs w:val="1"/>
          <w:color w:val="auto"/>
        </w:rPr>
        <w:t>Reporting Period</w:t>
      </w:r>
      <w:r>
        <w:rPr>
          <w:rFonts w:ascii="Times New Roman" w:cs="Times New Roman" w:eastAsia="Times New Roman" w:hAnsi="Times New Roman"/>
          <w:sz w:val="20"/>
          <w:szCs w:val="20"/>
          <w:color w:val="auto"/>
        </w:rPr>
        <w:t>”), the Company shall timely file all reports required to be filed with the SEC pursuant to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other than as a result of a Fundamental Transaction (as defined in the Warrant) the Company shall not terminate its status as an issuer required to file reports under the Exchange Act even if the Exchange Act or the rules and regulations thereunder would no longer require or otherwise permit such termination.</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Information</w:t>
      </w:r>
      <w:r>
        <w:rPr>
          <w:rFonts w:ascii="Times New Roman" w:cs="Times New Roman" w:eastAsia="Times New Roman" w:hAnsi="Times New Roman"/>
          <w:sz w:val="20"/>
          <w:szCs w:val="20"/>
          <w:color w:val="auto"/>
        </w:rPr>
        <w:t>. The Company agrees to send the following to the Holder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Listing</w:t>
      </w:r>
      <w:r>
        <w:rPr>
          <w:rFonts w:ascii="Times New Roman" w:cs="Times New Roman" w:eastAsia="Times New Roman" w:hAnsi="Times New Roman"/>
          <w:sz w:val="20"/>
          <w:szCs w:val="20"/>
          <w:color w:val="auto"/>
        </w:rPr>
        <w:t>. The Company shall promptly secure the listing or designation for quotation (as the case may be) of all of the Warrant Shares upon each national securities exchange and automated quotation system, if any, upon which the shares of Common Stock are then listed or designated for quotation (as the case may be) (subject to official notice of issuance) and shall maintain such listing or designation for quotation (as the case may be) of all the Warrant Shares from time to time issuable under the terms of the Transaction Documents on such national securities exchange or automated quotation system. The Company shall maintain the shares of Common Stock’ listing or authorization for quotation (as the case may be) on the Principal Market, the New York Stock Exchange, the NYSE American, the Nasdaq Global Select Market or the Nasdaq Global Market (each, an “</w:t>
      </w:r>
      <w:r>
        <w:rPr>
          <w:rFonts w:ascii="Times New Roman" w:cs="Times New Roman" w:eastAsia="Times New Roman" w:hAnsi="Times New Roman"/>
          <w:sz w:val="20"/>
          <w:szCs w:val="20"/>
          <w:b w:val="1"/>
          <w:bCs w:val="1"/>
          <w:color w:val="auto"/>
        </w:rPr>
        <w:t>Eligible Market</w:t>
      </w:r>
      <w:r>
        <w:rPr>
          <w:rFonts w:ascii="Times New Roman" w:cs="Times New Roman" w:eastAsia="Times New Roman" w:hAnsi="Times New Roman"/>
          <w:sz w:val="20"/>
          <w:szCs w:val="20"/>
          <w:color w:val="auto"/>
        </w:rPr>
        <w:t>”). Neither the Company nor any of its Subsidiaries shall take any action which could be reasonably expected to result in the delisting or suspension of the shares of Common Stock on an Eligible Market. The Company shall pay all fees and expenses in connection with satisfying its obligations under this Clause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2" w:name="page63"/>
    <w:bookmarkEnd w:id="62"/>
    <w:p>
      <w:pPr>
        <w:jc w:val="both"/>
        <w:ind w:left="-757" w:firstLine="757"/>
        <w:spacing w:after="0" w:line="254" w:lineRule="auto"/>
        <w:tabs>
          <w:tab w:leader="none" w:pos="26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Company shall, on the date of this Agreement, reimburse the Holder’s documented and out-of-pocket legal costs and expenses incurred in connection with the drafting and negotiation of this Agreement and the Warrant, as well as the sale of the Securities to the Holder.</w:t>
      </w:r>
    </w:p>
    <w:p>
      <w:pPr>
        <w:spacing w:after="0" w:line="174" w:lineRule="exact"/>
        <w:rPr>
          <w:rFonts w:ascii="Times New Roman" w:cs="Times New Roman" w:eastAsia="Times New Roman" w:hAnsi="Times New Roman"/>
          <w:sz w:val="20"/>
          <w:szCs w:val="20"/>
          <w:color w:val="auto"/>
        </w:rPr>
      </w:pPr>
    </w:p>
    <w:p>
      <w:pPr>
        <w:jc w:val="both"/>
        <w:ind w:left="-757" w:firstLine="757"/>
        <w:spacing w:after="0" w:line="243" w:lineRule="auto"/>
        <w:tabs>
          <w:tab w:leader="none" w:pos="26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Pledge of Securities</w:t>
      </w:r>
      <w:r>
        <w:rPr>
          <w:rFonts w:ascii="Times New Roman" w:cs="Times New Roman" w:eastAsia="Times New Roman" w:hAnsi="Times New Roman"/>
          <w:sz w:val="20"/>
          <w:szCs w:val="20"/>
          <w:color w:val="auto"/>
        </w:rPr>
        <w:t>. Notwithstanding anything to the contrary contained in this Agreement, the Company acknowledges and agrees that the Securities may be pledged by the Holder in connection with a bona fide margin agreement or other loan or financing arrangement that is secured by the Securities. The pledge of Securities shall not be deemed to be a transfer, sale or assignment of the Securities hereunder, and the Holder effecting a pledge of Securities shall be required to provide the Company with any notice thereof or otherwise make any delivery to the Company pursuant to this Agreement or the Warrant, including, without limitation, the representation of the Holder in Section 2(g) of Annex 1 hereof (the “</w:t>
      </w:r>
      <w:r>
        <w:rPr>
          <w:rFonts w:ascii="Times New Roman" w:cs="Times New Roman" w:eastAsia="Times New Roman" w:hAnsi="Times New Roman"/>
          <w:sz w:val="20"/>
          <w:szCs w:val="20"/>
          <w:b w:val="1"/>
          <w:bCs w:val="1"/>
          <w:color w:val="auto"/>
        </w:rPr>
        <w:t>Holder Transfer Representation</w:t>
      </w:r>
      <w:r>
        <w:rPr>
          <w:rFonts w:ascii="Times New Roman" w:cs="Times New Roman" w:eastAsia="Times New Roman" w:hAnsi="Times New Roman"/>
          <w:sz w:val="20"/>
          <w:szCs w:val="20"/>
          <w:color w:val="auto"/>
        </w:rPr>
        <w:t>”); provided that the Holder and its pledgee shall be required to comply with the provisions of the Holder Transfer Representation hereof in order to effect a sale, transfer or assignment of Securities to such pledgee. The Company hereby agrees to execute and deliver such documentation as a pledgee of the Securities may reasonably request in connection with a pledge of the Securities to such pledgee by the Holder.</w:t>
      </w:r>
    </w:p>
    <w:p>
      <w:pPr>
        <w:spacing w:after="0" w:line="185"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261"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Disclosure of Transaction and Other Material Information</w:t>
      </w:r>
      <w:r>
        <w:rPr>
          <w:rFonts w:ascii="Times New Roman" w:cs="Times New Roman" w:eastAsia="Times New Roman" w:hAnsi="Times New Roman"/>
          <w:sz w:val="19"/>
          <w:szCs w:val="19"/>
          <w:color w:val="auto"/>
        </w:rPr>
        <w:t>. The Company shall, on or before 9:30 a.m., New York time, on the date that is four business days following the Effective Date, file a Current Report on Form 8-K describing all the material terms of the transactions contemplated by the Transaction Documents in the form required by the Exchange Act and attaching all the material Transaction Documents (including, without limitation, this Agreement and the form of the Warrant) (including all attachments, the “</w:t>
      </w:r>
      <w:r>
        <w:rPr>
          <w:rFonts w:ascii="Times New Roman" w:cs="Times New Roman" w:eastAsia="Times New Roman" w:hAnsi="Times New Roman"/>
          <w:sz w:val="19"/>
          <w:szCs w:val="19"/>
          <w:b w:val="1"/>
          <w:bCs w:val="1"/>
          <w:color w:val="auto"/>
        </w:rPr>
        <w:t>8-K Filing</w:t>
      </w:r>
      <w:r>
        <w:rPr>
          <w:rFonts w:ascii="Times New Roman" w:cs="Times New Roman" w:eastAsia="Times New Roman" w:hAnsi="Times New Roman"/>
          <w:sz w:val="19"/>
          <w:szCs w:val="19"/>
          <w:color w:val="auto"/>
        </w:rPr>
        <w:t>”). From and after the filing of the 8-K Filing, the Company shall have disclosed all material, non-public information (if any) provided to any of the Holder by the Company or any of its Subsidiaries or any of their respective officers, directors, employees or agents in connection with the transactions contemplated by the Transaction Documents. In addition, effective upon the filing of the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Holder or any of their affiliates, on the other hand, shall terminate. The Company shall not, and the Company shall cause each of its Subsidiaries and each of its and their respective officers, directors, employees and agents not to, provide the Holder with any material, non-public information regarding the Company or any of its Subsidiaries from and after the date hereof without the express prior written consent of the Holder (which may be granted or withheld in the Holder’s sole discretion). In the event of a breach of any of the foregoing covenants, or any of the covenants or agreements contained in any other Transaction Document, by the Company, any of its Subsidiaries, or any of its or their respective officers, directors, employees and agents (as determined in the reasonable good faith judgment of the Holder), in addition to any other remedy provided herein or in the Transaction Documents, the Holder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The Holder shall not have any liability to the Company, any of its Subsidiaries, or any of its or their respective officers, directors, employees, affiliates, shareholder or agents, for any such disclosure. To the extent that the Company delivers any material, non-public information to the Holder without the Holder’s consent, the Company hereby covenants and agrees that the Holder shall not have any duty of confidentiality with respect to, or a duty not to trade on the basis of, such material, non-public information. Without the prior written consent of the Holder (which may be granted or withheld in the Holder’s sole discretion), the Company shall not (and shall cause each of its Subsidiaries and affiliates to not) disclose the name of the Holder in any filing, announcement, release or otherwise, unless required by applicable law or regulations. Notwithstanding anything contained in this Agreement to the contrary and without implication that the contrary would otherwise be true, the Company expressly acknowledges and agrees that the Holder shall not have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1163320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20"/>
          <w:szCs w:val="20"/>
          <w:color w:val="auto"/>
        </w:rPr>
        <w:t>expressly agreed to by a the Holder after the date hereof in a written definitive and binding agreement executed by the Company and the Holder), any duty of confidentiality with respect to, or a duty not to trade on the basis of, any material, non-public information regarding the Company or any of its Subsidiaries.</w:t>
      </w:r>
    </w:p>
    <w:p>
      <w:pPr>
        <w:spacing w:after="0" w:line="174" w:lineRule="exact"/>
        <w:rPr>
          <w:sz w:val="20"/>
          <w:szCs w:val="20"/>
          <w:color w:val="auto"/>
        </w:rPr>
      </w:pPr>
    </w:p>
    <w:p>
      <w:pPr>
        <w:jc w:val="both"/>
        <w:ind w:firstLine="757"/>
        <w:spacing w:after="0" w:line="242"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Shares</w:t>
      </w:r>
      <w:r>
        <w:rPr>
          <w:rFonts w:ascii="Times New Roman" w:cs="Times New Roman" w:eastAsia="Times New Roman" w:hAnsi="Times New Roman"/>
          <w:sz w:val="20"/>
          <w:szCs w:val="20"/>
          <w:color w:val="auto"/>
        </w:rPr>
        <w:t>. So long as the Warrant remains outstanding, the Company shall take all action necessary to at all times have authorized, and reserved for the purpose of issuance, no less than 100% of the maximum number of Warrant Shares issuable upon exercise of the Warrant (without regard to any limitations on the exercise of the Warrant set forth therein) (collectively, the “</w:t>
      </w:r>
      <w:r>
        <w:rPr>
          <w:rFonts w:ascii="Times New Roman" w:cs="Times New Roman" w:eastAsia="Times New Roman" w:hAnsi="Times New Roman"/>
          <w:sz w:val="20"/>
          <w:szCs w:val="20"/>
          <w:b w:val="1"/>
          <w:bCs w:val="1"/>
          <w:color w:val="auto"/>
        </w:rPr>
        <w:t>Required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Reserve Amount</w:t>
      </w:r>
      <w:r>
        <w:rPr>
          <w:rFonts w:ascii="Times New Roman" w:cs="Times New Roman" w:eastAsia="Times New Roman" w:hAnsi="Times New Roman"/>
          <w:sz w:val="20"/>
          <w:szCs w:val="20"/>
          <w:color w:val="auto"/>
        </w:rPr>
        <w:t>”); provided that at no time shall the number of shares of Common Stock reserved pursuant to this clause (h) be reduced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proportionally in connection with any exercise and/or redemption, as applicable of Warrant.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shareholders to authorize additional shares to meet the Company’s obligations pursuant to the Transaction Documents, in the case of an insufficient number of authorized shares, obtain shareholder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The business of the Company and its Subsidiaries shall not be conducted in violation of any law, ordinance or regulation of any Governmental Entity (as defined below), except where such violations would not reasonably be expected to result, either individually or in the aggregate, in a Material Adverse Effect.</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Passive Foreign Investment Company</w:t>
      </w:r>
      <w:r>
        <w:rPr>
          <w:rFonts w:ascii="Times New Roman" w:cs="Times New Roman" w:eastAsia="Times New Roman" w:hAnsi="Times New Roman"/>
          <w:sz w:val="20"/>
          <w:szCs w:val="20"/>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Existence</w:t>
      </w:r>
      <w:r>
        <w:rPr>
          <w:rFonts w:ascii="Times New Roman" w:cs="Times New Roman" w:eastAsia="Times New Roman" w:hAnsi="Times New Roman"/>
          <w:sz w:val="20"/>
          <w:szCs w:val="20"/>
          <w:color w:val="auto"/>
        </w:rPr>
        <w:t>. So long as the Holder beneficially owns the Warrant, the Company shall not be party to any Fundamental Transaction unless the Company is in compliance with the applicable provisions governing Fundamental Transactions set forth in the Warrant.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Procedures</w:t>
      </w:r>
      <w:r>
        <w:rPr>
          <w:rFonts w:ascii="Times New Roman" w:cs="Times New Roman" w:eastAsia="Times New Roman" w:hAnsi="Times New Roman"/>
          <w:sz w:val="20"/>
          <w:szCs w:val="20"/>
          <w:color w:val="auto"/>
        </w:rPr>
        <w:t>. The form of Exercise Notice (as defined in the Warrant) included in the Warrant sets forth the totality of the procedures required of the Holder in order to exercise the Warrant. Except as provided in clause (t) below, no additional legal opinion, other information or instructions shall be required of the Holder to exercise the Warrant. The Company shall honor exercises of the Warrant and shall deliver the Warrant Shares in accordance with the terms, conditions and time periods set forth in the Warrant.</w:t>
      </w:r>
    </w:p>
    <w:p>
      <w:pPr>
        <w:spacing w:after="0" w:line="180"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Regulation M</w:t>
      </w:r>
      <w:r>
        <w:rPr>
          <w:rFonts w:ascii="Times New Roman" w:cs="Times New Roman" w:eastAsia="Times New Roman" w:hAnsi="Times New Roman"/>
          <w:sz w:val="20"/>
          <w:szCs w:val="20"/>
          <w:color w:val="auto"/>
        </w:rPr>
        <w:t>. The Company will not take any action prohibited by Regulation M under the Exchange Act in connection with the distribution of the Securities contemplated hereby.</w:t>
      </w:r>
    </w:p>
    <w:p>
      <w:pPr>
        <w:spacing w:after="0" w:line="159" w:lineRule="exact"/>
        <w:rPr>
          <w:sz w:val="20"/>
          <w:szCs w:val="20"/>
          <w:color w:val="auto"/>
        </w:rPr>
      </w:pPr>
    </w:p>
    <w:p>
      <w:pPr>
        <w:jc w:val="both"/>
        <w:ind w:firstLine="757"/>
        <w:spacing w:after="0" w:line="245"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shareholder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both"/>
        <w:ind w:left="-757" w:firstLine="757"/>
        <w:spacing w:after="0" w:line="246" w:lineRule="auto"/>
        <w:tabs>
          <w:tab w:leader="none" w:pos="26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Company shall maintain at its principal executive offices (or such other office or agency of the Company as it may designate by notice to each holder of Securities), a register for the Warrant in which the Company shall record the name and address of the Person in whose name the Warrant have been issued (including the name and address of each transferee) and the number of Warrant Shares issuable upon exercise of the Warrant held by such Person. The Company shall keep the register open and available at all times during business hours for inspection of the Holder or its legal representatives.</w:t>
      </w:r>
    </w:p>
    <w:p>
      <w:pPr>
        <w:spacing w:after="0" w:line="184" w:lineRule="exact"/>
        <w:rPr>
          <w:rFonts w:ascii="Times New Roman" w:cs="Times New Roman" w:eastAsia="Times New Roman" w:hAnsi="Times New Roman"/>
          <w:sz w:val="20"/>
          <w:szCs w:val="20"/>
          <w:color w:val="auto"/>
        </w:rPr>
      </w:pPr>
    </w:p>
    <w:p>
      <w:pPr>
        <w:jc w:val="both"/>
        <w:ind w:left="-757" w:firstLine="757"/>
        <w:spacing w:after="0" w:line="241" w:lineRule="auto"/>
        <w:tabs>
          <w:tab w:leader="none" w:pos="26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Agent Instructions</w:t>
      </w:r>
      <w:r>
        <w:rPr>
          <w:rFonts w:ascii="Times New Roman" w:cs="Times New Roman" w:eastAsia="Times New Roman" w:hAnsi="Times New Roman"/>
          <w:sz w:val="20"/>
          <w:szCs w:val="20"/>
          <w:color w:val="auto"/>
        </w:rPr>
        <w:t>. The Company shall issue a treasury direction to its transfer agent and any subsequent transfer agent (as applicable, the “</w:t>
      </w:r>
      <w:r>
        <w:rPr>
          <w:rFonts w:ascii="Times New Roman" w:cs="Times New Roman" w:eastAsia="Times New Roman" w:hAnsi="Times New Roman"/>
          <w:sz w:val="20"/>
          <w:szCs w:val="20"/>
          <w:b w:val="1"/>
          <w:bCs w:val="1"/>
          <w:color w:val="auto"/>
        </w:rPr>
        <w:t>Transfer Agent</w:t>
      </w:r>
      <w:r>
        <w:rPr>
          <w:rFonts w:ascii="Times New Roman" w:cs="Times New Roman" w:eastAsia="Times New Roman" w:hAnsi="Times New Roman"/>
          <w:sz w:val="20"/>
          <w:szCs w:val="20"/>
          <w:color w:val="auto"/>
        </w:rPr>
        <w:t>”) to issue certificates or credit shares to the applicable balance accounts at The Depository Trust Company (“</w:t>
      </w:r>
      <w:r>
        <w:rPr>
          <w:rFonts w:ascii="Times New Roman" w:cs="Times New Roman" w:eastAsia="Times New Roman" w:hAnsi="Times New Roman"/>
          <w:sz w:val="20"/>
          <w:szCs w:val="20"/>
          <w:b w:val="1"/>
          <w:bCs w:val="1"/>
          <w:color w:val="auto"/>
        </w:rPr>
        <w:t>DTC</w:t>
      </w:r>
      <w:r>
        <w:rPr>
          <w:rFonts w:ascii="Times New Roman" w:cs="Times New Roman" w:eastAsia="Times New Roman" w:hAnsi="Times New Roman"/>
          <w:sz w:val="20"/>
          <w:szCs w:val="20"/>
          <w:color w:val="auto"/>
        </w:rPr>
        <w:t>”), registered in the name of the Holder or its respective nominee(s), for the Warrant Shares in such amounts as specified from time to time by the Holder to the Company upon the exercise of the Warrant (as the case may be). The Company represents and warrants that the Securities shall otherwise be freely transferable on the books and records of the Company, as applicable, to the extent provided in this Agreement, the other Transaction Documents and in accordance with applicable law. If the Holder effects a sale, assignment or transfer of the Securities in accordance with the Holder Transfer Representation, the Company shall permit the transfer and shall promptly instruct its transfer agent to issue one or more certificates or credit shares to the applicable balance accounts at DTC in such name and in such denominations as specified by the Holder to effect such sale, transfer or assignment. In the event that such sale, assignment or transfer involves Warrant Shares sold, assigned or transferred pursuant to an effective registration statement or in compliance with Rule 144 or Regulation S, the Transfer Agent shall issue such shares to the Holder, assignee or transferee (as the case may be) without any restrictive legend in accordance with clause (t) below. The Company acknowledges that a breach by it of its obligations hereunder will cause irreparable harm to the Holder. Accordingly, the Company acknowledges that the remedy at law for a breach of its obligations under this clause (p) will be inadequate and agrees, in the event of a breach or threatened breach by the Company of the provisions of this clause (p), that the Holder shall be entitled, in addition to all other available remedies, to an order and/or injunction restraining any breach and requiring immediate issuance and transfer, without the necessity of showing economic loss and without any bond or other security being required. Any fees (with respect to the transfer agent, counsel to the Company or otherwise) associated with the issuance of such opinion or the removal of any legends on any of the Securities shall be borne by the Company.</w:t>
      </w:r>
    </w:p>
    <w:p>
      <w:pPr>
        <w:spacing w:after="0" w:line="190"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26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The Holder understands that the Securities have been issued (or will be issued in the case of the Warrant Shares) pursuant to an exemption from registration or qualification under the 1933 Act and applicable state securities laws, and except as set forth below, the Securities shall bear any legend as required by the “blue sky” laws of any state and shall bear a restrictive legend in substantially the following form (and a stop-transfer order may be placed against transfer of such share certificates):</w:t>
      </w:r>
    </w:p>
    <w:p>
      <w:pPr>
        <w:spacing w:after="0" w:line="180" w:lineRule="exact"/>
        <w:rPr>
          <w:sz w:val="20"/>
          <w:szCs w:val="20"/>
          <w:color w:val="auto"/>
        </w:rPr>
      </w:pPr>
    </w:p>
    <w:p>
      <w:pPr>
        <w:jc w:val="both"/>
        <w:ind w:left="3" w:right="740"/>
        <w:spacing w:after="0" w:line="242" w:lineRule="auto"/>
        <w:rPr>
          <w:sz w:val="20"/>
          <w:szCs w:val="20"/>
          <w:color w:val="auto"/>
        </w:rPr>
      </w:pPr>
      <w:r>
        <w:rPr>
          <w:rFonts w:ascii="Times New Roman" w:cs="Times New Roman" w:eastAsia="Times New Roman" w:hAnsi="Times New Roman"/>
          <w:sz w:val="20"/>
          <w:szCs w:val="20"/>
          <w:color w:val="auto"/>
        </w:rPr>
        <w:t>NEITHER THE ISSUANCE AND SALE OF THE SECURITIES REPRESENTED BY THIS CERTIFICATE [NOR THE SECURITIES INTO WHICH THESE SECURITIES ARE EXERCISABLE HAVE BEEN] [HAS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1015365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65" w:name="page66"/>
    <w:bookmarkEnd w:id="65"/>
    <w:p>
      <w:pPr>
        <w:ind w:left="760"/>
        <w:spacing w:after="0"/>
        <w:rPr>
          <w:sz w:val="20"/>
          <w:szCs w:val="20"/>
          <w:color w:val="auto"/>
        </w:rPr>
      </w:pPr>
      <w:r>
        <w:rPr>
          <w:rFonts w:ascii="Times New Roman" w:cs="Times New Roman" w:eastAsia="Times New Roman" w:hAnsi="Times New Roman"/>
          <w:sz w:val="20"/>
          <w:szCs w:val="20"/>
          <w:color w:val="auto"/>
        </w:rPr>
        <w:t>ACCOUNT OR OTHER LOAN OR FINANCING ARRANGEMENT SECURED BY THE SECURITIES.</w:t>
      </w:r>
    </w:p>
    <w:p>
      <w:pPr>
        <w:spacing w:after="0" w:line="216" w:lineRule="exact"/>
        <w:rPr>
          <w:sz w:val="20"/>
          <w:szCs w:val="20"/>
          <w:color w:val="auto"/>
        </w:rPr>
      </w:pPr>
    </w:p>
    <w:p>
      <w:pPr>
        <w:jc w:val="both"/>
        <w:ind w:firstLine="757"/>
        <w:spacing w:after="0"/>
        <w:tabs>
          <w:tab w:leader="none" w:pos="101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Removal of Legends</w:t>
      </w:r>
      <w:r>
        <w:rPr>
          <w:rFonts w:ascii="Times New Roman" w:cs="Times New Roman" w:eastAsia="Times New Roman" w:hAnsi="Times New Roman"/>
          <w:sz w:val="20"/>
          <w:szCs w:val="20"/>
          <w:color w:val="auto"/>
        </w:rPr>
        <w:t>. Certificates evidencing Securities shall not be required to contain the legend set forth in clause (q) above or any other legend, (i) following any sale of such Securities pursuant to a registration statement (including a Registration Statement) covering the resale of such Securities is effective under the 1933 Act, (ii) following any sale of such Securities pursuant to Rule 144 (assuming the transferor is not an affiliate of the Company), (iii) if such Securities are eligible to be sold, assigned or transferred under Rule 144 (provided that a Holder provides the Company with reasonable assurances that such Securities are eligible for sale, assignment or transfer under Rule 144 which shall not include an opinion of Holder’s counsel), (iv) in connection with a sale, assignment or other transfer (other than under Rule 144), provided that the Holder provides the Company with an opinion of counsel to the Holder, in a generally acceptable form, to the effect that such sale, assignment or transfer of the Securities may be made without registration under the applicable requirements of the 1933 Act or (v) if, in the reasonable determination of the Company and its legal counsel, such legend is not required under applicable requirements of the 1933 Act (including, without limitation, controlling judicial interpretations and pronouncements issued by the SEC). If a legend is not required pursuant to the foregoing, the Company shall no later than one (1) Trading Day (or such earlier date as required pursuant to the 1934 Act or other applicable law, rule or regulation for the settlement of a trade initiated on the date the Holder delivers such legended certificate representing such Securities to the Company) following the delivery by a Holder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the Holder as may be required above in this clause (r), as directed by the Holder, either: (A) provided that the Company’s transfer agent is participating in the DTC Fast Automated Securities Transfer Program (“</w:t>
      </w:r>
      <w:r>
        <w:rPr>
          <w:rFonts w:ascii="Times New Roman" w:cs="Times New Roman" w:eastAsia="Times New Roman" w:hAnsi="Times New Roman"/>
          <w:sz w:val="20"/>
          <w:szCs w:val="20"/>
          <w:b w:val="1"/>
          <w:bCs w:val="1"/>
          <w:color w:val="auto"/>
        </w:rPr>
        <w:t>FAST</w:t>
      </w:r>
      <w:r>
        <w:rPr>
          <w:rFonts w:ascii="Times New Roman" w:cs="Times New Roman" w:eastAsia="Times New Roman" w:hAnsi="Times New Roman"/>
          <w:sz w:val="20"/>
          <w:szCs w:val="20"/>
          <w:color w:val="auto"/>
        </w:rPr>
        <w:t>”) and such Securities are Warrant Shares, credit the aggregate number of shares of Common Stock to which the Holder shall be entitled to the Holder’s or its designee’s balance account with DTC through its Deposit/Withdrawal at Custodian system or (B) if the Company’s transfer agent is not participating in FAST, issue and deliver (via reputable overnight courier) to the Holder, a certificate representing such Securities that is free from all restrictive and other legends, registered in the name of the Holder or its designee (the date by which such credit is so required to be made to the balance account of the Holder’s or the Holder’s designee with DTC or such certificate is required to be delivered to the Holder pursuant to the foregoing is referred to herein as the “</w:t>
      </w:r>
      <w:r>
        <w:rPr>
          <w:rFonts w:ascii="Times New Roman" w:cs="Times New Roman" w:eastAsia="Times New Roman" w:hAnsi="Times New Roman"/>
          <w:sz w:val="20"/>
          <w:szCs w:val="20"/>
          <w:b w:val="1"/>
          <w:bCs w:val="1"/>
          <w:color w:val="auto"/>
        </w:rPr>
        <w:t>Required Delivery Date</w:t>
      </w:r>
      <w:r>
        <w:rPr>
          <w:rFonts w:ascii="Times New Roman" w:cs="Times New Roman" w:eastAsia="Times New Roman" w:hAnsi="Times New Roman"/>
          <w:sz w:val="20"/>
          <w:szCs w:val="20"/>
          <w:color w:val="auto"/>
        </w:rPr>
        <w:t>”, and the date such shares of Common Stock are actually delivered without restrictive legend to the Holder or the Holder’s designee with DTC, as applicable, the “</w:t>
      </w:r>
      <w:r>
        <w:rPr>
          <w:rFonts w:ascii="Times New Roman" w:cs="Times New Roman" w:eastAsia="Times New Roman" w:hAnsi="Times New Roman"/>
          <w:sz w:val="20"/>
          <w:szCs w:val="20"/>
          <w:b w:val="1"/>
          <w:bCs w:val="1"/>
          <w:color w:val="auto"/>
        </w:rPr>
        <w:t>Share Delivery Date</w:t>
      </w:r>
      <w:r>
        <w:rPr>
          <w:rFonts w:ascii="Times New Roman" w:cs="Times New Roman" w:eastAsia="Times New Roman" w:hAnsi="Times New Roman"/>
          <w:sz w:val="20"/>
          <w:szCs w:val="20"/>
          <w:color w:val="auto"/>
        </w:rPr>
        <w:t>”). The Company shall be responsible for any transfer agent fees or DTC fees with respect to any issuance of Securities or the removal of any legends with respect to any Securities in accordance herewith.</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If the Company fails, for any reason or for no reason, to issue and deliver (or cause to be delivered) to the Holder (or its designee) by the Required Delivery Date, either (I) if the Transfer Agent is not participating in the DTC Fast Automated Securities Transfer Program, a certificate for the number of Warrant Shares to which the Holder is entitled and register such Warrant Shares on the Company’s share register or, if the Transfer Agent is participating in the DTC Fast Automated Securities Transfer Program and the Required Unrestricted Conditions are satisfied, to credit the balance account of the Holder or the Holder’s designee with DTC for such number of Warrant Shares submitted for legend removal by the Holder pursuant hereto or (II) if the Registration Statement covering the resale of the Warrant Shares submitted for legend removal by the Holder pursuant hereto (the “</w:t>
      </w:r>
      <w:r>
        <w:rPr>
          <w:rFonts w:ascii="Times New Roman" w:cs="Times New Roman" w:eastAsia="Times New Roman" w:hAnsi="Times New Roman"/>
          <w:sz w:val="20"/>
          <w:szCs w:val="20"/>
          <w:b w:val="1"/>
          <w:bCs w:val="1"/>
          <w:color w:val="auto"/>
        </w:rPr>
        <w:t>Unavailable Shares</w:t>
      </w:r>
      <w:r>
        <w:rPr>
          <w:rFonts w:ascii="Times New Roman" w:cs="Times New Roman" w:eastAsia="Times New Roman" w:hAnsi="Times New Roman"/>
          <w:sz w:val="20"/>
          <w:szCs w:val="20"/>
          <w:color w:val="auto"/>
        </w:rPr>
        <w:t>”) is not available for the resale of such Unavailable Shares and the Company fails to promptly, but in no event later than as required pursuant to clause (v) below (x) so notify the Holder and (y) deliver the Warrant Shares electronically without any restrictive legend by crediting such aggregate number of Warrant Shares submitted for legend removal by the Holder pursuant hereto to the Holder’s or its designee’s balance account with DTC through its Deposit/Withdrawal At Custodian system (the event described in the immediately foregoing clause (II) is hereinafter referred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both"/>
        <w:spacing w:after="0"/>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Notice Failure</w:t>
      </w:r>
      <w:r>
        <w:rPr>
          <w:rFonts w:ascii="Times New Roman" w:cs="Times New Roman" w:eastAsia="Times New Roman" w:hAnsi="Times New Roman"/>
          <w:sz w:val="20"/>
          <w:szCs w:val="20"/>
          <w:color w:val="auto"/>
        </w:rPr>
        <w:t>” and together with the event described in clause (I) above, a “</w:t>
      </w:r>
      <w:r>
        <w:rPr>
          <w:rFonts w:ascii="Times New Roman" w:cs="Times New Roman" w:eastAsia="Times New Roman" w:hAnsi="Times New Roman"/>
          <w:sz w:val="20"/>
          <w:szCs w:val="20"/>
          <w:b w:val="1"/>
          <w:bCs w:val="1"/>
          <w:color w:val="auto"/>
        </w:rPr>
        <w:t>Delivery Failure</w:t>
      </w:r>
      <w:r>
        <w:rPr>
          <w:rFonts w:ascii="Times New Roman" w:cs="Times New Roman" w:eastAsia="Times New Roman" w:hAnsi="Times New Roman"/>
          <w:sz w:val="20"/>
          <w:szCs w:val="20"/>
          <w:color w:val="auto"/>
        </w:rPr>
        <w:t>”), then, in addition to all other remedies available to the Holder, the Company shall pay in cash to the Holder on each day after the Share Delivery Date and during such Delivery Failure an amount equal to 1% of the product of (A) the sum of the number of shares of Common Stock not issued to the Holder on or prior to the Required Delivery Date and to which the Holder is entitled, and (B) any trading price of the shares of Common Stock selected by the Holder in writing as in effect at any time during the period beginning on the date of the delivery by the Holder to the Company of the applicable Warrant Shares and ending on the applicable Share Delivery Date. In addition to the foregoing, if on or prior to the Required Delivery Date either (I) if the Transfer Agent is not participating in the DTC Fast Automated Securities Transfer Program, the Company shall fail to issue and deliver a certificate to the Holder and register such shares of Common Stock on the Company’s share register or, if the Transfer Agent is participating in the DTC Fast Automated Securities Transfer Program, credit the balance account of the Holder or the Holder’s designee with DTC for the number of shares of Common Stock to which the Holder submitted for legend removal by the Holder pursuant hereto or (II) a Notice Failure occurs, and if on or after such Trading Day the Holder purchases (in an open market transaction or otherwise) shares of Common Stock to deliver in satisfaction of a sale by the Holder of shares of Common Stock submitted for legend removal by the Holder pursuant hereto that the Holder is entitled to receive from the Company (a “</w:t>
      </w:r>
      <w:r>
        <w:rPr>
          <w:rFonts w:ascii="Times New Roman" w:cs="Times New Roman" w:eastAsia="Times New Roman" w:hAnsi="Times New Roman"/>
          <w:sz w:val="20"/>
          <w:szCs w:val="20"/>
          <w:b w:val="1"/>
          <w:bCs w:val="1"/>
          <w:color w:val="auto"/>
        </w:rPr>
        <w:t>Buy-In</w:t>
      </w:r>
      <w:r>
        <w:rPr>
          <w:rFonts w:ascii="Times New Roman" w:cs="Times New Roman" w:eastAsia="Times New Roman" w:hAnsi="Times New Roman"/>
          <w:sz w:val="20"/>
          <w:szCs w:val="20"/>
          <w:color w:val="auto"/>
        </w:rPr>
        <w:t>”), then the Company shall, within one (1) Trading Day after the Holder’s request and in the Holder’s discretion, either (i) pay cash to the Holder in an amount equal to the Holder’s total purchase price (including brokerage commissions and other out-of-pocket expenses, if any, for the shares of Common Stock so purchased) (the “</w:t>
      </w:r>
      <w:r>
        <w:rPr>
          <w:rFonts w:ascii="Times New Roman" w:cs="Times New Roman" w:eastAsia="Times New Roman" w:hAnsi="Times New Roman"/>
          <w:sz w:val="20"/>
          <w:szCs w:val="20"/>
          <w:b w:val="1"/>
          <w:bCs w:val="1"/>
          <w:color w:val="auto"/>
        </w:rPr>
        <w:t>Buy-In Price</w:t>
      </w:r>
      <w:r>
        <w:rPr>
          <w:rFonts w:ascii="Times New Roman" w:cs="Times New Roman" w:eastAsia="Times New Roman" w:hAnsi="Times New Roman"/>
          <w:sz w:val="20"/>
          <w:szCs w:val="20"/>
          <w:color w:val="auto"/>
        </w:rPr>
        <w:t>”), at which point the Company’s obligation to so deliver such certificate or credit the Holder’s balance account shall terminate and such shares shall be cancelled, or (ii) promptly honor its obligation to so deliver to the Holder a certificate or certificates or credit the balance account of the Holder or the Holder’s designee with DTC representing such number of shares of Common Stock that would have been so delivered if the Company timely complied with its obligations hereunder and pay cash to the Holder in an amount equal to the excess (if any) of the Buy-In Price over the product of (A) such number of Warrant Shares that the Company was required to deliver to the Holder by the Required Delivery Date multiplied by (B) the lowest Closing Sale Price (as defined in the Warrant) of the shares of Common Stock on any Trading Day during the period commencing on the date of the delivery by the Holder to the Company of the applicable Warrant Shares and ending on the date of such delivery and payment under this clause (ii).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clause shall not apply to the Holder the extent the Company has already paid such amounts in full to the Holder with respect to such Notice Failure and/or Delivery Failure, as applicable, pursuant to the analogous sections of the Warrant held by the Holder.</w:t>
      </w:r>
    </w:p>
    <w:p>
      <w:pPr>
        <w:spacing w:after="0" w:line="206" w:lineRule="exact"/>
        <w:rPr>
          <w:sz w:val="20"/>
          <w:szCs w:val="20"/>
          <w:color w:val="auto"/>
        </w:rPr>
      </w:pPr>
    </w:p>
    <w:p>
      <w:pPr>
        <w:ind w:left="1020" w:hanging="263"/>
        <w:spacing w:after="0"/>
        <w:tabs>
          <w:tab w:leader="none" w:pos="1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As soon as practicable (and in any event within the later of (i) 30 calendar days following the date of this Agreement, (ii) 10 days following the date of the filing with the SEC of the Company’s Annual Report on Form 10-K for the year ended December 31, 2025, and (iii) March 31, 2026 (the “</w:t>
      </w:r>
      <w:r>
        <w:rPr>
          <w:rFonts w:ascii="Times New Roman" w:cs="Times New Roman" w:eastAsia="Times New Roman" w:hAnsi="Times New Roman"/>
          <w:sz w:val="20"/>
          <w:szCs w:val="20"/>
          <w:b w:val="1"/>
          <w:bCs w:val="1"/>
          <w:color w:val="auto"/>
        </w:rPr>
        <w:t>Filing Deadline</w:t>
      </w:r>
      <w:r>
        <w:rPr>
          <w:rFonts w:ascii="Times New Roman" w:cs="Times New Roman" w:eastAsia="Times New Roman" w:hAnsi="Times New Roman"/>
          <w:sz w:val="20"/>
          <w:szCs w:val="20"/>
          <w:color w:val="auto"/>
        </w:rPr>
        <w:t>”)), the Company shall file a registration statement on Form S-3 (or Form S-1 if Form S-3 is not available to the Company) providing for the resale by the Holder of the Warrant Shares issued and issuable upon exercise of the Warrant or shall include such Warrant Shares issued and issuable upon exercise of the Warrant in any other registration statement on Form S-3 filed by the Company. The Company shall use reasonable best efforts to cause such registration to become effective within 60 days (or 90 days if subject to a full review by the SEC) (the “</w:t>
      </w:r>
      <w:r>
        <w:rPr>
          <w:rFonts w:ascii="Times New Roman" w:cs="Times New Roman" w:eastAsia="Times New Roman" w:hAnsi="Times New Roman"/>
          <w:sz w:val="20"/>
          <w:szCs w:val="20"/>
          <w:b w:val="1"/>
          <w:bCs w:val="1"/>
          <w:color w:val="auto"/>
        </w:rPr>
        <w:t>Effectiveness Deadline</w:t>
      </w:r>
      <w:r>
        <w:rPr>
          <w:rFonts w:ascii="Times New Roman" w:cs="Times New Roman" w:eastAsia="Times New Roman" w:hAnsi="Times New Roman"/>
          <w:sz w:val="20"/>
          <w:szCs w:val="20"/>
          <w:color w:val="auto"/>
        </w:rPr>
        <w:t>”) following the Filing Deadline and to keep such registration statement effective at all times (except for any periods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7" w:name="page68"/>
    <w:bookmarkEnd w:id="67"/>
    <w:p>
      <w:pPr>
        <w:spacing w:after="0" w:line="269" w:lineRule="auto"/>
        <w:rPr>
          <w:sz w:val="20"/>
          <w:szCs w:val="20"/>
          <w:color w:val="auto"/>
        </w:rPr>
      </w:pPr>
      <w:r>
        <w:rPr>
          <w:rFonts w:ascii="Times New Roman" w:cs="Times New Roman" w:eastAsia="Times New Roman" w:hAnsi="Times New Roman"/>
          <w:sz w:val="20"/>
          <w:szCs w:val="20"/>
          <w:color w:val="auto"/>
        </w:rPr>
        <w:t>with the filing of post-effective amendments as reasonably determined by the Company’s counsel to be required) until the Holder does not own any Warrant or Warrant Shares issuable upon exercise thereof.</w:t>
      </w:r>
    </w:p>
    <w:p>
      <w:pPr>
        <w:spacing w:after="0" w:line="159" w:lineRule="exact"/>
        <w:rPr>
          <w:sz w:val="20"/>
          <w:szCs w:val="20"/>
          <w:color w:val="auto"/>
        </w:rPr>
      </w:pPr>
    </w:p>
    <w:p>
      <w:pPr>
        <w:jc w:val="both"/>
        <w:ind w:firstLine="757"/>
        <w:spacing w:after="0"/>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Failure to File and Obtain and Maintain Effectiveness of any Registration Statement</w:t>
      </w:r>
      <w:r>
        <w:rPr>
          <w:rFonts w:ascii="Times New Roman" w:cs="Times New Roman" w:eastAsia="Times New Roman" w:hAnsi="Times New Roman"/>
          <w:sz w:val="20"/>
          <w:szCs w:val="20"/>
          <w:color w:val="auto"/>
        </w:rPr>
        <w:t>. If (i) a Registration Statement covering the resale of all of the Warrant Shares by the Holder is (A) not filed with the SEC on or before the Filing Deadline for such Registration Statement (a “</w:t>
      </w:r>
      <w:r>
        <w:rPr>
          <w:rFonts w:ascii="Times New Roman" w:cs="Times New Roman" w:eastAsia="Times New Roman" w:hAnsi="Times New Roman"/>
          <w:sz w:val="20"/>
          <w:szCs w:val="20"/>
          <w:b w:val="1"/>
          <w:bCs w:val="1"/>
          <w:color w:val="auto"/>
        </w:rPr>
        <w:t>Filing Failure</w:t>
      </w:r>
      <w:r>
        <w:rPr>
          <w:rFonts w:ascii="Times New Roman" w:cs="Times New Roman" w:eastAsia="Times New Roman" w:hAnsi="Times New Roman"/>
          <w:sz w:val="20"/>
          <w:szCs w:val="20"/>
          <w:color w:val="auto"/>
        </w:rPr>
        <w:t>”) or (B) not declared effective by the SEC on or before the Effectiveness Deadline for such Registration Statement (an “</w:t>
      </w:r>
      <w:r>
        <w:rPr>
          <w:rFonts w:ascii="Times New Roman" w:cs="Times New Roman" w:eastAsia="Times New Roman" w:hAnsi="Times New Roman"/>
          <w:sz w:val="20"/>
          <w:szCs w:val="20"/>
          <w:b w:val="1"/>
          <w:bCs w:val="1"/>
          <w:color w:val="auto"/>
        </w:rPr>
        <w:t>Effectiveness Failure</w:t>
      </w:r>
      <w:r>
        <w:rPr>
          <w:rFonts w:ascii="Times New Roman" w:cs="Times New Roman" w:eastAsia="Times New Roman" w:hAnsi="Times New Roman"/>
          <w:sz w:val="20"/>
          <w:szCs w:val="20"/>
          <w:color w:val="auto"/>
        </w:rPr>
        <w:t>”) (it being understood that if on the Business Day immediately following the Effective Date for such Registration Statement the Company shall not have filed a “final” prospectus for such Registration Statement with the SEC under Rule 424(b) (whether or not such a prospectus is technically required by such rule), the Company shall be deemed to not have satisfied this clause (i)(B) and such event shall be deemed to be an Effectiveness Failure), (ii) other than during an Allowable Grace Period (as defined below), on any day after the effective date of a Registration Statement sales of all of the Warrant Shares required to be included on such Registration Statement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shares of Common Stock on the Principal Market (as defined in the October 2024 Securities Purchase Agreement) or any other limitations imposed by the Principal Market, or a failure to register a sufficient number of shares of Common Stock or by reason of a stop order) or the prospectus contained therein is not available for use for any reason (a “</w:t>
      </w:r>
      <w:r>
        <w:rPr>
          <w:rFonts w:ascii="Times New Roman" w:cs="Times New Roman" w:eastAsia="Times New Roman" w:hAnsi="Times New Roman"/>
          <w:sz w:val="20"/>
          <w:szCs w:val="20"/>
          <w:b w:val="1"/>
          <w:bCs w:val="1"/>
          <w:color w:val="auto"/>
        </w:rPr>
        <w:t>Maintenance Failure</w:t>
      </w:r>
      <w:r>
        <w:rPr>
          <w:rFonts w:ascii="Times New Roman" w:cs="Times New Roman" w:eastAsia="Times New Roman" w:hAnsi="Times New Roman"/>
          <w:sz w:val="20"/>
          <w:szCs w:val="20"/>
          <w:color w:val="auto"/>
        </w:rPr>
        <w:t>”), or (iii) if a Registration Statement is not effective for any reason or the prospectus contained therein is not available for use for any reason (other than as is allowed under this clause (u)),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 w:cs="Times New Roman" w:eastAsia="Times New Roman" w:hAnsi="Times New Roman"/>
          <w:sz w:val="20"/>
          <w:szCs w:val="20"/>
          <w:b w:val="1"/>
          <w:bCs w:val="1"/>
          <w:color w:val="auto"/>
        </w:rPr>
        <w:t>Current Public Information Failure</w:t>
      </w:r>
      <w:r>
        <w:rPr>
          <w:rFonts w:ascii="Times New Roman" w:cs="Times New Roman" w:eastAsia="Times New Roman" w:hAnsi="Times New Roman"/>
          <w:sz w:val="20"/>
          <w:szCs w:val="20"/>
          <w:color w:val="auto"/>
        </w:rPr>
        <w:t>”) as a result of which the Holder is unable to sell Warrant Shares without restriction under Rule 144 (including, without limitation, volume restrictions), then, as partial relief for the damages to any holder by reason of any such delay in, or reduction of, its ability to sell the underlying shares of Common Stock (which remedy shall not be exclusive of any other remedies available at law or in equity, including, without limitation, specific performance), the Company shall pay to each holder of Registrable Securities relating to such Registration Statement an amount in cash equal to one and a half percent (1.5%) of the aggregate exercise price of the Holder’s Warrant (1) on the date of such Filing Failure, Effectiveness Failure, Maintenance Failure or Current Public Information Failure, as applicable, and (2) on every thirty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thirty (30) days). The payments to which a Holder shall be entitled pursuant to this Section (v) are referred to herein as “</w:t>
      </w:r>
      <w:r>
        <w:rPr>
          <w:rFonts w:ascii="Times New Roman" w:cs="Times New Roman" w:eastAsia="Times New Roman" w:hAnsi="Times New Roman"/>
          <w:sz w:val="20"/>
          <w:szCs w:val="20"/>
          <w:b w:val="1"/>
          <w:bCs w:val="1"/>
          <w:color w:val="auto"/>
        </w:rPr>
        <w:t>Registration Delay Payments</w:t>
      </w:r>
      <w:r>
        <w:rPr>
          <w:rFonts w:ascii="Times New Roman" w:cs="Times New Roman" w:eastAsia="Times New Roman" w:hAnsi="Times New Roman"/>
          <w:sz w:val="20"/>
          <w:szCs w:val="20"/>
          <w:color w:val="auto"/>
        </w:rPr>
        <w:t>.”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 shall be made on the third (3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Business Day after such cure. In the event the Company fails to make Registration Delay Payments in a timely manner in accordance with the foregoing, such Registration Delay Payments shall bear interest at the rate of one and a half percent (1.5%) per month (prorated for partial months) until paid in full. Notwithstanding the foregoing, no Registration Delay Payments shall be owed to a Holder (other than with respect to a Maintenance Failure resulting from a suspension or delisting of (or a failure to timely list) the shares of Common Stock on the Principal Market) with respect to any period during which all of the Holder’s Warrant Shares may be sold by the Holder without restriction under Rule 144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spacing w:after="0" w:line="269" w:lineRule="auto"/>
        <w:rPr>
          <w:sz w:val="20"/>
          <w:szCs w:val="20"/>
          <w:color w:val="auto"/>
        </w:rPr>
      </w:pPr>
      <w:r>
        <w:rPr>
          <w:rFonts w:ascii="Times New Roman" w:cs="Times New Roman" w:eastAsia="Times New Roman" w:hAnsi="Times New Roman"/>
          <w:sz w:val="20"/>
          <w:szCs w:val="20"/>
          <w:color w:val="auto"/>
        </w:rPr>
        <w:t>without limitation, volume restrictions) and without the need for current public information required by Rule 144(c)(1) (or Rule 144(i)(2), if applicable).</w:t>
      </w:r>
    </w:p>
    <w:p>
      <w:pPr>
        <w:spacing w:after="0" w:line="159" w:lineRule="exact"/>
        <w:rPr>
          <w:sz w:val="20"/>
          <w:szCs w:val="20"/>
          <w:color w:val="auto"/>
        </w:rPr>
      </w:pPr>
    </w:p>
    <w:p>
      <w:pPr>
        <w:jc w:val="both"/>
        <w:ind w:firstLine="757"/>
        <w:spacing w:after="0" w:line="241"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(but subject to the last sentence of this clause (v),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based on the advice of counsel to the Company, otherwise required (a “</w:t>
      </w:r>
      <w:r>
        <w:rPr>
          <w:rFonts w:ascii="Times New Roman" w:cs="Times New Roman" w:eastAsia="Times New Roman" w:hAnsi="Times New Roman"/>
          <w:sz w:val="20"/>
          <w:szCs w:val="20"/>
          <w:b w:val="1"/>
          <w:bCs w:val="1"/>
          <w:color w:val="auto"/>
        </w:rPr>
        <w:t>Grace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w:t>
      </w:r>
      <w:r>
        <w:rPr>
          <w:rFonts w:ascii="Times New Roman" w:cs="Times New Roman" w:eastAsia="Times New Roman" w:hAnsi="Times New Roman"/>
          <w:sz w:val="20"/>
          <w:szCs w:val="20"/>
          <w:color w:val="auto"/>
        </w:rPr>
        <w:t>”), provided that the Company shall promptly notify the Holder in writing of the (i) existence of material, non-public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rise to a Grace Period (provided that in each such notice the Company shall not disclose the content of such material, non-public information to the Holder)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and (II) the first day of any Grace Period must be at least five (5) Trading Days after the last day of any prior Grace Period (each, an “</w:t>
      </w:r>
      <w:r>
        <w:rPr>
          <w:rFonts w:ascii="Times New Roman" w:cs="Times New Roman" w:eastAsia="Times New Roman" w:hAnsi="Times New Roman"/>
          <w:sz w:val="20"/>
          <w:szCs w:val="20"/>
          <w:b w:val="1"/>
          <w:bCs w:val="1"/>
          <w:color w:val="auto"/>
        </w:rPr>
        <w:t>Allowable Grace Period</w:t>
      </w:r>
      <w:r>
        <w:rPr>
          <w:rFonts w:ascii="Times New Roman" w:cs="Times New Roman" w:eastAsia="Times New Roman" w:hAnsi="Times New Roman"/>
          <w:sz w:val="20"/>
          <w:szCs w:val="20"/>
          <w:color w:val="auto"/>
        </w:rPr>
        <w:t>”). For purposes of determining the length of a Grace Period above, such Grace Period shall begin on and include the date the Holder receives the notice referred to in subclause (i) above and shall end on and include the later of the date the Holder receives the notice referred to in subclause (ii) above and the date referred to in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1018540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04"/>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lvl w:ilvl="1">
      <w:lvlJc w:val="left"/>
      <w:lvlText w:val="(%2)"/>
      <w:numFmt w:val="lowerLetter"/>
      <w:start w:val="1"/>
    </w:lvl>
  </w:abstractNum>
  <w:abstractNum w:abstractNumId="6">
    <w:nsid w:val="5C482A97"/>
    <w:multiLevelType w:val="hybridMultilevel"/>
    <w:lvl w:ilvl="0">
      <w:lvlJc w:val="left"/>
      <w:lvlText w:val="(%1)"/>
      <w:numFmt w:val="decimal"/>
      <w:start w:val="1"/>
    </w:lvl>
    <w:lvl w:ilvl="1">
      <w:lvlJc w:val="left"/>
      <w:lvlText w:val="(%2)"/>
      <w:numFmt w:val="lowerLetter"/>
      <w:start w:val="2"/>
    </w:lvl>
  </w:abstractNum>
  <w:abstractNum w:abstractNumId="7">
    <w:nsid w:val="2463B9EA"/>
    <w:multiLevelType w:val="hybridMultilevel"/>
    <w:lvl w:ilvl="0">
      <w:lvlJc w:val="left"/>
      <w:lvlText w:val="(%1)"/>
      <w:numFmt w:val="lowerLetter"/>
      <w:start w:val="4"/>
    </w:lvl>
  </w:abstractNum>
  <w:abstractNum w:abstractNumId="8">
    <w:nsid w:val="5E884ADC"/>
    <w:multiLevelType w:val="hybridMultilevel"/>
    <w:lvl w:ilvl="0">
      <w:lvlJc w:val="left"/>
      <w:lvlText w:val="(%1)"/>
      <w:numFmt w:val="decimal"/>
      <w:start w:val="88"/>
    </w:lvl>
  </w:abstractNum>
  <w:abstractNum w:abstractNumId="9">
    <w:nsid w:val="51EAD36B"/>
    <w:multiLevelType w:val="hybridMultilevel"/>
    <w:lvl w:ilvl="0">
      <w:lvlJc w:val="left"/>
      <w:lvlText w:val="%1"/>
      <w:numFmt w:val="lowerLetter"/>
      <w:start w:val="1"/>
    </w:lvl>
    <w:lvl w:ilvl="1">
      <w:lvlJc w:val="left"/>
      <w:lvlText w:val="(%2)"/>
      <w:numFmt w:val="lowerLetter"/>
      <w:start w:val="5"/>
    </w:lvl>
  </w:abstractNum>
  <w:abstractNum w:abstractNumId="10">
    <w:nsid w:val="2D517796"/>
    <w:multiLevelType w:val="hybridMultilevel"/>
    <w:lvl w:ilvl="0">
      <w:lvlJc w:val="left"/>
      <w:lvlText w:val="(%1)"/>
      <w:numFmt w:val="lowerLetter"/>
      <w:start w:val="9"/>
    </w:lvl>
    <w:lvl w:ilvl="1">
      <w:lvlJc w:val="left"/>
      <w:lvlText w:val="%2"/>
      <w:numFmt w:val="lowerLetter"/>
      <w:start w:val="1"/>
    </w:lvl>
  </w:abstractNum>
  <w:abstractNum w:abstractNumId="11">
    <w:nsid w:val="580BD78F"/>
    <w:multiLevelType w:val="hybridMultilevel"/>
    <w:lvl w:ilvl="0">
      <w:lvlJc w:val="left"/>
      <w:lvlText w:val="(%1)"/>
      <w:numFmt w:val="lowerLetter"/>
      <w:start w:val="7"/>
    </w:lvl>
    <w:lvl w:ilvl="1">
      <w:lvlJc w:val="left"/>
      <w:lvlText w:val="(%2)"/>
      <w:numFmt w:val="lowerLetter"/>
      <w:start w:val="9"/>
    </w:lvl>
  </w:abstractNum>
  <w:abstractNum w:abstractNumId="12">
    <w:nsid w:val="153EA438"/>
    <w:multiLevelType w:val="hybridMultilevel"/>
    <w:lvl w:ilvl="0">
      <w:lvlJc w:val="left"/>
      <w:lvlText w:val="(%1)"/>
      <w:numFmt w:val="lowerLetter"/>
      <w:start w:val="9"/>
    </w:lvl>
    <w:lvl w:ilvl="1">
      <w:lvlJc w:val="left"/>
      <w:lvlText w:val="%2"/>
      <w:numFmt w:val="lowerLetter"/>
      <w:start w:val="1"/>
    </w:lvl>
  </w:abstractNum>
  <w:abstractNum w:abstractNumId="13">
    <w:nsid w:val="3855585C"/>
    <w:multiLevelType w:val="hybridMultilevel"/>
    <w:lvl w:ilvl="0">
      <w:lvlJc w:val="left"/>
      <w:lvlText w:val="%1"/>
      <w:numFmt w:val="lowerLetter"/>
      <w:start w:val="1"/>
    </w:lvl>
    <w:lvl w:ilvl="1">
      <w:lvlJc w:val="left"/>
      <w:lvlText w:val="(%2)"/>
      <w:numFmt w:val="lowerLetter"/>
      <w:start w:val="35"/>
    </w:lvl>
  </w:abstractNum>
  <w:abstractNum w:abstractNumId="14">
    <w:nsid w:val="70A64E2A"/>
    <w:multiLevelType w:val="hybridMultilevel"/>
    <w:lvl w:ilvl="0">
      <w:lvlJc w:val="left"/>
      <w:lvlText w:val="(%1)"/>
      <w:numFmt w:val="lowerLetter"/>
      <w:start w:val="8"/>
    </w:lvl>
    <w:lvl w:ilvl="1">
      <w:lvlJc w:val="left"/>
      <w:lvlText w:val="%2"/>
      <w:numFmt w:val="lowerLetter"/>
      <w:start w:val="1"/>
    </w:lvl>
  </w:abstractNum>
  <w:abstractNum w:abstractNumId="15">
    <w:nsid w:val="6A2342E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6">
    <w:nsid w:val="2A487CB0"/>
    <w:multiLevelType w:val="hybridMultilevel"/>
    <w:lvl w:ilvl="0">
      <w:lvlJc w:val="left"/>
      <w:lvlText w:val="(%1)"/>
      <w:numFmt w:val="lowerRoman"/>
      <w:start w:val="10"/>
    </w:lvl>
    <w:lvl w:ilvl="1">
      <w:lvlJc w:val="left"/>
      <w:lvlText w:val="(%2)"/>
      <w:numFmt w:val="lowerRoman"/>
      <w:start w:val="2"/>
    </w:lvl>
  </w:abstractNum>
  <w:abstractNum w:abstractNumId="17">
    <w:nsid w:val="1D4ED43B"/>
    <w:multiLevelType w:val="hybridMultilevel"/>
    <w:lvl w:ilvl="0">
      <w:lvlJc w:val="left"/>
      <w:lvlText w:val="(%1)"/>
      <w:numFmt w:val="lowerRoman"/>
      <w:start w:val="3"/>
    </w:lvl>
  </w:abstractNum>
  <w:abstractNum w:abstractNumId="18">
    <w:nsid w:val="725A06FB"/>
    <w:multiLevelType w:val="hybridMultilevel"/>
    <w:lvl w:ilvl="0">
      <w:lvlJc w:val="left"/>
      <w:lvlText w:val="(%1)"/>
      <w:numFmt w:val="decimal"/>
      <w:start w:val="5"/>
    </w:lvl>
  </w:abstractNum>
  <w:abstractNum w:abstractNumId="19">
    <w:nsid w:val="2CD89A32"/>
    <w:multiLevelType w:val="hybridMultilevel"/>
    <w:lvl w:ilvl="0">
      <w:lvlJc w:val="left"/>
      <w:lvlText w:val="(%1)"/>
      <w:numFmt w:val="upperLetter"/>
      <w:start w:val="2"/>
    </w:lvl>
    <w:lvl w:ilvl="1">
      <w:lvlJc w:val="left"/>
      <w:lvlText w:val="(%2)"/>
      <w:numFmt w:val="lowerLetter"/>
      <w:start w:val="4"/>
    </w:lvl>
  </w:abstractNum>
  <w:abstractNum w:abstractNumId="20">
    <w:nsid w:val="57E4CCAF"/>
    <w:multiLevelType w:val="hybridMultilevel"/>
    <w:lvl w:ilvl="0">
      <w:lvlJc w:val="left"/>
      <w:lvlText w:val="%1"/>
      <w:numFmt w:val="decimal"/>
      <w:start w:val="1"/>
    </w:lvl>
    <w:lvl w:ilvl="1">
      <w:lvlJc w:val="left"/>
      <w:lvlText w:val="(%2)"/>
      <w:numFmt w:val="lowerLetter"/>
      <w:start w:val="6"/>
    </w:lvl>
  </w:abstractNum>
  <w:abstractNum w:abstractNumId="21">
    <w:nsid w:val="7A6D8D3C"/>
    <w:multiLevelType w:val="hybridMultilevel"/>
    <w:lvl w:ilvl="0">
      <w:lvlJc w:val="left"/>
      <w:lvlText w:val="%1."/>
      <w:numFmt w:val="decimal"/>
      <w:start w:val="3"/>
    </w:lvl>
    <w:lvl w:ilvl="1">
      <w:lvlJc w:val="left"/>
      <w:lvlText w:val="(%2)"/>
      <w:numFmt w:val="lowerLetter"/>
      <w:start w:val="1"/>
    </w:lvl>
  </w:abstractNum>
  <w:abstractNum w:abstractNumId="22">
    <w:nsid w:val="4B588F54"/>
    <w:multiLevelType w:val="hybridMultilevel"/>
    <w:lvl w:ilvl="0">
      <w:lvlJc w:val="left"/>
      <w:lvlText w:val="(%1)"/>
      <w:numFmt w:val="lowerLetter"/>
      <w:start w:val="2"/>
    </w:lvl>
  </w:abstractNum>
  <w:abstractNum w:abstractNumId="23">
    <w:nsid w:val="542289EC"/>
    <w:multiLevelType w:val="hybridMultilevel"/>
    <w:lvl w:ilvl="0">
      <w:lvlJc w:val="left"/>
      <w:lvlText w:val="%1"/>
      <w:numFmt w:val="decimal"/>
      <w:start w:val="1"/>
    </w:lvl>
    <w:lvl w:ilvl="1">
      <w:lvlJc w:val="left"/>
      <w:lvlText w:val="(%2)"/>
      <w:numFmt w:val="lowerLetter"/>
      <w:start w:val="3"/>
    </w:lvl>
  </w:abstractNum>
  <w:abstractNum w:abstractNumId="24">
    <w:nsid w:val="6DE91B18"/>
    <w:multiLevelType w:val="hybridMultilevel"/>
    <w:lvl w:ilvl="0">
      <w:lvlJc w:val="left"/>
      <w:lvlText w:val="%1."/>
      <w:numFmt w:val="decimal"/>
      <w:start w:val="5"/>
    </w:lvl>
    <w:lvl w:ilvl="1">
      <w:lvlJc w:val="left"/>
      <w:lvlText w:val="%2"/>
      <w:numFmt w:val="lowerLetter"/>
      <w:start w:val="1"/>
    </w:lvl>
  </w:abstractNum>
  <w:abstractNum w:abstractNumId="25">
    <w:nsid w:val="38437FDB"/>
    <w:multiLevelType w:val="hybridMultilevel"/>
    <w:lvl w:ilvl="0">
      <w:lvlJc w:val="left"/>
      <w:lvlText w:val="%1."/>
      <w:numFmt w:val="decimal"/>
      <w:start w:val="6"/>
    </w:lvl>
    <w:lvl w:ilvl="1">
      <w:lvlJc w:val="left"/>
      <w:lvlText w:val="(%2)"/>
      <w:numFmt w:val="lowerLetter"/>
      <w:start w:val="1"/>
    </w:lvl>
  </w:abstractNum>
  <w:abstractNum w:abstractNumId="26">
    <w:nsid w:val="7644A45C"/>
    <w:multiLevelType w:val="hybridMultilevel"/>
    <w:lvl w:ilvl="0">
      <w:lvlJc w:val="left"/>
      <w:lvlText w:val="%1"/>
      <w:numFmt w:val="decimal"/>
      <w:start w:val="1"/>
    </w:lvl>
    <w:lvl w:ilvl="1">
      <w:lvlJc w:val="left"/>
      <w:lvlText w:val="(%2)"/>
      <w:numFmt w:val="lowerLetter"/>
      <w:start w:val="3"/>
    </w:lvl>
  </w:abstractNum>
  <w:abstractNum w:abstractNumId="27">
    <w:nsid w:val="32FFF902"/>
    <w:multiLevelType w:val="hybridMultilevel"/>
    <w:lvl w:ilvl="0">
      <w:lvlJc w:val="left"/>
      <w:lvlText w:val="%1."/>
      <w:numFmt w:val="decimal"/>
      <w:start w:val="8"/>
    </w:lvl>
    <w:lvl w:ilvl="1">
      <w:lvlJc w:val="left"/>
      <w:lvlText w:val="%2"/>
      <w:numFmt w:val="lowerLetter"/>
      <w:start w:val="1"/>
    </w:lvl>
  </w:abstractNum>
  <w:abstractNum w:abstractNumId="28">
    <w:nsid w:val="684A481A"/>
    <w:multiLevelType w:val="hybridMultilevel"/>
    <w:lvl w:ilvl="0">
      <w:lvlJc w:val="left"/>
      <w:lvlText w:val="%1."/>
      <w:numFmt w:val="decimal"/>
      <w:start w:val="9"/>
    </w:lvl>
  </w:abstractNum>
  <w:abstractNum w:abstractNumId="29">
    <w:nsid w:val="579478FE"/>
    <w:multiLevelType w:val="hybridMultilevel"/>
    <w:lvl w:ilvl="0">
      <w:lvlJc w:val="left"/>
      <w:lvlText w:val="%1."/>
      <w:numFmt w:val="decimal"/>
      <w:start w:val="13"/>
    </w:lvl>
  </w:abstractNum>
  <w:abstractNum w:abstractNumId="30">
    <w:nsid w:val="749ABB43"/>
    <w:multiLevelType w:val="hybridMultilevel"/>
    <w:lvl w:ilvl="0">
      <w:lvlJc w:val="left"/>
      <w:lvlText w:val="(%1)"/>
      <w:numFmt w:val="lowerLetter"/>
      <w:start w:val="1"/>
    </w:lvl>
    <w:lvl w:ilvl="1">
      <w:lvlJc w:val="left"/>
      <w:lvlText w:val="(%2)"/>
      <w:numFmt w:val="lowerRoman"/>
      <w:start w:val="1"/>
    </w:lvl>
  </w:abstractNum>
  <w:abstractNum w:abstractNumId="31">
    <w:nsid w:val="3DC240FB"/>
    <w:multiLevelType w:val="hybridMultilevel"/>
    <w:lvl w:ilvl="0">
      <w:lvlJc w:val="left"/>
      <w:lvlText w:val="%1"/>
      <w:numFmt w:val="decimal"/>
      <w:start w:val="1"/>
    </w:lvl>
    <w:lvl w:ilvl="1">
      <w:lvlJc w:val="left"/>
      <w:lvlText w:val="(%2)"/>
      <w:numFmt w:val="lowerLetter"/>
      <w:start w:val="2"/>
    </w:lvl>
  </w:abstractNum>
  <w:abstractNum w:abstractNumId="32">
    <w:nsid w:val="1BA026FA"/>
    <w:multiLevelType w:val="hybridMultilevel"/>
    <w:lvl w:ilvl="0">
      <w:lvlJc w:val="left"/>
      <w:lvlText w:val="%1."/>
      <w:numFmt w:val="decimal"/>
      <w:start w:val="16"/>
    </w:lvl>
    <w:lvl w:ilvl="1">
      <w:lvlJc w:val="left"/>
      <w:lvlText w:val="%2"/>
      <w:numFmt w:val="lowerLetter"/>
      <w:start w:val="1"/>
    </w:lvl>
  </w:abstractNum>
  <w:abstractNum w:abstractNumId="33">
    <w:nsid w:val="79A1DEAA"/>
    <w:multiLevelType w:val="hybridMultilevel"/>
    <w:lvl w:ilvl="0">
      <w:lvlJc w:val="left"/>
      <w:lvlText w:val="%1."/>
      <w:numFmt w:val="decimal"/>
      <w:start w:val="17"/>
    </w:lvl>
    <w:lvl w:ilvl="1">
      <w:lvlJc w:val="left"/>
      <w:lvlText w:val="(%2)"/>
      <w:numFmt w:val="lowerLetter"/>
      <w:start w:val="1"/>
    </w:lvl>
  </w:abstractNum>
  <w:abstractNum w:abstractNumId="34">
    <w:nsid w:val="75C6C33A"/>
    <w:multiLevelType w:val="hybridMultilevel"/>
    <w:lvl w:ilvl="0">
      <w:lvlJc w:val="left"/>
      <w:lvlText w:val="(%1)"/>
      <w:numFmt w:val="lowerLetter"/>
      <w:start w:val="3"/>
    </w:lvl>
  </w:abstractNum>
  <w:abstractNum w:abstractNumId="35">
    <w:nsid w:val="12E685FB"/>
    <w:multiLevelType w:val="hybridMultilevel"/>
    <w:lvl w:ilvl="0">
      <w:lvlJc w:val="left"/>
      <w:lvlText w:val="(%1)"/>
      <w:numFmt w:val="lowerLetter"/>
      <w:start w:val="5"/>
    </w:lvl>
  </w:abstractNum>
  <w:abstractNum w:abstractNumId="36">
    <w:nsid w:val="70C6A529"/>
    <w:multiLevelType w:val="hybridMultilevel"/>
    <w:lvl w:ilvl="0">
      <w:lvlJc w:val="left"/>
      <w:lvlText w:val="(%1)"/>
      <w:numFmt w:val="lowerLetter"/>
      <w:start w:val="9"/>
    </w:lvl>
  </w:abstractNum>
  <w:abstractNum w:abstractNumId="37">
    <w:nsid w:val="520EEDD1"/>
    <w:multiLevelType w:val="hybridMultilevel"/>
    <w:lvl w:ilvl="0">
      <w:lvlJc w:val="left"/>
      <w:lvlText w:val="(%1)"/>
      <w:numFmt w:val="lowerLetter"/>
      <w:start w:val="12"/>
    </w:lvl>
  </w:abstractNum>
  <w:abstractNum w:abstractNumId="38">
    <w:nsid w:val="374A3FE6"/>
    <w:multiLevelType w:val="hybridMultilevel"/>
    <w:lvl w:ilvl="0">
      <w:lvlJc w:val="left"/>
      <w:lvlText w:val="%1"/>
      <w:numFmt w:val="lowerLetter"/>
      <w:start w:val="1"/>
    </w:lvl>
    <w:lvl w:ilvl="1">
      <w:lvlJc w:val="left"/>
      <w:lvlText w:val="(%2)"/>
      <w:numFmt w:val="lowerLetter"/>
      <w:start w:val="18"/>
    </w:lvl>
  </w:abstractNum>
  <w:abstractNum w:abstractNumId="39">
    <w:nsid w:val="4F4EF005"/>
    <w:multiLevelType w:val="hybridMultilevel"/>
    <w:lvl w:ilvl="0">
      <w:lvlJc w:val="left"/>
      <w:lvlText w:val="(%1)"/>
      <w:numFmt w:val="lowerLetter"/>
      <w:start w:val="9"/>
    </w:lvl>
    <w:lvl w:ilvl="1">
      <w:lvlJc w:val="left"/>
      <w:lvlText w:val="%2"/>
      <w:numFmt w:val="lowerLetter"/>
      <w:start w:val="1"/>
    </w:lvl>
  </w:abstractNum>
  <w:abstractNum w:abstractNumId="40">
    <w:nsid w:val="23F9C13C"/>
    <w:multiLevelType w:val="hybridMultilevel"/>
    <w:lvl w:ilvl="0">
      <w:lvlJc w:val="left"/>
      <w:lvlText w:val="(%1)"/>
      <w:numFmt w:val="lowerLetter"/>
      <w:start w:val="19"/>
    </w:lvl>
  </w:abstractNum>
  <w:abstractNum w:abstractNumId="41">
    <w:nsid w:val="649BB77C"/>
    <w:multiLevelType w:val="hybridMultilevel"/>
    <w:lvl w:ilvl="0">
      <w:lvlJc w:val="left"/>
      <w:lvlText w:val="%1."/>
      <w:numFmt w:val="decimal"/>
      <w:start w:val="1"/>
    </w:lvl>
    <w:lvl w:ilvl="1">
      <w:lvlJc w:val="left"/>
      <w:lvlText w:val="☐"/>
      <w:numFmt w:val="bullet"/>
      <w:start w:val="1"/>
    </w:lvl>
  </w:abstractNum>
  <w:abstractNum w:abstractNumId="42">
    <w:nsid w:val="275AC794"/>
    <w:multiLevelType w:val="hybridMultilevel"/>
    <w:lvl w:ilvl="0">
      <w:lvlJc w:val="left"/>
      <w:lvlText w:val="%1."/>
      <w:numFmt w:val="decimal"/>
      <w:start w:val="2"/>
    </w:lvl>
  </w:abstractNum>
  <w:abstractNum w:abstractNumId="43">
    <w:nsid w:val="39386575"/>
    <w:multiLevelType w:val="hybridMultilevel"/>
    <w:lvl w:ilvl="0">
      <w:lvlJc w:val="left"/>
      <w:lvlText w:val="☐"/>
      <w:numFmt w:val="bullet"/>
      <w:start w:val="1"/>
    </w:lvl>
    <w:lvl w:ilvl="1">
      <w:lvlJc w:val="left"/>
      <w:lvlText w:val="☐"/>
      <w:numFmt w:val="bullet"/>
      <w:start w:val="1"/>
    </w:lvl>
  </w:abstractNum>
  <w:abstractNum w:abstractNumId="44">
    <w:nsid w:val="1CF10FD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45">
    <w:nsid w:val="180115BE"/>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Letter"/>
      <w:start w:val="1"/>
    </w:lvl>
  </w:abstractNum>
  <w:abstractNum w:abstractNumId="46">
    <w:nsid w:val="235BA861"/>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47">
    <w:nsid w:val="47398C89"/>
    <w:multiLevelType w:val="hybridMultilevel"/>
    <w:lvl w:ilvl="0">
      <w:lvlJc w:val="left"/>
      <w:lvlText w:val="(%1)"/>
      <w:numFmt w:val="lowerLetter"/>
      <w:start w:val="3"/>
    </w:lvl>
  </w:abstractNum>
  <w:abstractNum w:abstractNumId="48">
    <w:nsid w:val="354FE9F9"/>
    <w:multiLevelType w:val="hybridMultilevel"/>
    <w:lvl w:ilvl="0">
      <w:lvlJc w:val="left"/>
      <w:lvlText w:val="(%1)"/>
      <w:numFmt w:val="lowerLetter"/>
      <w:start w:val="7"/>
    </w:lvl>
  </w:abstractNum>
  <w:abstractNum w:abstractNumId="49">
    <w:nsid w:val="15B5AF5C"/>
    <w:multiLevelType w:val="hybridMultilevel"/>
    <w:lvl w:ilvl="0">
      <w:lvlJc w:val="left"/>
      <w:lvlText w:val="(%1)"/>
      <w:numFmt w:val="lowerLetter"/>
      <w:start w:val="10"/>
    </w:lvl>
  </w:abstractNum>
  <w:abstractNum w:abstractNumId="50">
    <w:nsid w:val="741226BB"/>
    <w:multiLevelType w:val="hybridMultilevel"/>
    <w:lvl w:ilvl="0">
      <w:lvlJc w:val="left"/>
      <w:lvlText w:val="%1."/>
      <w:numFmt w:val="decimal"/>
      <w:start w:val="1"/>
    </w:lvl>
    <w:lvl w:ilvl="1">
      <w:lvlJc w:val="left"/>
      <w:lvlText w:val="(%2)"/>
      <w:numFmt w:val="lowerLetter"/>
      <w:start w:val="1"/>
    </w:lvl>
  </w:abstractNum>
  <w:abstractNum w:abstractNumId="51">
    <w:nsid w:val="D34B6A8"/>
    <w:multiLevelType w:val="hybridMultilevel"/>
    <w:lvl w:ilvl="0">
      <w:lvlJc w:val="left"/>
      <w:lvlText w:val="(%1)"/>
      <w:numFmt w:val="lowerLetter"/>
      <w:start w:val="3"/>
    </w:lvl>
  </w:abstractNum>
  <w:abstractNum w:abstractNumId="52">
    <w:nsid w:val="10233C99"/>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53">
    <w:nsid w:val="3F6AB60F"/>
    <w:multiLevelType w:val="hybridMultilevel"/>
    <w:lvl w:ilvl="0">
      <w:lvlJc w:val="left"/>
      <w:lvlText w:val="(%1)"/>
      <w:numFmt w:val="lowerRoman"/>
      <w:start w:val="4"/>
    </w:lvl>
  </w:abstractNum>
  <w:abstractNum w:abstractNumId="54">
    <w:nsid w:val="61574095"/>
    <w:multiLevelType w:val="hybridMultilevel"/>
    <w:lvl w:ilvl="0">
      <w:lvlJc w:val="left"/>
      <w:lvlText w:val="%1"/>
      <w:numFmt w:val="lowerLetter"/>
      <w:start w:val="1"/>
    </w:lvl>
    <w:lvl w:ilvl="1">
      <w:lvlJc w:val="left"/>
      <w:lvlText w:val="(%2)"/>
      <w:numFmt w:val="lowerLetter"/>
      <w:start w:val="22"/>
    </w:lvl>
  </w:abstractNum>
  <w:abstractNum w:abstractNumId="55">
    <w:nsid w:val="7E0C57B1"/>
    <w:multiLevelType w:val="hybridMultilevel"/>
    <w:lvl w:ilvl="0">
      <w:lvlJc w:val="left"/>
      <w:lvlText w:val="(%1)"/>
      <w:numFmt w:val="lowerLetter"/>
      <w:start w:val="9"/>
    </w:lvl>
    <w:lvl w:ilvl="1">
      <w:lvlJc w:val="left"/>
      <w:lvlText w:val="%2"/>
      <w:numFmt w:val="lowerLetter"/>
      <w:start w:val="1"/>
    </w:lvl>
  </w:abstractNum>
  <w:abstractNum w:abstractNumId="56">
    <w:nsid w:val="77AE35EB"/>
    <w:multiLevelType w:val="hybridMultilevel"/>
    <w:lvl w:ilvl="0">
      <w:lvlJc w:val="left"/>
      <w:lvlText w:val="(%1)"/>
      <w:numFmt w:val="lowerLetter"/>
      <w:start w:val="11"/>
    </w:lvl>
  </w:abstractNum>
  <w:abstractNum w:abstractNumId="57">
    <w:nsid w:val="579BE4F1"/>
    <w:multiLevelType w:val="hybridMultilevel"/>
    <w:lvl w:ilvl="0">
      <w:lvlJc w:val="left"/>
      <w:lvlText w:val="%1."/>
      <w:numFmt w:val="decimal"/>
      <w:start w:val="2"/>
    </w:lvl>
    <w:lvl w:ilvl="1">
      <w:lvlJc w:val="left"/>
      <w:lvlText w:val="(%2)"/>
      <w:numFmt w:val="lowerLetter"/>
      <w:start w:val="1"/>
    </w:lvl>
  </w:abstractNum>
  <w:abstractNum w:abstractNumId="58">
    <w:nsid w:val="310C50B3"/>
    <w:multiLevelType w:val="hybridMultilevel"/>
    <w:lvl w:ilvl="0">
      <w:lvlJc w:val="left"/>
      <w:lvlText w:val="(%1)"/>
      <w:numFmt w:val="lowerLetter"/>
      <w:start w:val="3"/>
    </w:lvl>
  </w:abstractNum>
  <w:abstractNum w:abstractNumId="59">
    <w:nsid w:val="5FF87E05"/>
    <w:multiLevelType w:val="hybridMultilevel"/>
    <w:lvl w:ilvl="0">
      <w:lvlJc w:val="left"/>
      <w:lvlText w:val="(%1)"/>
      <w:numFmt w:val="lowerLetter"/>
      <w:start w:val="8"/>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5"/>
    </w:lvl>
  </w:abstractNum>
  <w:abstractNum w:abstractNumId="62">
    <w:nsid w:val="1DBABF00"/>
    <w:multiLevelType w:val="hybridMultilevel"/>
    <w:lvl w:ilvl="0">
      <w:lvlJc w:val="left"/>
      <w:lvlText w:val="(%1)"/>
      <w:numFmt w:val="lowerLetter"/>
      <w:start w:val="8"/>
    </w:lvl>
  </w:abstractNum>
  <w:abstractNum w:abstractNumId="63">
    <w:nsid w:val="4AD084E9"/>
    <w:multiLevelType w:val="hybridMultilevel"/>
    <w:lvl w:ilvl="0">
      <w:lvlJc w:val="left"/>
      <w:lvlText w:val="(%1)"/>
      <w:numFmt w:val="lowerLetter"/>
      <w:start w:val="14"/>
    </w:lvl>
  </w:abstractNum>
  <w:abstractNum w:abstractNumId="64">
    <w:nsid w:val="1F48EAA1"/>
    <w:multiLevelType w:val="hybridMultilevel"/>
    <w:lvl w:ilvl="0">
      <w:lvlJc w:val="left"/>
      <w:lvlText w:val="(%1)"/>
      <w:numFmt w:val="lowerLetter"/>
      <w:start w:val="15"/>
    </w:lvl>
  </w:abstractNum>
  <w:abstractNum w:abstractNumId="65">
    <w:nsid w:val="1381823A"/>
    <w:multiLevelType w:val="hybridMultilevel"/>
    <w:lvl w:ilvl="0">
      <w:lvlJc w:val="left"/>
      <w:lvlText w:val="(%1)"/>
      <w:numFmt w:val="lowerLetter"/>
      <w:start w:val="18"/>
    </w:lvl>
  </w:abstractNum>
  <w:abstractNum w:abstractNumId="66">
    <w:nsid w:val="5DB70AE5"/>
    <w:multiLevelType w:val="hybridMultilevel"/>
    <w:lvl w:ilvl="0">
      <w:lvlJc w:val="left"/>
      <w:lvlText w:val="(%1)"/>
      <w:numFmt w:val="lowerLetter"/>
      <w:start w:val="19"/>
    </w:lvl>
  </w:abstractNum>
  <w:abstractNum w:abstractNumId="67">
    <w:nsid w:val="100F8FCA"/>
    <w:multiLevelType w:val="hybridMultilevel"/>
    <w:lvl w:ilvl="0">
      <w:lvlJc w:val="left"/>
      <w:lvlText w:val="(%1)"/>
      <w:numFmt w:val="lowerLetter"/>
      <w:start w:val="21"/>
    </w:lvl>
  </w:abstractNum>
  <w:abstractNum w:abstractNumId="68">
    <w:nsid w:val="6590700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20" Type="http://schemas.openxmlformats.org/officeDocument/2006/relationships/hyperlink" Target="https://www.sec.gov/Archives/edgar/data/1820190/000119312526035833/d79855dex31.htm" TargetMode="External"/><Relationship Id="rId34" Type="http://schemas.openxmlformats.org/officeDocument/2006/relationships/hyperlink" Target="https://www.sec.gov/Archives/edgar/data/1820190/000119312526061371/sclx-ex4_1.htm" TargetMode="External"/><Relationship Id="rId35" Type="http://schemas.openxmlformats.org/officeDocument/2006/relationships/hyperlink" Target="https://www.sec.gov/Archives/edgar/data/1820190/000119312526061371/scl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2026-02-23T05:11:02Z</dcterms:created>
  <dcterms:modified xsi:type="dcterms:W3CDTF">2026-02-23T05:11:02Z</dcterms:modified>
</cp:coreProperties>
</file>