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84749d424b5.htm"/>
        <w:bookmarkStart w:id="1" w:name="ksd784749d424b5"/>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(333-276245)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January 11, 2024) </w:t>
      </w:r>
    </w:p>
    <w:p>
      <w:pPr>
        <w:pStyle w:val="TextBody"/>
        <w:bidi w:val="0"/>
        <w:spacing w:before="120" w:after="0"/>
        <w:jc w:val="center"/>
        <w:rPr>
          <w:rFonts w:ascii="Times New Roman" w:hAnsi="Times New Roman"/>
          <w:b/>
          <w:sz w:val="40"/>
        </w:rPr>
      </w:pPr>
      <w:r>
        <w:rPr>
          <w:rFonts w:ascii="Times New Roman" w:hAnsi="Times New Roman"/>
          <w:b/>
          <w:sz w:val="40"/>
        </w:rPr>
        <w:t xml:space="preserve">Scilex Holding Company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19"/>
        </w:rPr>
      </w:pPr>
      <w:r>
        <w:rPr>
          <w:rFonts w:ascii="Times New Roman" w:hAnsi="Times New Roman"/>
          <w:b/>
          <w:sz w:val="19"/>
        </w:rPr>
        <w:t xml:space="preserve">15,000,000 Shares of Common Stock </w:t>
      </w:r>
    </w:p>
    <w:p>
      <w:pPr>
        <w:pStyle w:val="TextBody"/>
        <w:bidi w:val="0"/>
        <w:spacing w:before="120" w:after="0"/>
        <w:jc w:val="center"/>
        <w:rPr>
          <w:rFonts w:ascii="Times New Roman" w:hAnsi="Times New Roman"/>
          <w:b/>
          <w:sz w:val="19"/>
        </w:rPr>
      </w:pPr>
      <w:r>
        <w:rPr>
          <w:rFonts w:ascii="Times New Roman" w:hAnsi="Times New Roman"/>
          <w:b/>
          <w:sz w:val="19"/>
        </w:rPr>
        <w:t xml:space="preserve">Common Warrants to Purchase up to 15,000,000 Shares of Common Stock </w:t>
      </w:r>
    </w:p>
    <w:p>
      <w:pPr>
        <w:pStyle w:val="TextBody"/>
        <w:bidi w:val="0"/>
        <w:spacing w:before="0" w:after="0"/>
        <w:jc w:val="center"/>
        <w:rPr>
          <w:rFonts w:ascii="Times New Roman" w:hAnsi="Times New Roman"/>
          <w:b/>
          <w:sz w:val="19"/>
        </w:rPr>
      </w:pPr>
      <w:r>
        <w:rPr>
          <w:rFonts w:ascii="Times New Roman" w:hAnsi="Times New Roman"/>
          <w:b/>
          <w:sz w:val="19"/>
        </w:rPr>
        <w:t xml:space="preserve">Up to 15,000,000 Shares of Common Stock Underlying the Common Warrants </w:t>
      </w:r>
    </w:p>
    <w:p>
      <w:pPr>
        <w:pStyle w:val="TextBody"/>
        <w:bidi w:val="0"/>
        <w:spacing w:before="120" w:after="0"/>
        <w:jc w:val="center"/>
        <w:rPr>
          <w:rFonts w:ascii="Times New Roman" w:hAnsi="Times New Roman"/>
          <w:b/>
          <w:sz w:val="19"/>
        </w:rPr>
      </w:pPr>
      <w:r>
        <w:rPr>
          <w:rFonts w:ascii="Times New Roman" w:hAnsi="Times New Roman"/>
          <w:b/>
          <w:sz w:val="19"/>
        </w:rPr>
        <w:t xml:space="preserve">Placement Agent Warrants to Purchase up to 1,200,000 Shares of Common Stock </w:t>
      </w:r>
    </w:p>
    <w:p>
      <w:pPr>
        <w:pStyle w:val="TextBody"/>
        <w:bidi w:val="0"/>
        <w:spacing w:before="0" w:after="0"/>
        <w:jc w:val="center"/>
        <w:rPr>
          <w:rFonts w:ascii="Times New Roman" w:hAnsi="Times New Roman"/>
          <w:b/>
          <w:sz w:val="19"/>
        </w:rPr>
      </w:pPr>
      <w:r>
        <w:rPr>
          <w:rFonts w:ascii="Times New Roman" w:hAnsi="Times New Roman"/>
          <w:b/>
          <w:sz w:val="19"/>
        </w:rPr>
        <w:t xml:space="preserve">Up to 1,200,000 Shares of Common Stock Underlying the Placement Agent Warrants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18"/>
        </w:rPr>
      </w:pPr>
      <w:r>
        <w:rPr>
          <w:rFonts w:ascii="Times New Roman" w:hAnsi="Times New Roman"/>
          <w:sz w:val="18"/>
        </w:rPr>
        <w:t xml:space="preserve">We are offering (i) 15,000,000 shares of our common stock, $0.0001 par value per share, and (ii) warrants to purchase up to 15,000,000 shares of our common stock (the Common Warrants) directly to certain accredited investors and qualified institutional buyers pursuant to this prospectus supplement and the accompanying base prospectus and a securities purchase agreement (the Securities Purchase Agreement), dated as of April 23, 2024. The combined offering price per share of common stock and accompanying Common Warrant is $1.00. </w:t>
      </w:r>
    </w:p>
    <w:p>
      <w:pPr>
        <w:pStyle w:val="TextBody"/>
        <w:bidi w:val="0"/>
        <w:spacing w:before="120" w:after="0"/>
        <w:jc w:val="left"/>
        <w:rPr>
          <w:rFonts w:ascii="Times New Roman" w:hAnsi="Times New Roman"/>
          <w:sz w:val="18"/>
        </w:rPr>
      </w:pPr>
      <w:r>
        <w:rPr>
          <w:rFonts w:ascii="Times New Roman" w:hAnsi="Times New Roman"/>
          <w:sz w:val="18"/>
        </w:rPr>
        <w:t xml:space="preserve">The Common Warrants will have an exercise price of $1.10 per share of common stock and will become exercisable on the six month anniversary of the date of issuance and will expire five years from the date of issuance. The shares of our common stock issuable from time to time upon exercise of the Common Warrants are also being offered pursuant to this prospectus supplement and the accompanying base prospectus. </w:t>
      </w:r>
    </w:p>
    <w:p>
      <w:pPr>
        <w:pStyle w:val="TextBody"/>
        <w:bidi w:val="0"/>
        <w:spacing w:before="120" w:after="0"/>
        <w:jc w:val="left"/>
        <w:rPr>
          <w:rFonts w:ascii="Times New Roman" w:hAnsi="Times New Roman"/>
          <w:sz w:val="18"/>
        </w:rPr>
      </w:pPr>
      <w:r>
        <w:rPr>
          <w:rFonts w:ascii="Times New Roman" w:hAnsi="Times New Roman"/>
          <w:sz w:val="18"/>
        </w:rPr>
        <w:t xml:space="preserve">Our common stock and certain warrants outstanding prior to this offering are listed on the Nasdaq Capital Market under the symbols SCLX and SCLXW, respectively. On April 23, 2024, the last reported sale price of our common stock on the Nasdaq Capital Market was $0.98 per share and the closing price of our listed warrants was $0.29 per warrant. There is no established public trading market for the Common Warrants, and we do not expect a market to develop. We do not intend to list the Common Warrants on the Nasdaq Capital Market, any other national securities exchange or any other nationally recognized trading system. Without an active trading market, the liquidity of the Common Warrants will be limited. </w:t>
      </w:r>
    </w:p>
    <w:p>
      <w:pPr>
        <w:pStyle w:val="TextBody"/>
        <w:bidi w:val="0"/>
        <w:spacing w:before="120" w:after="0"/>
        <w:jc w:val="left"/>
        <w:rPr>
          <w:rFonts w:ascii="Times New Roman" w:hAnsi="Times New Roman"/>
          <w:sz w:val="18"/>
        </w:rPr>
      </w:pPr>
      <w:r>
        <w:rPr>
          <w:rFonts w:ascii="Times New Roman" w:hAnsi="Times New Roman"/>
          <w:sz w:val="18"/>
        </w:rPr>
        <w:t xml:space="preserve">StockBlock Securities LLC and its affiliate, Rodman &amp; Renshaw LLC, have agreed to serve as exclusive placement agents (the Placement Agents) in connection with this offering. We have agreed to pay the Placement Agents a fee in cash equal to 8.0% of the aggregate gross proceeds received by us from the sale of shares of common stock and the Common Warrants in this offering. We have also agreed to issue to the Placement Agents or their respective designees warrants, substantially in the form of the Common Warrants, to purchase up to 1,200,000 shares of Common Stock (the Placement Agent Warrants), representing up to 8.0% of the total number of shares of common stock issued in this offering. The Placement Agent Warrants will have an exercise price of $1.25 per share (which represents 125% of the combined offering price per share of common stock and the Common Warrant sold in this offering) and will become exercisable on the six month anniversary of the date of issuance and expire on April 23, 2029. We are also registering pursuant to this prospectus supplement and the accompanying prospectus the Placement Agent Warrants and shares of common stock issuable upon exercise of the Placement Agent Warrants. We have also agreed to pay the Placement Agents for certain expenses incurred in connection with this offering, including their legal fees and out-of-pocket expenses, up to $100,000 and $15,950 for clearing expenses. See Plan of Distribution beginning on page S-22 of this prospectus supplement for more information. </w:t>
      </w:r>
    </w:p>
    <w:p>
      <w:pPr>
        <w:pStyle w:val="TextBody"/>
        <w:bidi w:val="0"/>
        <w:spacing w:before="120" w:after="0"/>
        <w:jc w:val="left"/>
        <w:rPr>
          <w:rFonts w:ascii="Times New Roman" w:hAnsi="Times New Roman"/>
          <w:sz w:val="18"/>
        </w:rPr>
      </w:pPr>
      <w:r>
        <w:rPr>
          <w:rFonts w:ascii="Times New Roman" w:hAnsi="Times New Roman"/>
          <w:sz w:val="18"/>
        </w:rPr>
        <w:t xml:space="preserve">We are an emerging growth company as that term is used in the Jumpstart Our Business Startups Act of 2012 and as such, are subject to reduced public company disclosure standards for this prospectus supplement, the accompanying prospectus and our filings with the Securities and Exchange Commission. See Prospectus Supplement SummaryImplications of Being an Emerging Growth Company. </w:t>
      </w:r>
    </w:p>
    <w:p>
      <w:pPr>
        <w:pStyle w:val="TextBody"/>
        <w:bidi w:val="0"/>
        <w:spacing w:before="120" w:after="0"/>
        <w:jc w:val="left"/>
        <w:rPr/>
      </w:pPr>
      <w:r>
        <w:rPr>
          <w:rFonts w:ascii="Times New Roman" w:hAnsi="Times New Roman"/>
          <w:b/>
          <w:sz w:val="18"/>
        </w:rPr>
        <w:t>Investing in our securities involves a high degree of risk. See </w:t>
      </w:r>
      <w:hyperlink w:anchor="supp784749_3">
        <w:r>
          <w:rPr>
            <w:rStyle w:val="InternetLink"/>
            <w:rFonts w:ascii="Times New Roman" w:hAnsi="Times New Roman"/>
            <w:b/>
            <w:sz w:val="18"/>
          </w:rPr>
          <w:t>Risk Factors</w:t>
        </w:r>
      </w:hyperlink>
      <w:r>
        <w:rPr>
          <w:rFonts w:ascii="Times New Roman" w:hAnsi="Times New Roman"/>
          <w:b/>
          <w:sz w:val="18"/>
        </w:rPr>
        <w:t xml:space="preserve"> beginning on page S-9 of this prospectus supplement and under similar headings in the documents incorporated by reference into this prospectus supplement for a discussion of certain risks you should consider before investing in our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268"/>
        <w:gridCol w:w="595"/>
        <w:gridCol w:w="689"/>
        <w:gridCol w:w="2219"/>
        <w:gridCol w:w="60"/>
        <w:gridCol w:w="595"/>
        <w:gridCol w:w="140"/>
        <w:gridCol w:w="1125"/>
        <w:gridCol w:w="64"/>
      </w:tblGrid>
      <w:tr>
        <w:trPr/>
        <w:tc>
          <w:tcPr>
            <w:tcW w:w="2268"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2908" w:type="dxa"/>
            <w:gridSpan w:val="2"/>
            <w:tcBorders/>
            <w:vAlign w:val="bottom"/>
          </w:tcPr>
          <w:p>
            <w:pPr>
              <w:pStyle w:val="TableContents"/>
              <w:bidi w:val="0"/>
              <w:spacing w:before="0" w:after="283"/>
              <w:jc w:val="center"/>
              <w:rPr>
                <w:i/>
              </w:rPr>
            </w:pPr>
            <w:r>
              <w:rPr>
                <w:i/>
              </w:rPr>
              <w:t>Per Share and accompanying</w:t>
              <w:br/>
              <w:t>Common Warrant</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center"/>
              <w:rPr>
                <w:i/>
              </w:rPr>
            </w:pPr>
            <w:r>
              <w:rPr>
                <w:i/>
              </w:rPr>
              <w:t>Total</w:t>
            </w:r>
          </w:p>
        </w:tc>
        <w:tc>
          <w:tcPr>
            <w:tcW w:w="64" w:type="dxa"/>
            <w:tcBorders/>
            <w:vAlign w:val="bottom"/>
          </w:tcPr>
          <w:p>
            <w:pPr>
              <w:pStyle w:val="TableContents"/>
              <w:bidi w:val="0"/>
              <w:spacing w:before="0" w:after="283"/>
              <w:jc w:val="left"/>
              <w:rPr/>
            </w:pPr>
            <w:r>
              <w:rPr/>
              <w:t> </w:t>
            </w:r>
          </w:p>
        </w:tc>
      </w:tr>
      <w:tr>
        <w:trPr/>
        <w:tc>
          <w:tcPr>
            <w:tcW w:w="226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Combined offering price</w:t>
            </w:r>
          </w:p>
        </w:tc>
        <w:tc>
          <w:tcPr>
            <w:tcW w:w="595"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left"/>
              <w:rPr/>
            </w:pPr>
            <w:r>
              <w:rPr/>
              <w:t>$</w:t>
            </w:r>
          </w:p>
        </w:tc>
        <w:tc>
          <w:tcPr>
            <w:tcW w:w="221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5" w:type="dxa"/>
            <w:tcBorders/>
            <w:shd w:fill="CCEEFF" w:val="clear"/>
            <w:vAlign w:val="bottom"/>
          </w:tcPr>
          <w:p>
            <w:pPr>
              <w:pStyle w:val="TableContents"/>
              <w:bidi w:val="0"/>
              <w:spacing w:before="0" w:after="283"/>
              <w:jc w:val="right"/>
              <w:rPr/>
            </w:pPr>
            <w:r>
              <w:rPr/>
              <w:t>15,000,000</w:t>
            </w:r>
          </w:p>
        </w:tc>
        <w:tc>
          <w:tcPr>
            <w:tcW w:w="64" w:type="dxa"/>
            <w:tcBorders/>
            <w:shd w:fill="CCEEFF" w:val="clear"/>
            <w:vAlign w:val="bottom"/>
          </w:tcPr>
          <w:p>
            <w:pPr>
              <w:pStyle w:val="TableContents"/>
              <w:bidi w:val="0"/>
              <w:spacing w:before="0" w:after="283"/>
              <w:jc w:val="left"/>
              <w:rPr/>
            </w:pPr>
            <w:r>
              <w:rPr/>
              <w:t> </w:t>
            </w:r>
          </w:p>
        </w:tc>
      </w:tr>
      <w:tr>
        <w:trPr/>
        <w:tc>
          <w:tcPr>
            <w:tcW w:w="2268" w:type="dxa"/>
            <w:tcBorders/>
          </w:tcPr>
          <w:p>
            <w:pPr>
              <w:pStyle w:val="TableContents"/>
              <w:bidi w:val="0"/>
              <w:spacing w:before="0" w:after="0"/>
              <w:jc w:val="left"/>
              <w:rPr>
                <w:rFonts w:ascii="Times New Roman" w:hAnsi="Times New Roman"/>
                <w:sz w:val="18"/>
              </w:rPr>
            </w:pPr>
            <w:r>
              <w:rPr>
                <w:rFonts w:ascii="Times New Roman" w:hAnsi="Times New Roman"/>
                <w:sz w:val="18"/>
              </w:rPr>
              <w:t>Placement Agents fee(1)</w:t>
            </w:r>
          </w:p>
        </w:tc>
        <w:tc>
          <w:tcPr>
            <w:tcW w:w="595"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left"/>
              <w:rPr/>
            </w:pPr>
            <w:r>
              <w:rPr/>
              <w:t>$</w:t>
            </w:r>
          </w:p>
        </w:tc>
        <w:tc>
          <w:tcPr>
            <w:tcW w:w="2219" w:type="dxa"/>
            <w:tcBorders/>
            <w:vAlign w:val="bottom"/>
          </w:tcPr>
          <w:p>
            <w:pPr>
              <w:pStyle w:val="TableContents"/>
              <w:bidi w:val="0"/>
              <w:spacing w:before="0" w:after="283"/>
              <w:jc w:val="right"/>
              <w:rPr/>
            </w:pPr>
            <w:r>
              <w:rPr/>
              <w:t>0.08</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5" w:type="dxa"/>
            <w:tcBorders/>
            <w:vAlign w:val="bottom"/>
          </w:tcPr>
          <w:p>
            <w:pPr>
              <w:pStyle w:val="TableContents"/>
              <w:bidi w:val="0"/>
              <w:spacing w:before="0" w:after="283"/>
              <w:jc w:val="right"/>
              <w:rPr/>
            </w:pPr>
            <w:r>
              <w:rPr/>
              <w:t>1,200,000</w:t>
            </w:r>
          </w:p>
        </w:tc>
        <w:tc>
          <w:tcPr>
            <w:tcW w:w="64" w:type="dxa"/>
            <w:tcBorders/>
            <w:vAlign w:val="bottom"/>
          </w:tcPr>
          <w:p>
            <w:pPr>
              <w:pStyle w:val="TableContents"/>
              <w:bidi w:val="0"/>
              <w:spacing w:before="0" w:after="283"/>
              <w:jc w:val="left"/>
              <w:rPr/>
            </w:pPr>
            <w:r>
              <w:rPr/>
              <w:t> </w:t>
            </w:r>
          </w:p>
        </w:tc>
      </w:tr>
      <w:tr>
        <w:trPr/>
        <w:tc>
          <w:tcPr>
            <w:tcW w:w="226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to us before expenses(2)</w:t>
            </w:r>
          </w:p>
        </w:tc>
        <w:tc>
          <w:tcPr>
            <w:tcW w:w="595"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left"/>
              <w:rPr/>
            </w:pPr>
            <w:r>
              <w:rPr/>
              <w:t>$</w:t>
            </w:r>
          </w:p>
        </w:tc>
        <w:tc>
          <w:tcPr>
            <w:tcW w:w="2219" w:type="dxa"/>
            <w:tcBorders/>
            <w:shd w:fill="CCEEFF" w:val="clear"/>
            <w:vAlign w:val="bottom"/>
          </w:tcPr>
          <w:p>
            <w:pPr>
              <w:pStyle w:val="TableContents"/>
              <w:bidi w:val="0"/>
              <w:spacing w:before="0" w:after="283"/>
              <w:jc w:val="right"/>
              <w:rPr/>
            </w:pPr>
            <w:r>
              <w:rPr/>
              <w:t>0.92</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5" w:type="dxa"/>
            <w:tcBorders/>
            <w:shd w:fill="CCEEFF" w:val="clear"/>
            <w:vAlign w:val="bottom"/>
          </w:tcPr>
          <w:p>
            <w:pPr>
              <w:pStyle w:val="TableContents"/>
              <w:bidi w:val="0"/>
              <w:spacing w:before="0" w:after="283"/>
              <w:jc w:val="right"/>
              <w:rPr/>
            </w:pPr>
            <w:r>
              <w:rPr/>
              <w:t>13,800,000</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fee payable to the Placement Agents will be comprised of (i) a cash fee equal to 8.0% of the aggregate gross proceeds received by us from the sale of shares of common stock and the Common Warrants in this offering and (ii) Placement Agent Warrants to purchase up to 1,200,000 shares of common stock. We have also agreed to reimburse the Placement Agents for certain expenses incurred in connection with this offering, including their legal fees and out-of-pocket expenses, up to $100,000 and $15,950 for clearing expenses. See Plan of Distribution beginning on page S-22 of this prospectus supplement for more information.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amount of the offering proceeds to us presented in this table does not give effect to the exercise, if any, of the Common Warrants being issued in this offering. </w:t>
            </w:r>
          </w:p>
        </w:tc>
      </w:tr>
    </w:tbl>
    <w:p>
      <w:pPr>
        <w:pStyle w:val="TextBody"/>
        <w:bidi w:val="0"/>
        <w:spacing w:before="120" w:after="0"/>
        <w:jc w:val="left"/>
        <w:rPr>
          <w:rFonts w:ascii="Times New Roman" w:hAnsi="Times New Roman"/>
          <w:sz w:val="18"/>
        </w:rPr>
      </w:pPr>
      <w:r>
        <w:rPr>
          <w:rFonts w:ascii="Times New Roman" w:hAnsi="Times New Roman"/>
          <w:b/>
          <w:sz w:val="18"/>
        </w:rPr>
        <w:t>Neither the Securities and Exchange Commission nor any state securities commission has approved or disapproved of these securities or determined if this prospectus supplement is truthful or complete. Any representation to the contrary is a criminal offense.</w:t>
      </w:r>
      <w:r>
        <w:rPr>
          <w:rFonts w:ascii="Times New Roman" w:hAnsi="Times New Roman"/>
          <w:sz w:val="18"/>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1"/>
        <w:gridCol w:w="5002"/>
      </w:tblGrid>
      <w:tr>
        <w:trPr/>
        <w:tc>
          <w:tcPr>
            <w:tcW w:w="510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b/>
              </w:rPr>
            </w:pPr>
            <w:r>
              <w:rPr>
                <w:b/>
              </w:rPr>
              <w:t>Rodman &amp; Renshaw LLC</w:t>
            </w:r>
          </w:p>
        </w:tc>
        <w:tc>
          <w:tcPr>
            <w:tcW w:w="101"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right"/>
              <w:rPr>
                <w:b/>
              </w:rPr>
            </w:pPr>
            <w:r>
              <w:rPr>
                <w:b/>
              </w:rPr>
              <w:t>StockBlock Securities LLC</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The date of this prospectus supplement is April 23,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91"/>
        <w:gridCol w:w="222"/>
        <w:gridCol w:w="60"/>
        <w:gridCol w:w="470"/>
        <w:gridCol w:w="62"/>
      </w:tblGrid>
      <w:tr>
        <w:trPr/>
        <w:tc>
          <w:tcPr>
            <w:tcW w:w="9391"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91" w:type="dxa"/>
            <w:tcBorders/>
            <w:vAlign w:val="bottom"/>
          </w:tcPr>
          <w:p>
            <w:pPr>
              <w:pStyle w:val="TableContents"/>
              <w:bidi w:val="0"/>
              <w:spacing w:before="0" w:after="283"/>
              <w:jc w:val="left"/>
              <w:rPr>
                <w:b/>
              </w:rPr>
            </w:pPr>
            <w:r>
              <w:rPr>
                <w:b/>
              </w:rPr>
              <w:t>PROSPECTUS SUPPLEMENT</w:t>
            </w:r>
          </w:p>
        </w:tc>
        <w:tc>
          <w:tcPr>
            <w:tcW w:w="222"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91" w:type="dxa"/>
            <w:tcBorders/>
          </w:tcPr>
          <w:p>
            <w:pPr>
              <w:pStyle w:val="TableContents"/>
              <w:bidi w:val="0"/>
              <w:spacing w:before="0" w:after="0"/>
              <w:jc w:val="left"/>
              <w:rPr/>
            </w:pPr>
            <w:hyperlink w:anchor="supp784749_1">
              <w:r>
                <w:rPr>
                  <w:rStyle w:val="InternetLink"/>
                  <w:rFonts w:ascii="Times New Roman" w:hAnsi="Times New Roman"/>
                  <w:sz w:val="20"/>
                </w:rPr>
                <w:t>ABOUT THIS PROSPECTUS SUPPLEMENT</w:t>
              </w:r>
            </w:hyperlink>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391" w:type="dxa"/>
            <w:tcBorders/>
          </w:tcPr>
          <w:p>
            <w:pPr>
              <w:pStyle w:val="TableContents"/>
              <w:bidi w:val="0"/>
              <w:spacing w:before="0" w:after="0"/>
              <w:jc w:val="left"/>
              <w:rPr/>
            </w:pPr>
            <w:hyperlink w:anchor="supp784749_2">
              <w:r>
                <w:rPr>
                  <w:rStyle w:val="InternetLink"/>
                  <w:rFonts w:ascii="Times New Roman" w:hAnsi="Times New Roman"/>
                  <w:sz w:val="20"/>
                </w:rPr>
                <w:t>PROSPECTUS SUPPLEMENT SUMMARY</w:t>
              </w:r>
            </w:hyperlink>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391" w:type="dxa"/>
            <w:tcBorders/>
          </w:tcPr>
          <w:p>
            <w:pPr>
              <w:pStyle w:val="TableContents"/>
              <w:bidi w:val="0"/>
              <w:spacing w:before="0" w:after="0"/>
              <w:jc w:val="left"/>
              <w:rPr/>
            </w:pPr>
            <w:hyperlink w:anchor="supp784749_3">
              <w:r>
                <w:rPr>
                  <w:rStyle w:val="InternetLink"/>
                  <w:rFonts w:ascii="Times New Roman" w:hAnsi="Times New Roman"/>
                  <w:sz w:val="20"/>
                </w:rPr>
                <w:t>RISK FACTORS</w:t>
              </w:r>
            </w:hyperlink>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391" w:type="dxa"/>
            <w:tcBorders/>
          </w:tcPr>
          <w:p>
            <w:pPr>
              <w:pStyle w:val="TableContents"/>
              <w:bidi w:val="0"/>
              <w:spacing w:before="0" w:after="0"/>
              <w:jc w:val="left"/>
              <w:rPr/>
            </w:pPr>
            <w:hyperlink w:anchor="supp784749_4">
              <w:r>
                <w:rPr>
                  <w:rStyle w:val="InternetLink"/>
                  <w:rFonts w:ascii="Times New Roman" w:hAnsi="Times New Roman"/>
                  <w:sz w:val="20"/>
                </w:rPr>
                <w:t>CAUTIONARY NOTE REGARDING FORWARD-LOOKING STATEMENTS</w:t>
              </w:r>
            </w:hyperlink>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391" w:type="dxa"/>
            <w:tcBorders/>
          </w:tcPr>
          <w:p>
            <w:pPr>
              <w:pStyle w:val="TableContents"/>
              <w:bidi w:val="0"/>
              <w:spacing w:before="0" w:after="0"/>
              <w:jc w:val="left"/>
              <w:rPr/>
            </w:pPr>
            <w:hyperlink w:anchor="supp784749_5">
              <w:r>
                <w:rPr>
                  <w:rStyle w:val="InternetLink"/>
                  <w:rFonts w:ascii="Times New Roman" w:hAnsi="Times New Roman"/>
                  <w:sz w:val="20"/>
                </w:rPr>
                <w:t>MARKET AND INDUSTRY DATA</w:t>
              </w:r>
            </w:hyperlink>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391" w:type="dxa"/>
            <w:tcBorders/>
          </w:tcPr>
          <w:p>
            <w:pPr>
              <w:pStyle w:val="TableContents"/>
              <w:bidi w:val="0"/>
              <w:spacing w:before="0" w:after="0"/>
              <w:jc w:val="left"/>
              <w:rPr/>
            </w:pPr>
            <w:hyperlink w:anchor="supp784749_6">
              <w:r>
                <w:rPr>
                  <w:rStyle w:val="InternetLink"/>
                  <w:rFonts w:ascii="Times New Roman" w:hAnsi="Times New Roman"/>
                  <w:sz w:val="20"/>
                </w:rPr>
                <w:t>USE OF PROCEEDS</w:t>
              </w:r>
            </w:hyperlink>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391" w:type="dxa"/>
            <w:tcBorders/>
          </w:tcPr>
          <w:p>
            <w:pPr>
              <w:pStyle w:val="TableContents"/>
              <w:bidi w:val="0"/>
              <w:spacing w:before="0" w:after="0"/>
              <w:jc w:val="left"/>
              <w:rPr/>
            </w:pPr>
            <w:hyperlink w:anchor="supp784749_7">
              <w:r>
                <w:rPr>
                  <w:rStyle w:val="InternetLink"/>
                  <w:rFonts w:ascii="Times New Roman" w:hAnsi="Times New Roman"/>
                  <w:sz w:val="20"/>
                </w:rPr>
                <w:t>DIVIDEND POLICY</w:t>
              </w:r>
            </w:hyperlink>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391" w:type="dxa"/>
            <w:tcBorders/>
          </w:tcPr>
          <w:p>
            <w:pPr>
              <w:pStyle w:val="TableContents"/>
              <w:bidi w:val="0"/>
              <w:spacing w:before="0" w:after="0"/>
              <w:jc w:val="left"/>
              <w:rPr/>
            </w:pPr>
            <w:hyperlink w:anchor="supp784749_9">
              <w:r>
                <w:rPr>
                  <w:rStyle w:val="InternetLink"/>
                  <w:rFonts w:ascii="Times New Roman" w:hAnsi="Times New Roman"/>
                  <w:sz w:val="20"/>
                </w:rPr>
                <w:t>DILUTION</w:t>
              </w:r>
            </w:hyperlink>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391" w:type="dxa"/>
            <w:tcBorders/>
          </w:tcPr>
          <w:p>
            <w:pPr>
              <w:pStyle w:val="TableContents"/>
              <w:bidi w:val="0"/>
              <w:spacing w:before="0" w:after="0"/>
              <w:jc w:val="left"/>
              <w:rPr/>
            </w:pPr>
            <w:hyperlink w:anchor="supp784749_10">
              <w:r>
                <w:rPr>
                  <w:rStyle w:val="InternetLink"/>
                  <w:rFonts w:ascii="Times New Roman" w:hAnsi="Times New Roman"/>
                  <w:sz w:val="20"/>
                </w:rPr>
                <w:t>DESCRIPTION OF SECURITIES OFFERED</w:t>
              </w:r>
            </w:hyperlink>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391" w:type="dxa"/>
            <w:tcBorders/>
          </w:tcPr>
          <w:p>
            <w:pPr>
              <w:pStyle w:val="TableContents"/>
              <w:bidi w:val="0"/>
              <w:spacing w:before="0" w:after="0"/>
              <w:jc w:val="left"/>
              <w:rPr/>
            </w:pPr>
            <w:hyperlink w:anchor="supp784749_11a">
              <w:r>
                <w:rPr>
                  <w:rStyle w:val="InternetLink"/>
                  <w:rFonts w:ascii="Times New Roman" w:hAnsi="Times New Roman"/>
                  <w:sz w:val="20"/>
                </w:rPr>
                <w:t xml:space="preserve">PLAN OF DISTRIBUTION </w:t>
              </w:r>
            </w:hyperlink>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391" w:type="dxa"/>
            <w:tcBorders/>
          </w:tcPr>
          <w:p>
            <w:pPr>
              <w:pStyle w:val="TableContents"/>
              <w:bidi w:val="0"/>
              <w:spacing w:before="0" w:after="0"/>
              <w:jc w:val="left"/>
              <w:rPr/>
            </w:pPr>
            <w:hyperlink w:anchor="supp784749_12">
              <w:r>
                <w:rPr>
                  <w:rStyle w:val="InternetLink"/>
                  <w:rFonts w:ascii="Times New Roman" w:hAnsi="Times New Roman"/>
                  <w:sz w:val="20"/>
                </w:rPr>
                <w:t>LEGAL MATTERS</w:t>
              </w:r>
            </w:hyperlink>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391" w:type="dxa"/>
            <w:tcBorders/>
          </w:tcPr>
          <w:p>
            <w:pPr>
              <w:pStyle w:val="TableContents"/>
              <w:bidi w:val="0"/>
              <w:spacing w:before="0" w:after="0"/>
              <w:jc w:val="left"/>
              <w:rPr/>
            </w:pPr>
            <w:hyperlink w:anchor="supp784749_13">
              <w:r>
                <w:rPr>
                  <w:rStyle w:val="InternetLink"/>
                  <w:rFonts w:ascii="Times New Roman" w:hAnsi="Times New Roman"/>
                  <w:sz w:val="20"/>
                </w:rPr>
                <w:t>EXPERTS</w:t>
              </w:r>
            </w:hyperlink>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391" w:type="dxa"/>
            <w:tcBorders/>
          </w:tcPr>
          <w:p>
            <w:pPr>
              <w:pStyle w:val="TableContents"/>
              <w:bidi w:val="0"/>
              <w:spacing w:before="0" w:after="0"/>
              <w:jc w:val="left"/>
              <w:rPr/>
            </w:pPr>
            <w:hyperlink w:anchor="supp784749_14">
              <w:r>
                <w:rPr>
                  <w:rStyle w:val="InternetLink"/>
                  <w:rFonts w:ascii="Times New Roman" w:hAnsi="Times New Roman"/>
                  <w:sz w:val="20"/>
                </w:rPr>
                <w:t xml:space="preserve">INFORMATION INCORPORATED BY REFERENCE; WHERE YOU CAN FIND MORE INFORMATION </w:t>
              </w:r>
            </w:hyperlink>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03"/>
        <w:gridCol w:w="423"/>
        <w:gridCol w:w="96"/>
        <w:gridCol w:w="421"/>
        <w:gridCol w:w="62"/>
      </w:tblGrid>
      <w:tr>
        <w:trPr/>
        <w:tc>
          <w:tcPr>
            <w:tcW w:w="9203"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03" w:type="dxa"/>
            <w:tcBorders/>
            <w:vAlign w:val="bottom"/>
          </w:tcPr>
          <w:p>
            <w:pPr>
              <w:pStyle w:val="TableContents"/>
              <w:bidi w:val="0"/>
              <w:spacing w:before="0" w:after="283"/>
              <w:jc w:val="left"/>
              <w:rPr>
                <w:b/>
              </w:rPr>
            </w:pPr>
            <w:r>
              <w:rPr>
                <w:b/>
              </w:rPr>
              <w:t>PROSPECTUS</w:t>
            </w:r>
          </w:p>
        </w:tc>
        <w:tc>
          <w:tcPr>
            <w:tcW w:w="423"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1">
              <w:r>
                <w:rPr>
                  <w:rStyle w:val="InternetLink"/>
                  <w:rFonts w:ascii="Times New Roman" w:hAnsi="Times New Roman"/>
                  <w:sz w:val="20"/>
                </w:rPr>
                <w:t>ABOUT THIS PROSPECTUS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2">
              <w:r>
                <w:rPr>
                  <w:rStyle w:val="InternetLink"/>
                  <w:rFonts w:ascii="Times New Roman" w:hAnsi="Times New Roman"/>
                  <w:sz w:val="20"/>
                </w:rPr>
                <w:t>SUMMARY</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3">
              <w:r>
                <w:rPr>
                  <w:rStyle w:val="InternetLink"/>
                  <w:rFonts w:ascii="Times New Roman" w:hAnsi="Times New Roman"/>
                  <w:sz w:val="20"/>
                </w:rPr>
                <w:t>RISK FACTORS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4">
              <w:r>
                <w:rPr>
                  <w:rStyle w:val="InternetLink"/>
                  <w:rFonts w:ascii="Times New Roman" w:hAnsi="Times New Roman"/>
                  <w:sz w:val="20"/>
                </w:rPr>
                <w:t>USE OF PROCEEDS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5">
              <w:r>
                <w:rPr>
                  <w:rStyle w:val="InternetLink"/>
                  <w:rFonts w:ascii="Times New Roman" w:hAnsi="Times New Roman"/>
                  <w:sz w:val="20"/>
                </w:rPr>
                <w:t>CAUTIONARY NOTE REGARDING FORWARD-LOOKING STATEMENTS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6">
              <w:r>
                <w:rPr>
                  <w:rStyle w:val="InternetLink"/>
                  <w:rFonts w:ascii="Times New Roman" w:hAnsi="Times New Roman"/>
                  <w:sz w:val="20"/>
                </w:rPr>
                <w:t>DESCRIPTION OF CAPITAL STOCK</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7">
              <w:r>
                <w:rPr>
                  <w:rStyle w:val="InternetLink"/>
                  <w:rFonts w:ascii="Times New Roman" w:hAnsi="Times New Roman"/>
                  <w:sz w:val="20"/>
                </w:rPr>
                <w:t>DESCRIPTION OF DEBT SECURITIES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8">
              <w:r>
                <w:rPr>
                  <w:rStyle w:val="InternetLink"/>
                  <w:rFonts w:ascii="Times New Roman" w:hAnsi="Times New Roman"/>
                  <w:sz w:val="20"/>
                </w:rPr>
                <w:t>DESCRIPTION OF WARRANTS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9">
              <w:r>
                <w:rPr>
                  <w:rStyle w:val="InternetLink"/>
                  <w:rFonts w:ascii="Times New Roman" w:hAnsi="Times New Roman"/>
                  <w:sz w:val="20"/>
                </w:rPr>
                <w:t>DESCRIPTION OF RIGHTS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10">
              <w:r>
                <w:rPr>
                  <w:rStyle w:val="InternetLink"/>
                  <w:rFonts w:ascii="Times New Roman" w:hAnsi="Times New Roman"/>
                  <w:sz w:val="20"/>
                </w:rPr>
                <w:t>DESCRIPTION OF UNITS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11">
              <w:r>
                <w:rPr>
                  <w:rStyle w:val="InternetLink"/>
                  <w:rFonts w:ascii="Times New Roman" w:hAnsi="Times New Roman"/>
                  <w:sz w:val="20"/>
                </w:rPr>
                <w:t>LEGAL OWNERSHIP OF SECURITIES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12">
              <w:r>
                <w:rPr>
                  <w:rStyle w:val="InternetLink"/>
                  <w:rFonts w:ascii="Times New Roman" w:hAnsi="Times New Roman"/>
                  <w:sz w:val="20"/>
                </w:rPr>
                <w:t>PLAN OF DISTRIBUTION</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13">
              <w:r>
                <w:rPr>
                  <w:rStyle w:val="InternetLink"/>
                  <w:rFonts w:ascii="Times New Roman" w:hAnsi="Times New Roman"/>
                  <w:sz w:val="20"/>
                </w:rPr>
                <w:t>LEGAL MATTERS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14">
              <w:r>
                <w:rPr>
                  <w:rStyle w:val="InternetLink"/>
                  <w:rFonts w:ascii="Times New Roman" w:hAnsi="Times New Roman"/>
                  <w:sz w:val="20"/>
                </w:rPr>
                <w:t>EXPERTS</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15">
              <w:r>
                <w:rPr>
                  <w:rStyle w:val="InternetLink"/>
                  <w:rFonts w:ascii="Times New Roman" w:hAnsi="Times New Roman"/>
                  <w:sz w:val="20"/>
                </w:rPr>
                <w:t>WHERE YOU CAN FIND MORE INFORMATION</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203" w:type="dxa"/>
            <w:tcBorders/>
            <w:vAlign w:val="bottom"/>
          </w:tcPr>
          <w:p>
            <w:pPr>
              <w:pStyle w:val="TableContents"/>
              <w:bidi w:val="0"/>
              <w:spacing w:before="0" w:after="0"/>
              <w:jc w:val="left"/>
              <w:rPr/>
            </w:pPr>
            <w:hyperlink w:anchor="rom784749_16">
              <w:r>
                <w:rPr>
                  <w:rStyle w:val="InternetLink"/>
                  <w:rFonts w:ascii="Times New Roman" w:hAnsi="Times New Roman"/>
                  <w:sz w:val="20"/>
                </w:rPr>
                <w:t>IMPORTANT INFORMATION INCORPORATED BY REFERENCE</w:t>
              </w:r>
            </w:hyperlink>
          </w:p>
        </w:tc>
        <w:tc>
          <w:tcPr>
            <w:tcW w:w="42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supp784749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Whenever we refer to Scilex, we, our or us in this prospectus supplement, we mean Scilex Holding Company, unless the context suggests otherwise. When we refer to you or yours, we mean the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are part of a shelf registration statement on Form S-3 that we filed with the U.S. Securities and Exchange Commission, or the SEC, using a shelf registration process. This prospectus supplement describes the specific terms of this offering. The accompanying base prospectus, including the documents incorporated by reference therein, provides general information about us, some of which, such as the section therein entitled Plan of Distribution, may not apply to this offering. Generally, when we refer to this prospectus, we are referring to both this prospectus supplement and the accompanying base prospectus, combined. </w:t>
      </w:r>
    </w:p>
    <w:p>
      <w:pPr>
        <w:pStyle w:val="TextBody"/>
        <w:bidi w:val="0"/>
        <w:spacing w:before="240" w:after="0"/>
        <w:jc w:val="left"/>
        <w:rPr>
          <w:rFonts w:ascii="Times New Roman" w:hAnsi="Times New Roman"/>
          <w:sz w:val="20"/>
        </w:rPr>
      </w:pPr>
      <w:r>
        <w:rPr>
          <w:rFonts w:ascii="Times New Roman" w:hAnsi="Times New Roman"/>
          <w:sz w:val="20"/>
        </w:rPr>
        <w:t xml:space="preserve">We urge you to carefully read this prospectus supplement, the accompanying base prospectus, the documents incorporated by reference herein and therein and the additional information under the heading Information Incorporated by Reference; Where You Can Find More Information before buying any of the securities being offered under this prospectus supplement. These documents contain information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and the accompanying base prospectus. We have not, and the underwriters have not, authorized anyone to provide you with different information. If anyone provides you with different or inconsistent information, you should not rely on it. This prospectus supplement may add, update or change information contained in the accompanying base prospectus. To the extent any information in this prospectus supplement is inconsistent with the accompanying base prospectus, you should rely on the information in this prospectus supplement. The information in this prospectus supplement will be deemed to modify or supersede the information in the accompanying base prospectus and the documents incorporated by reference therein, except for those documents incorporated by reference therein which we file with the SEC after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or incorporated by reference in this prospectus supplement and the accompanying base prospectus is accurate on any date subsequent to the date set forth on the front cover of this prospectus supplement and the accompanying base prospectus or on any date subsequent to the date of the document incorporated by reference herein or therein, as applicable.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the securities described in this prospectus supplement only in jurisdictions where offers and sales are permitted. The distribution of this prospectus supplement and the offering of the securities in certain jurisdictions may be restricted by law. Persons outside the United States who come into possession of this prospectus supplement must inform themselves about, and observe any restrictions relating to, the offering of the securities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into this prospectus supplement or the accompanying base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784749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contains basic information about us and this offering. This summary highlights selected information contained elsewhere in, or incorporated by reference into, this prospectus supplement. This summary is not complete and may not contain all of the information that is important to you and that you should consider before deciding whether or not to invest in our securities. For a more complete understanding of Scilex and this offering, you should carefully read this prospectus supplement, including any information incorporated by reference into this prospectus supplement, in its entirety. Investing in our securities involves risks that are described in this prospectus supplement under the heading Risk Factors, under the headings Item 1A. Risk Factors in our Annual Report on Form 10-K for the year ended December 31, 2023 and in our other filings with the SEC.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Scilex Holding Company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innovative revenue-generating company focused on acquiring, developing and commercializing non-opioid pain management products for the treatment of acute and chronic pain. We target indications with high unmet needs and large market opportunities with non-opioid therapies for the treatment of patients with acute and chronic pain and are dedicated to advancing and improving patient outcomes.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commercial products are: (i) ZTlido® (lidocaine topical system) 1.8%, a prescription lidocaine topical product approved by the U.S. Food and Drug Administration (the FDA) for the relief of neuropathic pain associated with postherpetic neuralgia, which is a form of post-shingles nerve pain; (ii) ELYXYB®, a potential first-line treatment and the only FDA-approved, ready-to-use oral solution for the acute treatment of migraine, with or without aura, in adults; and (iii) GLOPERBA®, the first and only liquid oral version of the anti-gout medicine colchicine indicated for the prophylaxis of painful gout flares in adults, expected to launch in the first half of 2024. In addition, we have three product candidates: (i) SP-102 (10 mg, dexamethasone sodium phosphate viscous gel) (SEMDEXA), a novel, viscous gel formulation of a widely used corticosteroid for epidural injections to treat lumbosacral radicular pain, or sciatica for which we have completed a Phase 3 study; (ii) SP-103 (lidocaine topical system) 5.4% (SP-103), a next-generation, triple-strength formulation of ZTlido, for the treatment of chronic neck pain and for which we have completed a Phase 2 trial in low back pain (LBP) in the third quarter of 2023; and (iii) SP-104 (4.5 mg, low-dose naltrexone hydrochloride delayed-release capsules) (SP-104), a novel low-dose delayed-release naltrexone hydrochloride being developed for the treatment of fibromyalgia, for which Phase 1 trials were completed in the second quarter of 2022 and a Phase 2 clinical trial is expected to commence in 2024. We believe our currently approved products and future product candidates, if approved by the FDA, could uniquely address what we believe are the significant unmet needs of the targeted populations and become the preferred treatment option for their respective indications.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Scilex as the preeminent name in commercial non-opioid pain management, specifically targeting the unmet needs in both acute and chronic pain sectors with our innovative and leading therapies. We believe that we have not only responded to the global demand for safer, more effective pain relief solutions, but also made substantial progress in demonstrating the rapid onset and enhanced safety of our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Our Products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launched our first commercial product, ZTlido® (lidocaine topical system) 1.8% in October 2018. ZTlido possesses novel delivery and adhesion technology designed to address many of the limitations of current prescription lidocaine patches by providing significantly improved adhesion and continuous pain relief throughout the 12-hour administration period. ZTlido is a single-layer, drug-in-adhesive topical delivery system comprised of an adhesive material containing 36 mg lidocaine, which is applied to a pliable nonwoven cloth backing and covered with a polyethylene terephthalate film release liner. ZTlido is commercially manufactured for us by Oishi Koseido Co., Ltd. (Oishi) in Japan. We license the rights to ZTlido from and rely exclusively on Oishi and Itochu Chemical Frontier Corporation (Itochu) pursuant to the Product Development Agreement, dated as of May 11, 2011, by and among Scilex Pharmaceuticals Inc., our wholly owned subsidiary (Scilex Pharma), Oishi and Itochu, and the Commercial Supply Agreement, dated as of February 16, 2017, by and among Scilex Pharma, Oishi and Itochu. We have exclusive worldwide rights to Oishis proprietary formulation and manufacturing technologies except with respect to Japan. In 2023, there were more than 182 million prescription lidocaine patches sold in the United States, according to Symphony Healthcare.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launched our second commercial product, ELYXYB® in April 2023. We acquired the rights to certain patents, trademarks, regulatory approvals, data, contracts, and other rights related to ELYXYB® (celecoxib oral solution) and the commercialization thereof in the United States and Canada from BioDelivery Sciences International, Inc. and Collegium Pharmaceutical, Inc. in February 2023. ELYXYB® is a potential first-line treatment and the only FDA-approved, ready-to-use oral solution for the acute treatment of migraine, with or without aura, in adults. We filed a New Drug Submission to Health Canadas Pharmaceutical Drugs Directorate, Bureau of Cardiology, Allergy and Neurological Sciences for the approval of ELYXYB® for acute treatment of migraine with or without aura in Canada.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expect to launch our third commercial product, GLOPERBA, in the first half of 2024. We acquired certain rights to GLOPERBA on June 14, 2022, when we entered into a License and Commercialization Agreement (the Romeg Agreement) with RxOmeg Therapeutics, LLC (a/k/a Romeg Therapeutics, Inc.) (Romeg). Pursuant to the Romeg Agreement, among other things, Romeg granted us (1) the right to manufacture, promote, market, distribute and sell pharmaceutical products comprising liquid formulations of colchicine for the prophylactic treatment of gout in adult humans in the United States, and (2) an exclusive, transferable license to use the trademark GLOPERBA®. GLOPERBA is an FDA-approved, oral medication for the treatment of gout in adults. Gout is a painful arthritic disorder affecting an estimated 9.2 million people in the United States. Gout pain can be excruciating and is a form of inflammatory arthritis that develops in some people who have high levels of uric acid in their blood. It can cause sudden severe episodes of pain and can be disabling with tenderness, warmth and swelling. Non-steroidal anti-inflammatory drugs, colchicine and corticosteroids are used a majority of time as the first line to treat acute gout. The U.S. is observed to have a high prevalence of gout, owing to lifestyle issues such as high alcohol intake, obesity, and smoking. We expect to commercialize GLOPERBA in the first half of 2024 and believe we are well positioned to market and distribute the product. We have a direct distribution network to national and regional wholesalers and pharmacies throughout the 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Our Product Candidates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acquired SP-102 from Semnur Pharmaceuticals, Inc. in March 2019 and are developing SP-102 to be an injectable viscous gel formulation of a widely used corticosteroid designed to address the serious risks posed by off-label epidural steroid injections (ESI), which are administered over 12 million times annually in the United States. SEMDEXA has been granted fast track designation by the FDA and, if approved, could become the only FDA-approved ESI for the treatment of sciatica. According to a report by Decision Resources Group, it was estimated that over 4.8 million patients would suffer from sciatica in the United States in 2022. We received our SP-103 Phase 2 top-line results in August 2023 and the trial achieved its objectives characterizing safety,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tolerability and preliminary efficacy of SP-103 in acute LBP associated with muscle spasms. SP-103 was safe and well tolerated. Increase of lidocaine load in topical system by three times, compared with approved ZTlido, 5.4% vs. 1.8%, did not result in signs of systemic toxicity or increased application site reactions with daily applications over one month treatment. SP-103 received FDA Fast Track status in LBP. We will continue to analyze the SP-103 Phase 2 trial data along with a recently completed investigator study of ZTlido in patients with chronic neck pain, which also has shown promising top-line efficacy and safety results. Scilex is planning to initiate Phase 2/3 trial in chronic neck pain in 2024. SP-103, if approved, could become the first FDA-approved lidocaine topical product for the treatment of chronic neck pain. We are developing SP-104 as a novel delayed-release formulation of low-dose naltrexone hydrochloride for the treatment of fibromyalgia, which remains a largely unmet medical need given the low response rates of commercially available therapies. Naltrexone is routinely used off-label to treat fibromyalgia. There are no low-dose formulations commercially available in the United States. Our patented formulation is designed to overcome undesirable effects of immediate release naltrexone, such as hyperalgesia, dysphoria, nausea, anxiety and insomnia.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Federal Food, Drug, and Cosmetic Act for each of our product candidates.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chart illustrates completed and anticipated milestones for our current commercial products and novel product candidates.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69900" cy="196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9900" cy="196850"/>
                    </a:xfrm>
                    <a:prstGeom prst="rect">
                      <a:avLst/>
                    </a:prstGeom>
                  </pic:spPr>
                </pic:pic>
              </a:graphicData>
            </a:graphic>
          </wp:inline>
        </w:drawing>
      </w:r>
      <w:r>
        <w:rPr>
          <w:bdr w:val="single" w:sz="8" w:space="1" w:color="000000"/>
        </w:rPr>
        <w:t xml:space="preserve"> </w:t>
      </w:r>
    </w:p>
    <w:p>
      <w:pPr>
        <w:pStyle w:val="TextBody"/>
        <w:bidi w:val="0"/>
        <w:spacing w:before="240" w:after="0"/>
        <w:jc w:val="left"/>
        <w:rPr/>
      </w:pPr>
      <w:r>
        <w:rPr>
          <w:rFonts w:ascii="Times New Roman" w:hAnsi="Times New Roman"/>
          <w:sz w:val="20"/>
          <w:bdr w:val="single" w:sz="8" w:space="1" w:color="000000"/>
        </w:rPr>
        <w:t xml:space="preserve">For a complete description of our business, financial condition, results of operations and other important information, we refer you to our filings with the SEC that are incorporated by reference in this prospectus, including our  </w:t>
      </w:r>
      <w:hyperlink r:id="rId3">
        <w:r>
          <w:rPr>
            <w:rStyle w:val="InternetLink"/>
            <w:rFonts w:ascii="Times New Roman" w:hAnsi="Times New Roman"/>
            <w:sz w:val="20"/>
            <w:bdr w:val="single" w:sz="8" w:space="1" w:color="000000"/>
          </w:rPr>
          <w:t>Annual Report on Form 10-K  for the year ended December 31, 2023</w:t>
        </w:r>
      </w:hyperlink>
      <w:r>
        <w:rPr>
          <w:rFonts w:ascii="Times New Roman" w:hAnsi="Times New Roman"/>
          <w:sz w:val="20"/>
          <w:bdr w:val="single" w:sz="8" w:space="1" w:color="000000"/>
        </w:rPr>
        <w:t>, each as amended, supplemented or superseded from time to time by other reports we file with the SEC in the future, which are incorporated by reference into this prospectus. For instructions on how to find copies of these documents, see </w:t>
      </w:r>
      <w:r>
        <w:rPr>
          <w:rFonts w:ascii="Times New Roman" w:hAnsi="Times New Roman"/>
          <w:i/>
          <w:sz w:val="20"/>
          <w:bdr w:val="single" w:sz="8" w:space="1" w:color="000000"/>
        </w:rPr>
        <w:t>Where You Can Find More Information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See the section 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in this prospectus supplement for a discussion of some of the risks related to the execution of our business strategy.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March Underwritten Offering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29, 2024, we entered into an underwriting agreement (the Underwriting Agreement) with Rodman &amp; Renshaw LLC and StockBlock Securities LLC, as the representatives (the Representatives)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underwriters named in Schedule A thereto (the Underwriters). Pursuant to the Underwriting Agreement, we agreed to sell, in an underwritten offering (the Offering), 5,882,353 shares (the Firm Shares) of our common stock, and accompanying common warrants to purchase up to an aggregate of 5,882,353 shares of common stock (the Firm Warrants). Pursuant to the Underwriting Agreement, we also granted the Underwriters an option (the Underwriters Option) for a period of up to 30 days from the date of the Underwriting Agreement to purchase up to 882,352 additional shares of common stock (the Optional Shares) and/or common warrants to purchase up to 882,352 shares of common stock (the Optional Warrants, and together with the Firm Warrants, the Common Warrants) that may be purchased by the Underwriters, at a price per Optional Share of $1.5548 and a price per Optional Warrant of $0.0092, which amounts reflect the public offering price of $1.69 per Optional Shares and $0.01 per Optional Warrant, less underwriting discounts and commissions, as applicable. Each Firm Share was sold together with a Firm Warrant at a combined public offering price of $1.70. The combined price per Firm Share and accompanying Firm Warrant paid by the Underwriters was $1.564, which amount reflects the combined public offering price of $1.70, less underwriting discounts and commissions.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Offering, we agreed, pursuant to the Underwriting Agreement, to issue the Representatives warrants (the Representative Warrants) to purchase up to an aggregate of 470,588 shares of our common stock (which represents 8.0% of the aggregate number of Firm Shares sold in the Offering), or up to an aggregate of 541,176 shares of our common stock if the Underwriters exercise the Underwriters Option in full. The Representative Warrants are immediately exercisable and have the same terms as the Common Warrants described above, except that the exercise price of the Representative Warrants is $2.125 per share, which represents 125% of the combined public offering price per Firm Share and accompanying Firm Warrant.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Business Combination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November 10, 2022, Vickers Vantage Corp. I, our predecessor company (Vickers), consummated the previously announced business combination (the Business Combination) pursuant to the terms of that certain Agreement and Plan of Merger, dated as of March 17, 2022, by and among us, Vantage Merger Sub Inc., a Delaware corporation that was a wholly owned subsidiary of Vickers prior to the Closing (Merger Sub), and the pre-Business Combination Scilex Holding Company (Legacy Scilex), as it may be amended or restated from time to time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(i) prior to the closing of the Business Combination (the Closing), Vickers changed its jurisdiction of incorporation by deregistering as a Cayman Islands exempted company and continuing and domesticating as a corporation incorporated under the laws of the State of Delaware (the Domestication) and (ii) at the Closing, and following the Domestication, Merger Sub merged with and into Legacy Scilex (the Merger), with Legacy Scilex as the surviving company in the Merger, and, after giving effect to such Merger, Legacy Scilex became a wholly owned subsidiary of Vickers. The Merger was approved by Vickerss shareholders at a meeting held on November 9, 2022. In connection with the Business Combination, Vickers changed its name to Scilex Holding Company.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name Vickers Vantage Corp. I on February 21, 2020 as a Cayman Islands exempted company for the purpose of effecting a merger, share exchange, asset acquisition, share purchase, reorganization or similar business combination with one or more businesses or entities. On November 9, 2022, we changed our jurisdiction of incorporation by deregistering as a Cayman Islands exempted company and continuing and domesticating as a corporation incorporated under the laws of the State of Delaware. On November 9, 2022, we changed our name to Scilex Holding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principal executive offices are located at 960 San Antonio Road, Palo Alto, California 94303, and our telephone number is (650) 516-4310. Our website address is </w:t>
      </w:r>
      <w:r>
        <w:rPr>
          <w:rFonts w:ascii="Times New Roman" w:hAnsi="Times New Roman"/>
          <w:i/>
          <w:sz w:val="20"/>
          <w:bdr w:val="single" w:sz="8" w:space="1" w:color="000000"/>
        </w:rPr>
        <w:t>www.scilexholding.com</w:t>
      </w:r>
      <w:r>
        <w:rPr>
          <w:rFonts w:ascii="Times New Roman" w:hAnsi="Times New Roman"/>
          <w:sz w:val="20"/>
          <w:bdr w:val="single" w:sz="8" w:space="1" w:color="000000"/>
        </w:rPr>
        <w:t xml:space="preserve">. Any information contained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hAnsi="Times New Roman"/>
          <w:i/>
          <w:sz w:val="20"/>
          <w:bdr w:val="single" w:sz="8" w:space="1" w:color="000000"/>
        </w:rPr>
        <w:t>http://www.sec.gov</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of 1933, as amended (the Securities Act), as modified by the Jumpstart Our Business Startups Act of 2012 (the JOBS Act). As an emerging growth company,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as amended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 In addition, we are in the process of evaluating the benefits of relying on the other exemptions and reduced reporting requirements provided by the JOBS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earlier of: (i) the last day of the fiscal year (a) following the fifth anniversary of the closing of the initial public offering of our company, (b) in which we have total annual gross revenue of at least $1.235 billion, or (c) in which we are deemed to be a large accelerated filer, which means the market value of our common equity that is held by non-affiliates equals or exceeds $700 million as of the last business day of our most recently completed second fiscal quarter; and (ii) the date on which we have issued more than $1.0 billion in non-convertible debt securities during the prior three-year period. References herein to emerging growth company have the meaning associated with it in the JOBS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the information in this prospectus and that we provide to our investors in the future may be different than what you might receive from other public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8" w:type="dxa"/>
            <w:tcBorders/>
          </w:tcPr>
          <w:p>
            <w:pPr>
              <w:pStyle w:val="TableContents"/>
              <w:bidi w:val="0"/>
              <w:spacing w:before="0" w:after="283"/>
              <w:jc w:val="left"/>
              <w:rPr/>
            </w:pPr>
            <w:r>
              <w:rPr/>
              <w:t xml:space="preserve">15,000,000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Warrants offered by us </w:t>
            </w:r>
          </w:p>
        </w:tc>
        <w:tc>
          <w:tcPr>
            <w:tcW w:w="6327" w:type="dxa"/>
            <w:tcBorders/>
          </w:tcPr>
          <w:p>
            <w:pPr>
              <w:pStyle w:val="TableContents"/>
              <w:bidi w:val="0"/>
              <w:spacing w:before="0" w:after="283"/>
              <w:jc w:val="left"/>
              <w:rPr/>
            </w:pPr>
            <w:r>
              <w:rPr/>
              <w:t xml:space="preserve">Common Warrants to purchase up to an aggregate of 15,000,000 shares of common stock. Each share of our common stock is being sold together with a Common Warrant to purchase one share of our common stock. The shares of our common stock and Common Warrants are immediately separable and will be issued separately, but can only be purchased together in this offering. Each Common Warrant will have an exercise price of $1.10 per share, will become exercisable on the six month anniversary of the date of issuance and will expire five years from the date of issuance.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This prospectus supplement also includes the offering of the shares of common stock issuable upon exercise of the Common Warrants included in this offering. The exercise price of the Common Warrants and the number of shares into which the Common Warrants may be exercised are subject to adjustment in certain circumstances.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For additional information regarding the warrants, see </w:t>
            </w:r>
            <w:hyperlink w:anchor="supp784749_10">
              <w:r>
                <w:rPr>
                  <w:rStyle w:val="InternetLink"/>
                </w:rPr>
                <w:t>Description of Securities Offered</w:t>
              </w:r>
            </w:hyperlink>
            <w:r>
              <w:rPr/>
              <w:t xml:space="preserve"> beginning on page S-20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Combined offering price </w:t>
            </w:r>
          </w:p>
        </w:tc>
        <w:tc>
          <w:tcPr>
            <w:tcW w:w="6328" w:type="dxa"/>
            <w:tcBorders/>
          </w:tcPr>
          <w:p>
            <w:pPr>
              <w:pStyle w:val="TableContents"/>
              <w:bidi w:val="0"/>
              <w:spacing w:before="0" w:after="283"/>
              <w:jc w:val="left"/>
              <w:rPr/>
            </w:pPr>
            <w:r>
              <w:rPr/>
              <w:t xml:space="preserve">$1.00 per share of common stock and accompanying Common Warrant.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 </w:t>
            </w:r>
          </w:p>
        </w:tc>
        <w:tc>
          <w:tcPr>
            <w:tcW w:w="6327" w:type="dxa"/>
            <w:tcBorders/>
          </w:tcPr>
          <w:p>
            <w:pPr>
              <w:pStyle w:val="TableContents"/>
              <w:bidi w:val="0"/>
              <w:spacing w:before="0" w:after="283"/>
              <w:jc w:val="left"/>
              <w:rPr/>
            </w:pPr>
            <w:r>
              <w:rPr/>
              <w:t xml:space="preserve">181,189,835 shares assuming no exercise of any Common Warrants issued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We currently intend to use the net proceeds from the offering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 We reserve the right, at the sole discretion of our management, to reallocate the proceeds of this offering in response to developments in our business and other factors. See </w:t>
            </w:r>
            <w:hyperlink w:anchor="supp784749_6">
              <w:r>
                <w:rPr>
                  <w:rStyle w:val="InternetLink"/>
                </w:rPr>
                <w:t>Use of Proceeds</w:t>
              </w:r>
            </w:hyperlink>
            <w:r>
              <w:rPr/>
              <w:t xml:space="preserve"> beginning on page S-16 of this prospectus supplement for additional detail.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Placement Agent Warrants </w:t>
            </w:r>
          </w:p>
        </w:tc>
        <w:tc>
          <w:tcPr>
            <w:tcW w:w="6328" w:type="dxa"/>
            <w:tcBorders/>
          </w:tcPr>
          <w:p>
            <w:pPr>
              <w:pStyle w:val="TableContents"/>
              <w:bidi w:val="0"/>
              <w:spacing w:before="0" w:after="283"/>
              <w:jc w:val="left"/>
              <w:rPr/>
            </w:pPr>
            <w:r>
              <w:rPr/>
              <w:t xml:space="preserve">We will also issue to the Placement Agents the Placement Agent Warrants to purchase up to 1,200,000 shares of common stock, representing 8.0% of the shares of our common stock sold in this offering, as part of the compensation payable to the Placement Agents in connection with this offering. Placement Agent Warrants will have an exercise price of $1.25 per share (which represents 125% of the combined offering price per share of common stock and accompanying Common Warrants sold in this offering) and will become exercisable on the six month anniversary of the date of issuance and expire on April 23, 2029. Please refer to Plan of Distribution for additional information with respect to the Placement Agent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Trading symbol </w:t>
            </w:r>
          </w:p>
        </w:tc>
        <w:tc>
          <w:tcPr>
            <w:tcW w:w="6331" w:type="dxa"/>
            <w:tcBorders/>
          </w:tcPr>
          <w:p>
            <w:pPr>
              <w:pStyle w:val="TableContents"/>
              <w:bidi w:val="0"/>
              <w:spacing w:before="0" w:after="283"/>
              <w:jc w:val="left"/>
              <w:rPr/>
            </w:pPr>
            <w:r>
              <w:rPr/>
              <w:t xml:space="preserve">Our common stock is listed on the Nasdaq Capital Market under the symbol SCLX. There is no established public trading market for the Common Warrants, and we do not expect a market to develop. We do not intend to list the Common Warrants on the Nasdaq Capital Market, any other national securities exchange or any other nationally recognized trading system. Without an active trading market, the liquidity of the Common Warrants will be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Investing in our securities involves a high degree of risk. See </w:t>
            </w:r>
            <w:hyperlink w:anchor="supp784749_3">
              <w:r>
                <w:rPr>
                  <w:rStyle w:val="InternetLink"/>
                </w:rPr>
                <w:t>Risk Factors</w:t>
              </w:r>
            </w:hyperlink>
            <w:r>
              <w:rPr/>
              <w:t xml:space="preserve"> beginning on page S-9 of this prospectus supplement and other information included or incorporated in this prospectus supplement for a discussion of factors you should carefully consider before investing in our securities.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outstanding assumes that an aggregate of 166,189,835 shares are outstanding immediately prior to the completion of this offering, which number is based on an aggregate of 160,084,250 shares outstanding as of December 31, 2023 plus an aggregate of 6,105,585 shares of common stock issued after December 31, 2023 and on or prior to March 31, 2024 (comprised of (i) an aggregate of 96,982 shares of common stock issued pursuant to advances made under the Companys then-existing standby equity lines of credit, (ii) 92,295 shares of common stock issued under the Companys at-the-market program, (iii) 5,882,353 shares of common stock issued pursuant to an underwritten public offering by the Company and (iv) 33,955 shares of common stock issued upon exercise of outstanding stock options), and assumes that following March 31, 2024 we have not issued any additional shares of common stock,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653,282 shares of common stock issuable upon the exercise of stock options outstanding under the 2017 Scilex Pharmaceuticals Inc. Equity Incentive Plan with a weighted average exercise price of $0.77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15,599,264 shares of common stock issuable upon the exercise of stock options outstanding under the 2019 Stock Option Plan of Scilex, Inc. with a weighted average exercise price of $1.73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17,014,591 shares of common stock issuable upon the exercise of stock options outstanding under the Scilex Holding Company 2022 Equity Incentive Plan, as amended, with a weighted average exercise price of $6.90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19,952,350 shares of common stock available for future issuance under the Scilex Holding Company 2022 Equity Incentive Plan, as amended;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2,875,759 shares of common stock available for future issuance under the Scilex Holding Company 2022 Employee Stock Purchase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1,400,000 shares of common stock available for future issuance under the Scilex Holding Company 2023 Inducement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10,958,309 shares of common stock issuable upon the exercise of our public and private warrants to purchase shares of our common stock, with an exercise price of $11.50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13,000,000 shares of common stock issuable upon the exercise of our warrants to purchase shares of our common stock, with an exercise price of $0.01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5,882,353 shares of common stock issuable upon the exercise of our warrants to purchase shares of our common stock, with an exercise price of $1.70 per share;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470,588 shares of common stock issuable upon the exercise of our warrants to purchase shares of our common stock, with an exercise price of $2.125 per share.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supplement assumes no exercise of the Common Warrants offered in this offering and no exercise of the Placement Agent Warrants to be issued as compensation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supp784749_3"/>
      <w:bookmarkEnd w:id="5"/>
      <w:r>
        <w:rPr>
          <w:rFonts w:ascii="Times New Roman" w:hAnsi="Times New Roman"/>
          <w:b/>
          <w:sz w:val="20"/>
        </w:rPr>
        <w:t xml:space="preserve">RISK FACTORS </w:t>
      </w:r>
    </w:p>
    <w:p>
      <w:pPr>
        <w:pStyle w:val="TextBody"/>
        <w:bidi w:val="0"/>
        <w:spacing w:before="240" w:after="0"/>
        <w:jc w:val="left"/>
        <w:rPr/>
      </w:pPr>
      <w:r>
        <w:rPr>
          <w:rFonts w:ascii="Times New Roman" w:hAnsi="Times New Roman"/>
          <w:i/>
          <w:sz w:val="20"/>
        </w:rPr>
        <w:t xml:space="preserve">Our </w:t>
      </w:r>
      <w:hyperlink r:id="rId4">
        <w:r>
          <w:rPr>
            <w:rStyle w:val="InternetLink"/>
            <w:rFonts w:ascii="Times New Roman" w:hAnsi="Times New Roman"/>
            <w:i/>
            <w:sz w:val="20"/>
          </w:rPr>
          <w:t>Annual Report on Form 10-K for the year ended December 31, 2023</w:t>
        </w:r>
      </w:hyperlink>
      <w:r>
        <w:rPr>
          <w:rFonts w:ascii="Times New Roman" w:hAnsi="Times New Roman"/>
          <w:i/>
          <w:sz w:val="20"/>
        </w:rPr>
        <w:t xml:space="preserve"> which is incorporated by reference into this prospectus supplement,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In such a case, you may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will have broad discretion in the use of the net proceeds from this offering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We currently intend to use the net proceeds from this offering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 as further described in the section of this prospectus entitled </w:t>
      </w:r>
      <w:r>
        <w:rPr>
          <w:rFonts w:ascii="Times New Roman" w:hAnsi="Times New Roman"/>
          <w:i/>
          <w:sz w:val="20"/>
        </w:rPr>
        <w:t>Use of Proceeds</w:t>
      </w:r>
      <w:r>
        <w:rPr>
          <w:rFonts w:ascii="Times New Roman" w:hAnsi="Times New Roman"/>
          <w:sz w:val="20"/>
        </w:rPr>
        <w:t xml:space="preserve">. We will have broad discretion in the application of the net proceeds in the category of other working capital and general corporate purposes and investors will be relying on the judgment of our management regarding the application of the proceeds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precise amount and timing of the application of these proceeds will depend upon a number of factors, such as the timing and progress of our research and development efforts, our funding requirements and the availability and costs of other funds. As of the date of this prospectus supplement, we cannot specify with certainty all of the particular uses for the net proceeds to us from this offering. Depending on the outcome of our efforts and other unforeseen events, our plans and priorities may change and we may apply the net proceeds of this offering in different manners than we currently anticipate. </w:t>
      </w:r>
    </w:p>
    <w:p>
      <w:pPr>
        <w:pStyle w:val="TextBody"/>
        <w:bidi w:val="0"/>
        <w:spacing w:before="240" w:after="0"/>
        <w:jc w:val="left"/>
        <w:rPr>
          <w:rFonts w:ascii="Times New Roman" w:hAnsi="Times New Roman"/>
          <w:sz w:val="20"/>
        </w:rPr>
      </w:pPr>
      <w:r>
        <w:rPr>
          <w:rFonts w:ascii="Times New Roman" w:hAnsi="Times New Roman"/>
          <w:sz w:val="20"/>
        </w:rPr>
        <w:t xml:space="preserve">The failure by our management to apply these funds effectively could harm our business, financial condition and results of operations. Pending their use, we may invest the net proceeds from this offering in short-term, interest-bearing instruments. These investments may not yield a favorable return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shares of our common stock sold in this offering, you will experience immediate and substantial dilution in the net tangible book value of your shares. In addition, we may issue additional equity or convertible debt securities in the future, which may result in additional dilution to investors. </w:t>
      </w:r>
    </w:p>
    <w:p>
      <w:pPr>
        <w:pStyle w:val="TextBody"/>
        <w:bidi w:val="0"/>
        <w:spacing w:before="120" w:after="0"/>
        <w:jc w:val="left"/>
        <w:rPr>
          <w:rFonts w:ascii="Times New Roman" w:hAnsi="Times New Roman"/>
          <w:sz w:val="20"/>
        </w:rPr>
      </w:pPr>
      <w:r>
        <w:rPr>
          <w:rFonts w:ascii="Times New Roman" w:hAnsi="Times New Roman"/>
          <w:sz w:val="20"/>
        </w:rPr>
        <w:t xml:space="preserve">The effective offering price per share of common stock in this offering substantially exceeds the pro forma as adjusted book value per share of our tangible assets after subtracting our liabilities. As a result, investors purchasing shares of common stock in this offering may experience immediate and substantial dilution in the net tangible book value of the shares they purchase. After giving effect to the sale of common shares and accompanying Common Warrants in this offering at a combined offering price of $1.00 per share and accompanying Common Warrant (attributing no value to the Common Warrants or proceeds from the sale of the accompanying Common Warrants being so offered and after deducting the Placement Agents fees and estimated offering expenses payable by us), and based on our pro forma as adjusted net tangible book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as of December 31, 2023, if you purchase securities in this offering, you will suffer substantial and immediate dilution of $2.10 per share in net tangible book value. For a more detailed discussion of the foregoing, see the section entitled Dilution below. To the extent outstanding stock options or warrants are exercised, there will be further dilution to new investors. In addition, to the extent we need to raise additional capital in the future and we issue additional equity or convertible debt securities, our then existing stockholders may experience dilution and the new securities may have rights senior to those of the securities offered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sale of our common stock in this offering, including any shares issuable upon the exercise of the Common Warrants and the Placement Agent Warrants, and any future sales of our common stock, or the perception that such sales could occur, may depress our stock price and our ability to raise funds in new offerings.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issue additional common stock at a discount from the current trading price of our common stock. In addition, as opportunities present themselves, we may enter into financing or similar arrangements in the future, including the issuance of debt securities, preferred shares or common shares. Sales of our common stock in this offering, including any common stock issuable upon the exercise of the Common Warrants and the Placement Agent Warrants, or the perception that such sales could occur, may lower the market price of our common stock and may make it more difficult for us to sell equity securities or equity-related securities in the future at a time and price that our management deems acceptable, or at all. Failure to obtain this necessary capital if needed may force us to delay, limit, or terminate our business plans or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not paid cash dividends in the past and we do not expect to pay cash dividends in the foreseeable future. Any return on investment may be limited to the capital appreciation, if any,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not paid cash dividends on our common stock and we do not anticipate paying cash dividends on our common stock in the foreseeable future. Should we decide in the future to do so, as a holding company, our ability to pay dividends on our capital stock and meet other obligations depends upon the receipt of dividends or other payments from our operating subsidiaries. In addition, our ability to pay dividends may be limited by covenants in future outstanding indebtedness that we or our subsidiaries may incur. Since we do not intend to pay dividends, a stockholders ability to receive a return on such stockholders investment will depend on any future appreciation in the market value of our common stock. There is no guarantee that our common stock will appreciate or even maintain the price at which our stockholders have purchased it. </w:t>
      </w:r>
    </w:p>
    <w:p>
      <w:pPr>
        <w:pStyle w:val="TextBody"/>
        <w:bidi w:val="0"/>
        <w:spacing w:before="360" w:after="0"/>
        <w:jc w:val="left"/>
        <w:rPr>
          <w:rFonts w:ascii="Times New Roman" w:hAnsi="Times New Roman"/>
          <w:sz w:val="20"/>
        </w:rPr>
      </w:pPr>
      <w:r>
        <w:rPr>
          <w:rFonts w:ascii="Times New Roman" w:hAnsi="Times New Roman"/>
          <w:b/>
          <w:i/>
          <w:sz w:val="20"/>
        </w:rPr>
        <w:t>The</w:t>
      </w:r>
      <w:r>
        <w:rPr>
          <w:rFonts w:ascii="Times New Roman" w:hAnsi="Times New Roman"/>
          <w:sz w:val="20"/>
        </w:rPr>
        <w:t> </w:t>
      </w:r>
      <w:r>
        <w:rPr>
          <w:rFonts w:ascii="Times New Roman" w:hAnsi="Times New Roman"/>
          <w:b/>
          <w:i/>
          <w:sz w:val="20"/>
        </w:rPr>
        <w:t>Common Warrants purchased in this offering are speculative in nature and do not entitle the holder to any rights as common stockholders until the holder exercises the warrant for shares of our common stock, except as set forth in the</w:t>
      </w:r>
      <w:r>
        <w:rPr>
          <w:rFonts w:ascii="Times New Roman" w:hAnsi="Times New Roman"/>
          <w:sz w:val="20"/>
        </w:rPr>
        <w:t> </w:t>
      </w:r>
      <w:r>
        <w:rPr>
          <w:rFonts w:ascii="Times New Roman" w:hAnsi="Times New Roman"/>
          <w:b/>
          <w:i/>
          <w:sz w:val="20"/>
        </w:rPr>
        <w:t>Common Warrants. The Common Warrants being offered also may not have value.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Until you acquire shares of our common stock upon exercise of your Common Warrants purchased in this offering, such warrants will not provide you any rights as a common stockholder, such as voting rights, except as set forth therein. Upon exercise of your Common Warrants purchased in this offering, you will be entitled to exercise the rights of a common stockholder only as to matters for which the record date occurs on or after the exercise date. Moreover, following this offering, the market value of the Common Warrants is uncertain and there can be no assurance that the market value of the Common Warrants will equal or exceed their offering price. The Common Warrants being offered by us in this offering have an exercise price of $1.10 per share, subject to certain adjustments. The Common Warrants will become exercisable on the six month anniversary of the date of issuance and expire five years from the date of issuance, after which date any unexercised Common Warrants will expire and have no further value. In the event that the market price of our common stock does not exceed the exercise price of the Common Warrants during the period when they are exercisable, the Common Warrants may not have any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receive any additional funds upon the exercise of the Common Warrants and the Placement Agent Warrants. </w:t>
      </w:r>
    </w:p>
    <w:p>
      <w:pPr>
        <w:pStyle w:val="TextBody"/>
        <w:bidi w:val="0"/>
        <w:spacing w:before="120" w:after="0"/>
        <w:jc w:val="left"/>
        <w:rPr>
          <w:rFonts w:ascii="Times New Roman" w:hAnsi="Times New Roman"/>
          <w:sz w:val="20"/>
        </w:rPr>
      </w:pPr>
      <w:r>
        <w:rPr>
          <w:rFonts w:ascii="Times New Roman" w:hAnsi="Times New Roman"/>
          <w:sz w:val="20"/>
        </w:rPr>
        <w:t xml:space="preserve">Each Common Warrant and the Placement Agent Warrants may be exercised by way of a cashless exercise if permitted by the terms of such warrants, meaning that the holder may not pay a cash purchase price upon exercise, but instead would receive upon such exercise the net number of shares of our common stock determined according to the formula set forth in the Common Warrant and the Placement Agent Warrants, as applicable. Accordingly, we may not receive any additional funds upon the exercise of the Common Warrants or the Placement Agent Warrants or if the Common Warrants or the Placement Agent Warrants altogether are not exercised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apply for any listing of the Common Warrants on any exchange or nationally recognized trading system, and we do not expect a market to develop for the Common Warrants. </w:t>
      </w:r>
    </w:p>
    <w:p>
      <w:pPr>
        <w:pStyle w:val="TextBody"/>
        <w:bidi w:val="0"/>
        <w:spacing w:before="120" w:after="0"/>
        <w:jc w:val="left"/>
        <w:rPr>
          <w:rFonts w:ascii="Times New Roman" w:hAnsi="Times New Roman"/>
          <w:sz w:val="20"/>
        </w:rPr>
      </w:pPr>
      <w:r>
        <w:rPr>
          <w:rFonts w:ascii="Times New Roman" w:hAnsi="Times New Roman"/>
          <w:sz w:val="20"/>
        </w:rPr>
        <w:t xml:space="preserve">We do not intend to apply for any listing of Common Warrants on the Nasdaq Capital Market or any other securities exchange or nationally recognized trading system, and we do not expect a market to develop for the Common Warrants. Without an active market, the liquidity of Common Warrants will be limited. Further, the existence of the Common Warrants may act to reduce both the trading volume and the trading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holders of our common stock may not be permitted to exercise Common Warrants that they purchase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Common Warrants will prohibit a holder (together with its affiliates and other attribution parties) from exercising any portion of a Common Warrant to the extent that immediately after giving effect to such exercise, the holder would own more than 4.99% of our outstanding common stock, provided that, at the election of the holder, such beneficial ownership limitation may be increased or decreased to a percentage not to exceed 9.99% of our outstanding common stock upon 61 days notice to us. As a result, if you hold a significant amount of our securities, you may not be able to exercise your Common Warrants for shares of our common stock, in whole or in part, at a time when it would be financially beneficial for you to do so.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have the sufficient resources to repurchase the Common Warrants. </w:t>
      </w:r>
    </w:p>
    <w:p>
      <w:pPr>
        <w:pStyle w:val="TextBody"/>
        <w:bidi w:val="0"/>
        <w:spacing w:before="120" w:after="0"/>
        <w:jc w:val="left"/>
        <w:rPr>
          <w:rFonts w:ascii="Times New Roman" w:hAnsi="Times New Roman"/>
          <w:sz w:val="20"/>
        </w:rPr>
      </w:pPr>
      <w:r>
        <w:rPr>
          <w:rFonts w:ascii="Times New Roman" w:hAnsi="Times New Roman"/>
          <w:sz w:val="20"/>
        </w:rPr>
        <w:t xml:space="preserve">Under certain circumstances, in the event of a fundamental transaction, as described in the Common Warrants, holders of the Common Warrants may each require us or our successor entity in such transaction to repurchase the remaining unexercised portion of such Common Warrant for an amount of cash equal to the value of such Common Warrant as determined in accordance with the Black Scholes option pricing model on the date of the fundamental transaction, if the fundamental transaction is within our control. Our or such successor entitys ability to repurchase the Common Warrants upon such an event will depend on our or such successor entitys available cash resources at such time, which will also be subject to general economic, financial, competitive, legislative and regulatory factors and other factors that are beyond our control. We cannot assure you that we will maintain sufficient cash reserves or that our business will generate cash flow from operations at levels sufficient to permit us to repurchase the Common Warrants in the event of a fundamental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maintain a current and effective registration statement or resale registration statement registering the shares of common stock issuable upon exercise of the Common Warrants, holders will also be able to exercise such Common Warrants on a cashless basis. </w:t>
      </w:r>
    </w:p>
    <w:p>
      <w:pPr>
        <w:pStyle w:val="TextBody"/>
        <w:bidi w:val="0"/>
        <w:spacing w:before="120" w:after="0"/>
        <w:jc w:val="left"/>
        <w:rPr>
          <w:rFonts w:ascii="Times New Roman" w:hAnsi="Times New Roman"/>
          <w:sz w:val="20"/>
        </w:rPr>
      </w:pPr>
      <w:r>
        <w:rPr>
          <w:rFonts w:ascii="Times New Roman" w:hAnsi="Times New Roman"/>
          <w:sz w:val="20"/>
        </w:rPr>
        <w:t xml:space="preserve">If a registration statement registering the shares of common stock issuable upon exercise of the Common Warrants under the Securities Act is not effective or available at the time that holders wish to exercise such Common Warrants, and if a resale registration statement registering the shares of common stock issuable upon exercise of the Common Warrants under the Securities Act is also not effective or available at the time that holders wish to exercise such Common Warrants, holders will also be able to exercise the Common Warrants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cashless basis. As a result, the number of shares of common stock that holders will receive upon exercise of the Common Warrants will be fewer than it would have been had such holders exercised their Common Warrants for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our common stock may fluctuate significantly, and investors in our common stock may lose all or a part of their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prices for securities of biotechnology and pharmaceutical companies have historically been highly volatile, and the market has from time to time experienced significant price and volume fluctuations that are unrelated to the operating performance of particular companies. For example, from November 11, 2022 (the first trading day following the closing of the Business Combination) to April 23, 2024, our closing stock price ranged from $0.90 to $14.80. The market price of our common stock may fluctuate significantly in response to numerous factors, some of which are beyond our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recurring losses from operations, negative cash flows and substantial cumulative net losses raise substantial doubt about our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In Note 2 titled </w:t>
      </w:r>
      <w:r>
        <w:rPr>
          <w:rFonts w:ascii="Times New Roman" w:hAnsi="Times New Roman"/>
          <w:i/>
          <w:sz w:val="20"/>
        </w:rPr>
        <w:t>Liquidity and Going Concern</w:t>
      </w:r>
      <w:r>
        <w:rPr>
          <w:rFonts w:ascii="Times New Roman" w:hAnsi="Times New Roman"/>
          <w:sz w:val="20"/>
        </w:rPr>
        <w:t xml:space="preserve"> of our consolidated financial statements included in our Annual Report on Form 10-K for the year ended December 31, 2023, we disclose that there is substantial doubt about our ability to continue as a going concern. In addition, our independent registered public accounting firm included an explanatory paragraph in its report on our consolidated financial statements as of and for the year ended December 31, 2023, which stated that substantial doubt existed about our ability to continue as a going concern. We have negative working capital and have incurred significant operating losses and negative cash flows from operations and expect to continue incurring losses for the foreseeable future. Further, we had an accumulated deficit of approximately $490.2 million as of December 31, 2023 and approximately $375.9 million as of December 31, 2022. These conditions raise substantial doubt about our ability to continue as a going concern. Our consolidated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become a profitable operating company is dependent upon our ability to generate revenue and obtain financing adequate to fulfill our development and commercialization activities, and achieving a level of revenue adequate to support our cost structure. We have plans to obtain additional resources to fund our currently planned operations and expenditures through additional debt and equity financing. Our plans are substantially dependent upon the success of future sales of ZTlido, which is still in the early stages of commercialization, and are dependent upon, among other things, the success of our marketing of ZTlido and our ability to secure additional payor contracts with terms that are consistent with our business plan. If we are unable to obtain sufficient funding, our financial condition and results of operations will be materially and adversely affected and we may be unable to continue as a going concern. Future financial statements may disclose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supp784749_4"/>
      <w:bookmarkEnd w:id="6"/>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documents incorporated by reference into this prospectus supplement may contain forward-looking statements within the meaning of Section 27A of the Securities Act, and Section 21E of the Exchange Act, about us and our subsidiaries. These forward-looking statements are intended to be covered by the safe harbor for forward-looking statements provided by the Private Securities Litigation Reform Act of 1995.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These forward-looking statements rely on a number of assumptions concerning future events and include statements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common stock on the Nasdaq Capital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public securities liquidity and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financing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use of equity or debt financings to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use cash on hand to meet current and future financial obligations, including funding our operations, debt service requirements and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directors, officers, employees and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in a highly competitive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competition from larger biotechnology companies that have greater resources, technology, relationships and/or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protect and enhance our corporate reputation and brand;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from future regulatory, judicial and legislative changes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any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research, discover and develop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and manage growth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intellectual property protection and not infringe on the rights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our business plans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global economic and political developments, including the conflicts in Ukraine and Israel;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COVID-19 and other similar disruptions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should be considered in light of these factors. Such statements can be identified by the fact that they do not relate strictly to historical or current facts. Any statements that refer to projections, forecasts or other characterizations of future events or circumstances, including any underlying assumptions, are forward looking statements. Forward-looking statements are typically identified by words such as plan, believe, expect, anticipate, contemplate, intend, outlook, estimate, forecast, project, continue, could, may, might, possible, potential, predict, should, will, would and other similar words and expressions (including the negative of any of the foregoing), but the absence of these words does not mean that a statement is not forward-looking. These forward-looking statements are based on information available as of the date of this prospectus supplement and our managements current expectations, forecasts and assumptions, and involve a number of judgments, known and unknown risks and uncertainties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factors, many of which are outside the control of the Company and our directors, officers and affiliates. There can be no assurance that future developments will be those that have been anticipated. Accordingly, forward-looking statements should not be relied upon as representing our views as of any subsequent date. You are cautioned not to put undue reliance on any forward-looking statements. Except as otherwise required by law, we do not assume any obligation to update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Part I Item 1A, Risk Factors, in our Annual Report on Form 10-K for the year ended December 31, 2023 and in other filings with the SEC, which may be amended, supplemented or superseded from time to time by other reports we file with the SEC in the future, that are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assume that the information appearing in this prospectus supplement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Some of these risks and uncertainties may in the future be amplified by COVID-19 (or other similar disruptions), and there may be additional risks that we consider immaterial or which are unknown. It is not possible to predict or identify all such risks. All written or oral forward-looking statements attributable to us or any person acting on our behalf made after the date of this prospectus supplement are expressly qualified in their entirety by the risk factors and cautionary statements contained in and incorporated by reference into this prospectus supplement. Unless legally required, we do not undertake any obligation to release publicly any revisions to such forward-looking statements to reflect events or circumstances after the date of this prospectus supplement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supp784749_5"/>
      <w:bookmarkEnd w:id="7"/>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Certain information contained in this prospectus supplement relates to or is based on studies, publications, surveys and other data obtained from third-party sources and our own internal estimates and research. While we believe these third-party sources to be reliable as of the date of this prospectus supplement, we have not independently verified the market and industry data contained in this prospectus supplement or the underlying assumptions relied on therein. Finally, while we believe our own internal research is reliable, such research has not been verified by any independent source. Notwithstanding the foregoing, we are liable for the information provided in this prospectus supplement. The industry in which we operate is subject to a high degree of uncertainty and risk due to a variety of factors, including those described in the section of this prospectus supplement titled </w:t>
      </w:r>
      <w:r>
        <w:rPr>
          <w:rFonts w:ascii="Times New Roman" w:hAnsi="Times New Roman"/>
          <w:i/>
          <w:sz w:val="20"/>
        </w:rPr>
        <w:t>Risk Factors</w:t>
      </w:r>
      <w:r>
        <w:rPr>
          <w:rFonts w:ascii="Times New Roman" w:hAnsi="Times New Roman"/>
          <w:sz w:val="20"/>
        </w:rPr>
        <w:t xml:space="preserve">. These and other factors could cause results to differ materially from those expressed in the estimates made by the independent parties and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supp784749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sale of securities in this offering will be approximately $13.4 million, after deducting the Placement Agents fees and estimated offering expenses payable by us, and excluding the proceeds, if any, from the cash exercise of the Common Warrants issued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We will only receive additional proceeds from the exercise of the Common Warrants if the Common Warrants are exercised and the holders of such Common Warrants pay the exercise price in cash upon such exercise and do not utilize the cashless exercise provision of the Common Warrants.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including any net proceeds to us from the exercise of the Common Warrants,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precise amount and timing of the application of these proceeds will depend upon a number of factors, such as the costs and timing of commercial and development activities, including, for example, conducting preclinical studies and clinical trials, our funding requirements and the availability and costs of other funds. Pending application of the net proceeds as described above, we intend to temporarily invest the proceeds in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supp784749_7"/>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We have never declared or paid any dividend on shares of our common stock. We anticipate that we will retain all of our future earnings, if any, to fund the development and growth of our business. Any future determination to pay dividends on our capital stock will be at the discretion of our board of directors. It is the present intention of our board of directors to retain all earnings, if any, for use in our business operations and, accordingly, our board of directors does not anticipate declaring any dividend in the foreseeable future, except as disclosed in the section titled </w:t>
      </w:r>
      <w:r>
        <w:rPr>
          <w:rFonts w:ascii="Times New Roman" w:hAnsi="Times New Roman"/>
          <w:i/>
          <w:sz w:val="20"/>
        </w:rPr>
        <w:t>Use of Proceeds</w:t>
      </w:r>
      <w:r>
        <w:rPr>
          <w:rFonts w:ascii="Times New Roman" w:hAnsi="Times New Roman"/>
          <w:sz w:val="20"/>
        </w:rPr>
        <w:t xml:space="preserve">. Should we decide in the future to do so, as a holding company, our ability to pay dividends on our capital stock and meet other obligations depends upon the receipt of dividends or other payments from our operating subsidiaries. Further, our ability to pay dividends may be limited by covenants of any existing outstanding indebtedness (including the senior secured promissory note currently held by Oramed Pharmaceuticals Inc.) and future outstanding indebtedness we or our subsidiaries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supp784749_9"/>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securities in this offering, your interest will be diluted to the extent of the difference between the effective offering price per share and the net tangible book value per share of our common stock after this offering, assuming no value is attributed to the Common Warrants issued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we had net tangible book value of approximately $(222,904,000), or $(1.39) per share. Net tangible book value per share represents the amount of total tangible assets less total liabilities divided by the number of shares of our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Our pro forma net tangible book value as of December 31, 2023, before giving effect to this offering, was approximately $(213,581,000), or $(1.29) per share of our common stock. Pro forma net tangible book value, before the issuance and sale of shares of securities in this offering, gives effect to the issuance of an aggregate of 6,105,585 shares of common stock after December 31, 2023 and prior to March 31, 2024 (comprised of (i) an aggregate of 96,982 shares of common stock issued pursuant to advances made under the Companys existing standby equity lines of credit, (ii) 92,295 shares of common stock issued under the Companys at-the-market program, (iii) 5,882,353 shares of common stock issued pursuant to an underwritten public offering by the Company and (iv) 33,955 shares of common stock issued upon exercise of outstanding stock options), and assumes that following March 31, 2024 we have not issued any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After giving further effect to (i) the pro forma adjustments set forth above and (ii) the issuance and sale in this offering of 15,000,000 shares of common stock at an offering price of $1.00 per share, after deducting Placement Agents fees and estimated offering expenses payable by the Company, our pro forma as adjusted net tangible book value as of December 31, 2023 would have been approximately $(200,151,000), or approximately $(1.10) per share. This amount represents an immediate increase in pro forma net tangible book value of approximately $0.18 per share to our existing stockholders and an immediate dilution in net tangible book value of approximately $2.10 per share to new investors purchasing securities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new investors is determined by subtracting pro forma as adjusted net tangible book value per share after this offering from the offering price per share paid by new investors. The following table illustrates this dilution: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263"/>
        <w:gridCol w:w="501"/>
        <w:gridCol w:w="140"/>
        <w:gridCol w:w="1007"/>
        <w:gridCol w:w="155"/>
        <w:gridCol w:w="501"/>
        <w:gridCol w:w="140"/>
        <w:gridCol w:w="522"/>
        <w:gridCol w:w="159"/>
      </w:tblGrid>
      <w:tr>
        <w:trPr/>
        <w:tc>
          <w:tcPr>
            <w:tcW w:w="6263"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Combined offering price per share of common stock and accompanying Common Warrant</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22" w:type="dxa"/>
            <w:tcBorders/>
            <w:shd w:fill="CCEEFF" w:val="clear"/>
            <w:vAlign w:val="bottom"/>
          </w:tcPr>
          <w:p>
            <w:pPr>
              <w:pStyle w:val="TableContents"/>
              <w:bidi w:val="0"/>
              <w:spacing w:before="0" w:after="283"/>
              <w:jc w:val="right"/>
              <w:rPr/>
            </w:pPr>
            <w:r>
              <w:rPr/>
              <w:t>1.00</w:t>
            </w:r>
          </w:p>
        </w:tc>
        <w:tc>
          <w:tcPr>
            <w:tcW w:w="159" w:type="dxa"/>
            <w:tcBorders/>
            <w:shd w:fill="CCEEFF" w:val="clear"/>
            <w:vAlign w:val="bottom"/>
          </w:tcPr>
          <w:p>
            <w:pPr>
              <w:pStyle w:val="TableContents"/>
              <w:bidi w:val="0"/>
              <w:spacing w:before="0" w:after="283"/>
              <w:jc w:val="left"/>
              <w:rPr/>
            </w:pPr>
            <w:r>
              <w:rPr/>
              <w:t> </w:t>
            </w:r>
          </w:p>
        </w:tc>
      </w:tr>
      <w:tr>
        <w:trPr/>
        <w:tc>
          <w:tcPr>
            <w:tcW w:w="6263"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December 31, 2023</w:t>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(1.39</w:t>
            </w:r>
          </w:p>
        </w:tc>
        <w:tc>
          <w:tcPr>
            <w:tcW w:w="155"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December 31, 2023</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(1.29</w:t>
            </w:r>
          </w:p>
        </w:tc>
        <w:tc>
          <w:tcPr>
            <w:tcW w:w="155"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63" w:type="dxa"/>
            <w:tcBorders/>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attributable to the issuance of an aggregate of 6,105,585 shares of our common stock after December 31, 2023 and on or prior to March 31, 2024 (as described above)</w:t>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0.10</w:t>
            </w:r>
          </w:p>
        </w:tc>
        <w:tc>
          <w:tcPr>
            <w:tcW w:w="155"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share, after giving effect to this offering</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63"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after this offering</w:t>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22" w:type="dxa"/>
            <w:tcBorders/>
            <w:vAlign w:val="bottom"/>
          </w:tcPr>
          <w:p>
            <w:pPr>
              <w:pStyle w:val="TableContents"/>
              <w:bidi w:val="0"/>
              <w:spacing w:before="0" w:after="283"/>
              <w:jc w:val="right"/>
              <w:rPr/>
            </w:pPr>
            <w:r>
              <w:rPr/>
              <w:t>(1.10</w:t>
            </w:r>
          </w:p>
        </w:tc>
        <w:tc>
          <w:tcPr>
            <w:tcW w:w="159" w:type="dxa"/>
            <w:tcBorders/>
            <w:vAlign w:val="bottom"/>
          </w:tcPr>
          <w:p>
            <w:pPr>
              <w:pStyle w:val="TableContents"/>
              <w:bidi w:val="0"/>
              <w:spacing w:before="0" w:after="283"/>
              <w:jc w:val="left"/>
              <w:rPr/>
            </w:pPr>
            <w:r>
              <w:rPr/>
              <w:t>) </w:t>
            </w:r>
          </w:p>
        </w:tc>
      </w:tr>
      <w:tr>
        <w:trPr/>
        <w:tc>
          <w:tcPr>
            <w:tcW w:w="6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participating in this offering</w:t>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22" w:type="dxa"/>
            <w:tcBorders/>
            <w:shd w:fill="CCEEFF" w:val="clear"/>
            <w:vAlign w:val="bottom"/>
          </w:tcPr>
          <w:p>
            <w:pPr>
              <w:pStyle w:val="TableContents"/>
              <w:bidi w:val="0"/>
              <w:spacing w:before="0" w:after="283"/>
              <w:jc w:val="right"/>
              <w:rPr/>
            </w:pPr>
            <w:r>
              <w:rPr/>
              <w:t>2.10</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discussion and table above assume no exercise of the Common Warrants or the Placement Agent Warrants issued as compensation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above table is based on 160,084,250 shares of common stock outstanding as of December 31, 2023, and excludes the following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653,282 shares of common stock issuable upon the exercise of stock options outstanding under the 2017 Scilex Pharmaceuticals Inc. Equity Incentive Plan with a weighted average exercise price of $0.77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15,599,264 shares of common stock issuable upon the exercise of stock options outstanding under the 2019 Stock Option Plan of Scilex, Inc. with a weighted average exercise price of $1.73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17,014,591 shares of common stock issuable upon the exercise of stock options outstanding under the Scilex Holding Company 2022 Equity Incentive Plan, as amended, with a weighted average exercise price of $6.90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19,952,350 shares of common stock available for future issuance under the Scilex Holding Company 2022 Equity Incentive Plan,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2,875,759 shares of common stock available for future issuance under the Scilex Holding Company 2022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1,400,000 shares of common stock available for future issuance under the Scilex Holding Company 2023 Inducement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10,958,309 shares of common stock issuable upon the exercise of the public and private warrants, with an exercise price of $11.50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13,000,000 shares of common stock issuable upon the exercise of the warrants, with an exercise price of $0.01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5,882,353 shares of common stock issuable upon the exercise of our warrants to purchase shares of our common stock, with an exercise price of $1.70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470,588 shares of common stock issuable upon the exercise of our warrants to purchase shares of our common stock, with an exercise price of $2.125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options or warrants (including the Common Warrants offered hereby and the Placement Agent Warrants to be issued as compensation in connection with this offering) are exercised or convertible notes are converted, new options or other equity awards are issued under our equity incentive plans, or we issue additional shares of common stock or other equity or convertible debt securities in the future, there may be further dilution to investors participating in this offering. Moreover,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supp784749_10"/>
      <w:bookmarkEnd w:id="11"/>
      <w:r>
        <w:rPr>
          <w:rFonts w:ascii="Times New Roman" w:hAnsi="Times New Roman"/>
          <w:b/>
          <w:sz w:val="20"/>
        </w:rPr>
        <w:t xml:space="preserve">DESCRIPTION OF SECURITIES OFFERED </w:t>
      </w:r>
    </w:p>
    <w:p>
      <w:pPr>
        <w:pStyle w:val="TextBody"/>
        <w:bidi w:val="0"/>
        <w:spacing w:before="24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(i) 740,000,000 shares of common stock, $0.0001 par value per share and (ii) 45,000,000 shares of preferred stock, $0.0001 par value per share, of which 29,057,097 shares have been designated as Series A Preferred Stock. As of March 31, 2024, there were 166,189,835 shares of common stock and 29,057,097 shares of Series A Preferred Stock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Nasdaq Capital Market under the symbol SCLX. On April 23, 2024, the last reported sale price of our common stock on the Nasdaq Capital Market was $0.98 per share. </w:t>
      </w:r>
    </w:p>
    <w:p>
      <w:pPr>
        <w:pStyle w:val="TextBody"/>
        <w:bidi w:val="0"/>
        <w:spacing w:before="240" w:after="0"/>
        <w:jc w:val="left"/>
        <w:rPr/>
      </w:pPr>
      <w:r>
        <w:rPr>
          <w:rFonts w:ascii="Times New Roman" w:hAnsi="Times New Roman"/>
          <w:sz w:val="20"/>
        </w:rPr>
        <w:t>The material terms of our common stock are described under the heading </w:t>
      </w:r>
      <w:hyperlink w:anchor="rom784749_6">
        <w:r>
          <w:rPr>
            <w:rStyle w:val="InternetLink"/>
            <w:rFonts w:ascii="Times New Roman" w:hAnsi="Times New Roman"/>
            <w:sz w:val="20"/>
          </w:rPr>
          <w:t>Description of Capital Stock</w:t>
        </w:r>
      </w:hyperlink>
      <w:r>
        <w:rPr>
          <w:rFonts w:ascii="Times New Roman" w:hAnsi="Times New Roman"/>
          <w:sz w:val="20"/>
        </w:rPr>
        <w:t xml:space="preserve"> in the accompanying base prospectus beginning on page 10. </w:t>
      </w:r>
    </w:p>
    <w:p>
      <w:pPr>
        <w:pStyle w:val="TextBody"/>
        <w:bidi w:val="0"/>
        <w:spacing w:before="360" w:after="0"/>
        <w:jc w:val="left"/>
        <w:rPr>
          <w:rFonts w:ascii="Times New Roman" w:hAnsi="Times New Roman"/>
          <w:b/>
          <w:sz w:val="20"/>
        </w:rPr>
      </w:pPr>
      <w:r>
        <w:rPr>
          <w:rFonts w:ascii="Times New Roman" w:hAnsi="Times New Roman"/>
          <w:b/>
          <w:sz w:val="20"/>
        </w:rPr>
        <w:t xml:space="preserve">Common Warrants to be Issued in this Offering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summary of certain terms and provisions of the Common Warrants is not complete and is subject to, and qualified in its entirety by, the provisions of the warrants. Prospective investors should carefully review the terms and provisions of the form of Common Warrant that is filed as an exhibit to a Current Report on Form 8-K that we will file in connection with this offering for a complete description of the terms and conditions of the Common Warrants. </w:t>
      </w:r>
    </w:p>
    <w:p>
      <w:pPr>
        <w:pStyle w:val="TextBody"/>
        <w:bidi w:val="0"/>
        <w:spacing w:before="240" w:after="0"/>
        <w:jc w:val="left"/>
        <w:rPr>
          <w:rFonts w:ascii="Times New Roman" w:hAnsi="Times New Roman"/>
          <w:sz w:val="20"/>
        </w:rPr>
      </w:pPr>
      <w:r>
        <w:rPr>
          <w:rFonts w:ascii="Times New Roman" w:hAnsi="Times New Roman"/>
          <w:i/>
          <w:sz w:val="20"/>
        </w:rPr>
        <w:t>Duration and Exercise Price</w:t>
      </w:r>
      <w:r>
        <w:rPr>
          <w:rFonts w:ascii="Times New Roman" w:hAnsi="Times New Roman"/>
          <w:sz w:val="20"/>
        </w:rPr>
        <w:t xml:space="preserve">. Each Common Warrant will have an initial exercise price per share equal to $1.10. The Common Warrants will become exercisable on the six month anniversary of the date of issuance and will expire five years from the date of issuance. The exercise price and number of shares of common stock issuable upon exercise of the Common Warrant is subject to appropriate adjustment in the event of stock dividends, stock splits, reorganizations or similar events affecting our common stock and the exercise price. Each of the Common Warrants will be issued separately from the common stock included in this offering. </w:t>
      </w:r>
    </w:p>
    <w:p>
      <w:pPr>
        <w:pStyle w:val="TextBody"/>
        <w:bidi w:val="0"/>
        <w:spacing w:before="240" w:after="0"/>
        <w:jc w:val="left"/>
        <w:rPr>
          <w:rFonts w:ascii="Times New Roman" w:hAnsi="Times New Roman"/>
          <w:sz w:val="20"/>
        </w:rPr>
      </w:pPr>
      <w:r>
        <w:rPr>
          <w:rFonts w:ascii="Times New Roman" w:hAnsi="Times New Roman"/>
          <w:i/>
          <w:sz w:val="20"/>
        </w:rPr>
        <w:t>Exercisability</w:t>
      </w:r>
      <w:r>
        <w:rPr>
          <w:rFonts w:ascii="Times New Roman" w:hAnsi="Times New Roman"/>
          <w:sz w:val="20"/>
        </w:rPr>
        <w:t xml:space="preserve">. The Common Warrants will be exercisable, at the option of each holder, in whole or in part, by delivering to us a duly executed exercise notice accompanied by payment in full for the number of shares of our common stock purchased upon such exercise. A holder (together with its affiliates and other attribution parties) may not exercise any portion of a Common Warrant to the extent that immediately after giving effect to such exercise the holder would own more than 4.99% of the outstanding common stock immediately after exercise, which percentage may be changed at the holders election to a higher or lower percentage, not to exceed 9.99%, upon 61 days notice to us. </w:t>
      </w:r>
    </w:p>
    <w:p>
      <w:pPr>
        <w:pStyle w:val="TextBody"/>
        <w:bidi w:val="0"/>
        <w:spacing w:before="240" w:after="0"/>
        <w:jc w:val="left"/>
        <w:rPr>
          <w:rFonts w:ascii="Times New Roman" w:hAnsi="Times New Roman"/>
          <w:sz w:val="20"/>
        </w:rPr>
      </w:pPr>
      <w:r>
        <w:rPr>
          <w:rFonts w:ascii="Times New Roman" w:hAnsi="Times New Roman"/>
          <w:i/>
          <w:sz w:val="20"/>
        </w:rPr>
        <w:t>Cashless Exercise:</w:t>
      </w:r>
      <w:r>
        <w:rPr>
          <w:rFonts w:ascii="Times New Roman" w:hAnsi="Times New Roman"/>
          <w:sz w:val="20"/>
        </w:rPr>
        <w:t xml:space="preserve"> If, at any time during the term of the Common Warrants, the issuance of shares of our common stock upon exercise of the Common Warrants is not covered by an effective registration statement, the holder is permitted to effect a cashless exercise of the Common Warrants (in whole or in part) in which case the holder would receive upon such exercise the net number of shares of common stock determined according to the formula set forth in the Common Warrant. Shares issued pursuant to a cashless exercise would be issued pursuant to the exemption from registration provided by Section 3(a)(9) of the Securities Act, and thus the shares of common stock issued upon such cashless exercise would take on the characteristics of the Common Warrants being exercised, including, for purposes of Rule 144(d) promulgated under the Securities Act, a holding period beginning from the original issuance date of the Common Warrants. In addition, each warrant outstanding on the expiration date shall be automatically exercised via cashless exercise. </w:t>
      </w:r>
    </w:p>
    <w:p>
      <w:pPr>
        <w:pStyle w:val="TextBody"/>
        <w:bidi w:val="0"/>
        <w:spacing w:before="240" w:after="0"/>
        <w:jc w:val="left"/>
        <w:rPr>
          <w:rFonts w:ascii="Times New Roman" w:hAnsi="Times New Roman"/>
          <w:sz w:val="20"/>
        </w:rPr>
      </w:pPr>
      <w:r>
        <w:rPr>
          <w:rFonts w:ascii="Times New Roman" w:hAnsi="Times New Roman"/>
          <w:i/>
          <w:sz w:val="20"/>
        </w:rPr>
        <w:t>Fractional Shares</w:t>
      </w:r>
      <w:r>
        <w:rPr>
          <w:rFonts w:ascii="Times New Roman" w:hAnsi="Times New Roman"/>
          <w:sz w:val="20"/>
        </w:rPr>
        <w:t xml:space="preserve">. No fractional shares of common stock will be issued upon the exercise of the Common Warrants. Rather, at our election, either the number of shares of common stock to be issued will be rounded up to the nearest whole number or we will pay a cash adjustment in respect of such fractional share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Subject to applicable laws, a Common Warrant may be transferred at the option of the holder upon surrender of the Common Warrant to us together with the appropriate instruments of transfer. </w:t>
      </w:r>
    </w:p>
    <w:p>
      <w:pPr>
        <w:pStyle w:val="TextBody"/>
        <w:bidi w:val="0"/>
        <w:spacing w:before="240" w:after="0"/>
        <w:jc w:val="left"/>
        <w:rPr>
          <w:rFonts w:ascii="Times New Roman" w:hAnsi="Times New Roman"/>
          <w:sz w:val="20"/>
        </w:rPr>
      </w:pPr>
      <w:r>
        <w:rPr>
          <w:rFonts w:ascii="Times New Roman" w:hAnsi="Times New Roman"/>
          <w:i/>
          <w:sz w:val="20"/>
        </w:rPr>
        <w:t>Exchange Listing</w:t>
      </w:r>
      <w:r>
        <w:rPr>
          <w:rFonts w:ascii="Times New Roman" w:hAnsi="Times New Roman"/>
          <w:sz w:val="20"/>
        </w:rPr>
        <w:t xml:space="preserve">. There is no trading market available for the Common Warrants on any securities exchange or nationally recognized trading system. We do not intend to list the Common Warrants on the Nasdaq Capital Market, any other national securities exchange or any other nationally recognized trading system. The common stock issuable upon exercise of the Common Warrants is currently listed on the Nasdaq Capital Market. </w:t>
      </w:r>
    </w:p>
    <w:p>
      <w:pPr>
        <w:pStyle w:val="TextBody"/>
        <w:bidi w:val="0"/>
        <w:spacing w:before="240" w:after="0"/>
        <w:jc w:val="left"/>
        <w:rPr>
          <w:rFonts w:ascii="Times New Roman" w:hAnsi="Times New Roman"/>
          <w:sz w:val="20"/>
        </w:rPr>
      </w:pPr>
      <w:r>
        <w:rPr>
          <w:rFonts w:ascii="Times New Roman" w:hAnsi="Times New Roman"/>
          <w:i/>
          <w:sz w:val="20"/>
        </w:rPr>
        <w:t>Rights as a Stockholder</w:t>
      </w:r>
      <w:r>
        <w:rPr>
          <w:rFonts w:ascii="Times New Roman" w:hAnsi="Times New Roman"/>
          <w:sz w:val="20"/>
        </w:rPr>
        <w:t xml:space="preserve">. Except as otherwise provided in the Common Warrants or by virtue of such holders ownership of shares of our common stock, the holders of the Common Warrants do not have the rights or privileges of holders of our common stock, including any voting rights, until they exercise their Common Warrants. </w:t>
      </w:r>
    </w:p>
    <w:p>
      <w:pPr>
        <w:pStyle w:val="TextBody"/>
        <w:bidi w:val="0"/>
        <w:spacing w:before="240" w:after="0"/>
        <w:jc w:val="left"/>
        <w:rPr>
          <w:rFonts w:ascii="Times New Roman" w:hAnsi="Times New Roman"/>
          <w:sz w:val="20"/>
        </w:rPr>
      </w:pPr>
      <w:r>
        <w:rPr>
          <w:rFonts w:ascii="Times New Roman" w:hAnsi="Times New Roman"/>
          <w:i/>
          <w:sz w:val="20"/>
        </w:rPr>
        <w:t>Purchase Rights.</w:t>
      </w:r>
      <w:r>
        <w:rPr>
          <w:rFonts w:ascii="Times New Roman" w:hAnsi="Times New Roman"/>
          <w:sz w:val="20"/>
        </w:rPr>
        <w:t xml:space="preserve"> If at any time prior to the expiration of the Common Warrants the Company grants, issues or sells any purchase rights (including options, convertible securities or rights to purchase stock, warrants, securities or other property) pro rata to the record holders of our common stock, each Common Warrant holder will be entitled to acquire the aggregate purchase rights which the holder could have acquired if the holder had held the number of shares of common stock acquirable upon exercise of his or her Common Warrant. The holders participation in any such purchase right is subject to the beneficial ownership limitations described above. </w:t>
      </w:r>
    </w:p>
    <w:p>
      <w:pPr>
        <w:pStyle w:val="TextBody"/>
        <w:bidi w:val="0"/>
        <w:spacing w:before="240" w:after="0"/>
        <w:jc w:val="left"/>
        <w:rPr>
          <w:rFonts w:ascii="Times New Roman" w:hAnsi="Times New Roman"/>
          <w:sz w:val="20"/>
        </w:rPr>
      </w:pPr>
      <w:r>
        <w:rPr>
          <w:rFonts w:ascii="Times New Roman" w:hAnsi="Times New Roman"/>
          <w:i/>
          <w:sz w:val="20"/>
        </w:rPr>
        <w:t>Dividends and Other Distributions</w:t>
      </w:r>
      <w:r>
        <w:rPr>
          <w:rFonts w:ascii="Times New Roman" w:hAnsi="Times New Roman"/>
          <w:sz w:val="20"/>
        </w:rPr>
        <w:t xml:space="preserve">: If we declare or make any dividend or other distribution of our assets to holders of shares of our common stock (including any distribution of cash, stock or other securities, property, options, evidence of indebtedness or any other assets), then, subject to certain limitations on exercise described in the Common Warrants, each holder of a Common Warrant shall receive the distributed assets that such holder would have been entitled to receive in the distribution had the holder exercised the Common Warrant immediately prior to the record date for the distribution. To the extent that the Common Warrants have not been partially or completely exercised at the time of such distribution, such portion of the distribution shall be held in abeyance for the benefit of the holder until the holder has exercised such warrant. </w:t>
      </w:r>
    </w:p>
    <w:p>
      <w:pPr>
        <w:pStyle w:val="TextBody"/>
        <w:bidi w:val="0"/>
        <w:spacing w:before="240" w:after="0"/>
        <w:jc w:val="left"/>
        <w:rPr>
          <w:rFonts w:ascii="Times New Roman" w:hAnsi="Times New Roman"/>
          <w:sz w:val="20"/>
        </w:rPr>
      </w:pPr>
      <w:r>
        <w:rPr>
          <w:rFonts w:ascii="Times New Roman" w:hAnsi="Times New Roman"/>
          <w:i/>
          <w:sz w:val="20"/>
        </w:rPr>
        <w:t>Fundamental Transaction</w:t>
      </w:r>
      <w:r>
        <w:rPr>
          <w:rFonts w:ascii="Times New Roman" w:hAnsi="Times New Roman"/>
          <w:sz w:val="20"/>
        </w:rPr>
        <w:t xml:space="preserve">. Subject to certain exceptions set forth in the Common Warrants, in the event of a fundamental transaction, as described in the Common Warrants and generally including any merger or consolidation with or into another entity, the holders of the Common Warrants, shall have the right to exercise the Common Warrant and receive the same amount and kind of securities, cash or property as such holder would have been entitled to receive upon the occurrence of such fundamental transaction if it had been, immediately prior to such fundamental transaction, the holder of shares of common stock issuable upon exercise in full of the Common Warrant. In addition, in the event of a fundamental transaction that is within our control, including a fundamental transaction approved by our board of directors or where the consideration is in all stock of the successor entity, each holder of the Common Warrants will have the right to require us to repurchase the unexercised portion of its Common Warrant at its fair value using the Black Scholes option pricing formula. In the event of a fundamental transaction which is not within our control, including a fundamental transaction not approved by our board of directors or the consideration is not in all stock of the successor entity, each holder of warrants will have the right to require us or a successor entity to redeem the unexercised portion of its Common Warrant for the same consideration paid to the holders of our common stock in the fundamental transaction at the unexercised Common Warrants fair value using the Black Scholes option pricing formula. </w:t>
      </w:r>
    </w:p>
    <w:p>
      <w:pPr>
        <w:pStyle w:val="TextBody"/>
        <w:bidi w:val="0"/>
        <w:spacing w:before="360" w:after="0"/>
        <w:jc w:val="left"/>
        <w:rPr>
          <w:rFonts w:ascii="Times New Roman" w:hAnsi="Times New Roman"/>
          <w:b/>
          <w:sz w:val="20"/>
        </w:rPr>
      </w:pPr>
      <w:r>
        <w:rPr>
          <w:rFonts w:ascii="Times New Roman" w:hAnsi="Times New Roman"/>
          <w:b/>
          <w:sz w:val="20"/>
        </w:rPr>
        <w:t xml:space="preserve">Placement Agent Warrants </w:t>
      </w:r>
    </w:p>
    <w:p>
      <w:pPr>
        <w:pStyle w:val="TextBody"/>
        <w:bidi w:val="0"/>
        <w:spacing w:before="120" w:after="0"/>
        <w:jc w:val="left"/>
        <w:rPr>
          <w:rFonts w:ascii="Times New Roman" w:hAnsi="Times New Roman"/>
          <w:sz w:val="20"/>
        </w:rPr>
      </w:pPr>
      <w:r>
        <w:rPr>
          <w:rFonts w:ascii="Times New Roman" w:hAnsi="Times New Roman"/>
          <w:sz w:val="20"/>
        </w:rPr>
        <w:t xml:space="preserve">We have also agreed to issue to the Placement Agents the Placement Agent Warrants to purchase up to 8.0% of the number of shares of common stock sold in this offering. The Placement Agent Warrants will have the same terms as the Common Warrants described above, except that the Placement Agent Warrants will have an exercise price of $1.25 per share (which represents 125% of the combined offering price per share of common stock and accompanying Common Warrant sold in this offering) and will expire on April 23, 2029.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supp784749_11a"/>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an engagement agreement, dated March 22, 2024 (as supplement by a letter agreement, dated April 23, 2024, the Engagement Agreement), we have engaged the Placement Agents to act as our exclusive placement agents, on a reasonable best-efforts basis, in connection with this offering. The terms of this offering are subject to market conditions and negotiations between us, the Placement Agents, and prospective investors. The Engagement Agreement does not give rise to any commitment by the Placement Agents to purchase any of the securities, and the Placement Agents will have no authority to bind us by virtue of the Engagement Agreement. The Placement Agents are not purchasing the securities offered by us in this offering and are not required to sell any specific number or dollar amount of securities. Further, the Placement Agents do not guarantee that they will be able to raise new capital in any prospective offering. The Placement Agents have no commitment to buy any of the securities offered pursuant to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Delivery of the shares of our common stock and Common Warrants offered hereby is expected to occur on or about April 25, 2024, subject to satisfaction of certain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to pay the Placement Agents a cash fee equal to 8.0% of the aggregate gross proceeds we actually received from this offering. We will also pay the Placement Agents $100,000 for actual, reasonable and documented fees and expenses, inclusive of fees and expenses of legal counsel and out-of-pocket expenses and $15,950 for clearing expenses. We estimate the total offering expenses of this offering that will be payable by us, excluding the Placement Agents fees and expenses, will be approximately $270,000.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268"/>
        <w:gridCol w:w="595"/>
        <w:gridCol w:w="689"/>
        <w:gridCol w:w="2219"/>
        <w:gridCol w:w="60"/>
        <w:gridCol w:w="595"/>
        <w:gridCol w:w="140"/>
        <w:gridCol w:w="1125"/>
        <w:gridCol w:w="64"/>
      </w:tblGrid>
      <w:tr>
        <w:trPr/>
        <w:tc>
          <w:tcPr>
            <w:tcW w:w="2268"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2908" w:type="dxa"/>
            <w:gridSpan w:val="2"/>
            <w:tcBorders/>
            <w:vAlign w:val="bottom"/>
          </w:tcPr>
          <w:p>
            <w:pPr>
              <w:pStyle w:val="TableContents"/>
              <w:bidi w:val="0"/>
              <w:spacing w:before="0" w:after="283"/>
              <w:jc w:val="center"/>
              <w:rPr>
                <w:i/>
              </w:rPr>
            </w:pPr>
            <w:r>
              <w:rPr>
                <w:i/>
              </w:rPr>
              <w:t>Per Share and accompanying</w:t>
              <w:br/>
              <w:t>Common Warrant</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center"/>
              <w:rPr>
                <w:i/>
              </w:rPr>
            </w:pPr>
            <w:r>
              <w:rPr>
                <w:i/>
              </w:rPr>
              <w:t>Total</w:t>
            </w:r>
          </w:p>
        </w:tc>
        <w:tc>
          <w:tcPr>
            <w:tcW w:w="64" w:type="dxa"/>
            <w:tcBorders/>
            <w:vAlign w:val="bottom"/>
          </w:tcPr>
          <w:p>
            <w:pPr>
              <w:pStyle w:val="TableContents"/>
              <w:bidi w:val="0"/>
              <w:spacing w:before="0" w:after="283"/>
              <w:jc w:val="left"/>
              <w:rPr/>
            </w:pPr>
            <w:r>
              <w:rPr/>
              <w:t> </w:t>
            </w:r>
          </w:p>
        </w:tc>
      </w:tr>
      <w:tr>
        <w:trPr/>
        <w:tc>
          <w:tcPr>
            <w:tcW w:w="226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Combined offering price</w:t>
            </w:r>
          </w:p>
        </w:tc>
        <w:tc>
          <w:tcPr>
            <w:tcW w:w="595"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left"/>
              <w:rPr/>
            </w:pPr>
            <w:r>
              <w:rPr/>
              <w:t>$</w:t>
            </w:r>
          </w:p>
        </w:tc>
        <w:tc>
          <w:tcPr>
            <w:tcW w:w="221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5" w:type="dxa"/>
            <w:tcBorders/>
            <w:shd w:fill="CCEEFF" w:val="clear"/>
            <w:vAlign w:val="bottom"/>
          </w:tcPr>
          <w:p>
            <w:pPr>
              <w:pStyle w:val="TableContents"/>
              <w:bidi w:val="0"/>
              <w:spacing w:before="0" w:after="283"/>
              <w:jc w:val="right"/>
              <w:rPr/>
            </w:pPr>
            <w:r>
              <w:rPr/>
              <w:t>15,000,000</w:t>
            </w:r>
          </w:p>
        </w:tc>
        <w:tc>
          <w:tcPr>
            <w:tcW w:w="64" w:type="dxa"/>
            <w:tcBorders/>
            <w:shd w:fill="CCEEFF" w:val="clear"/>
            <w:vAlign w:val="bottom"/>
          </w:tcPr>
          <w:p>
            <w:pPr>
              <w:pStyle w:val="TableContents"/>
              <w:bidi w:val="0"/>
              <w:spacing w:before="0" w:after="283"/>
              <w:jc w:val="left"/>
              <w:rPr/>
            </w:pPr>
            <w:r>
              <w:rPr/>
              <w:t> </w:t>
            </w:r>
          </w:p>
        </w:tc>
      </w:tr>
      <w:tr>
        <w:trPr/>
        <w:tc>
          <w:tcPr>
            <w:tcW w:w="2268" w:type="dxa"/>
            <w:tcBorders/>
          </w:tcPr>
          <w:p>
            <w:pPr>
              <w:pStyle w:val="TableContents"/>
              <w:bidi w:val="0"/>
              <w:spacing w:before="0" w:after="0"/>
              <w:jc w:val="left"/>
              <w:rPr>
                <w:rFonts w:ascii="Times New Roman" w:hAnsi="Times New Roman"/>
                <w:sz w:val="18"/>
              </w:rPr>
            </w:pPr>
            <w:r>
              <w:rPr>
                <w:rFonts w:ascii="Times New Roman" w:hAnsi="Times New Roman"/>
                <w:sz w:val="18"/>
              </w:rPr>
              <w:t>Placement Agents fee(1)</w:t>
            </w:r>
          </w:p>
        </w:tc>
        <w:tc>
          <w:tcPr>
            <w:tcW w:w="595"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left"/>
              <w:rPr/>
            </w:pPr>
            <w:r>
              <w:rPr/>
              <w:t>$</w:t>
            </w:r>
          </w:p>
        </w:tc>
        <w:tc>
          <w:tcPr>
            <w:tcW w:w="2219" w:type="dxa"/>
            <w:tcBorders/>
            <w:vAlign w:val="bottom"/>
          </w:tcPr>
          <w:p>
            <w:pPr>
              <w:pStyle w:val="TableContents"/>
              <w:bidi w:val="0"/>
              <w:spacing w:before="0" w:after="283"/>
              <w:jc w:val="right"/>
              <w:rPr/>
            </w:pPr>
            <w:r>
              <w:rPr/>
              <w:t>0.08</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5" w:type="dxa"/>
            <w:tcBorders/>
            <w:vAlign w:val="bottom"/>
          </w:tcPr>
          <w:p>
            <w:pPr>
              <w:pStyle w:val="TableContents"/>
              <w:bidi w:val="0"/>
              <w:spacing w:before="0" w:after="283"/>
              <w:jc w:val="right"/>
              <w:rPr/>
            </w:pPr>
            <w:r>
              <w:rPr/>
              <w:t>1,200,000</w:t>
            </w:r>
          </w:p>
        </w:tc>
        <w:tc>
          <w:tcPr>
            <w:tcW w:w="64" w:type="dxa"/>
            <w:tcBorders/>
            <w:vAlign w:val="bottom"/>
          </w:tcPr>
          <w:p>
            <w:pPr>
              <w:pStyle w:val="TableContents"/>
              <w:bidi w:val="0"/>
              <w:spacing w:before="0" w:after="283"/>
              <w:jc w:val="left"/>
              <w:rPr/>
            </w:pPr>
            <w:r>
              <w:rPr/>
              <w:t> </w:t>
            </w:r>
          </w:p>
        </w:tc>
      </w:tr>
      <w:tr>
        <w:trPr/>
        <w:tc>
          <w:tcPr>
            <w:tcW w:w="226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to us before expenses(2)</w:t>
            </w:r>
          </w:p>
        </w:tc>
        <w:tc>
          <w:tcPr>
            <w:tcW w:w="595"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left"/>
              <w:rPr/>
            </w:pPr>
            <w:r>
              <w:rPr/>
              <w:t>$</w:t>
            </w:r>
          </w:p>
        </w:tc>
        <w:tc>
          <w:tcPr>
            <w:tcW w:w="2219" w:type="dxa"/>
            <w:tcBorders/>
            <w:shd w:fill="CCEEFF" w:val="clear"/>
            <w:vAlign w:val="bottom"/>
          </w:tcPr>
          <w:p>
            <w:pPr>
              <w:pStyle w:val="TableContents"/>
              <w:bidi w:val="0"/>
              <w:spacing w:before="0" w:after="283"/>
              <w:jc w:val="right"/>
              <w:rPr/>
            </w:pPr>
            <w:r>
              <w:rPr/>
              <w:t>0.92</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5" w:type="dxa"/>
            <w:tcBorders/>
            <w:shd w:fill="CCEEFF" w:val="clear"/>
            <w:vAlign w:val="bottom"/>
          </w:tcPr>
          <w:p>
            <w:pPr>
              <w:pStyle w:val="TableContents"/>
              <w:bidi w:val="0"/>
              <w:spacing w:before="0" w:after="283"/>
              <w:jc w:val="right"/>
              <w:rPr/>
            </w:pPr>
            <w:r>
              <w:rPr/>
              <w:t>13,800,000</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fee payable to the Placement Agents will be comprised of (i) a cash fee equal to 8.0% of the aggregate gross proceeds received by us from the sale of shares of common stock and the Common Warrants in this offering and (ii) Placement Agent Warrants to purchase up to 1,200,000 shares of common stock. We have also agreed to reimburse the Placement Agents for certain expenses incurred in connection with this offering, including their legal fees and out-of-pocket expenses, up to $100,000 and $15,950 for clearing expenses. See Plan of Distribution beginning on page S-22 of this prospectus supplement for more information.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amount of the offering proceeds to us presented in this table does not give effect to the exercise, if any, of the Common Warrants being issued in this offering.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Subsequent Equity Sales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Securities Purchase Agreement, from the date of such agreement until 55 days after the closing of this offering, neither we nor any subsidiary shall (i) issue, enter into any agreement to issue or announce the issuance or proposed issuance of any shares of common stock or Common Stock Equivalents (as defined therein), or (ii) file any registration statement or prospectus, or any amendment or supplement thereto, subject to certain exceptions set forth therein. </w:t>
      </w:r>
    </w:p>
    <w:p>
      <w:pPr>
        <w:pStyle w:val="TextBody"/>
        <w:bidi w:val="0"/>
        <w:spacing w:before="360" w:after="0"/>
        <w:jc w:val="left"/>
        <w:rPr>
          <w:rFonts w:ascii="Times New Roman" w:hAnsi="Times New Roman"/>
          <w:b/>
          <w:sz w:val="20"/>
        </w:rPr>
      </w:pPr>
      <w:r>
        <w:rPr>
          <w:rFonts w:ascii="Times New Roman" w:hAnsi="Times New Roman"/>
          <w:b/>
          <w:sz w:val="20"/>
        </w:rPr>
        <w:t xml:space="preserve">Placement Agent Warrants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we have agreed to issue to the Placement Agents, or its designees, at the closing of this offering, the Placement Agent Warrants to purchase 8.0% of the number of shares of our common stock sold in this offering. The Placement Agent Warrants will have substantially the same terms as the Common Warrants being sold and issued in the offering, except that the Placement Agent Warrants will have an exercise price equal to 125% of the combined offering price per share of common stock and accompanying Common Warrant sold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offering (or $1.25 per share) and will expire on April 23, 2029. The Placement Agent Warrants and the shares of common stock underlying the Placement Agent Warrants are being registered on the registration statement of which this prospectus supplement is a part.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to indemnify the Placement Agents against certain liabilities, including liabilities under the Securities Act and liabilities arising from breaches of our representations and warranties contained in our engagement letter with the Placement Agents. We have also agreed to contribute to payments the Placement Agents may be required to make in respect of such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Tail Financing </w:t>
      </w:r>
    </w:p>
    <w:p>
      <w:pPr>
        <w:pStyle w:val="TextBody"/>
        <w:bidi w:val="0"/>
        <w:spacing w:before="120" w:after="0"/>
        <w:jc w:val="left"/>
        <w:rPr>
          <w:rFonts w:ascii="Times New Roman" w:hAnsi="Times New Roman"/>
          <w:sz w:val="20"/>
        </w:rPr>
      </w:pPr>
      <w:r>
        <w:rPr>
          <w:rFonts w:ascii="Times New Roman" w:hAnsi="Times New Roman"/>
          <w:sz w:val="20"/>
        </w:rPr>
        <w:t xml:space="preserve">The engagement letter with the Placement Agents provides that for a period of 12 months following the expiration or termination of such engagement letter, the Placement Agents shall be entitled to the compensation provided for therein with respect to (i) any public or private offering or other financing or capital-raising transaction of any kind by the Company or any of its affiliates solely to the extent that any capital or funds in such offering, financing or transaction is provided to the Company directly or indirectly by certain parties previously solicited by the Placement Agents and (ii) any transaction resulting in the exchange or conversion of the senior secured promissory note currently held by Oramed Pharmaceuticals Inc., directly or indirectly, into equity (which equity, for the avoidance of doubt, may include newly issued shares of common stock, shares of treasury stock or any shares of the Company or any subsidiary, held by Company subsidiaries or other affiliates of the Company) (each, a Tail Financing), in each case that is consummated during such 12 month period. The engagement letter with the Placement Agents terminates on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Placement Agents may provide in the future various advisory, investment and commercial banking and other services to us in the ordinary course of business, for which they have received and may continue to receive customary fees and commissions. The Placement Agents have acted as representatives to the several underwriters in connection with the underwritten public offering consummated in March 2024 in the past three years and have received compensation for such offerings. However, except as disclosed in this prospectus supplement, we have no present arrangements with the Placement Agents for any further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M Compliance </w:t>
      </w:r>
    </w:p>
    <w:p>
      <w:pPr>
        <w:pStyle w:val="TextBody"/>
        <w:bidi w:val="0"/>
        <w:spacing w:before="120" w:after="0"/>
        <w:jc w:val="left"/>
        <w:rPr>
          <w:rFonts w:ascii="Times New Roman" w:hAnsi="Times New Roman"/>
          <w:sz w:val="20"/>
        </w:rPr>
      </w:pPr>
      <w:r>
        <w:rPr>
          <w:rFonts w:ascii="Times New Roman" w:hAnsi="Times New Roman"/>
          <w:sz w:val="20"/>
        </w:rPr>
        <w:t xml:space="preserve">The Placement Agents may be deemed to be an underwriter within the meaning of Section 2(a)(11) of the Securities Act, and any commissions received by it and any profit realized on the resale of the securities offered hereby by it while acting as principal might be deemed to be underwriting discounts or commissions under the Securities Act. The Placement Agents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Agents. Under these rules and regulations, the Placement Agents may not (i) engage in any stabilization activity in connection with our securities; and (ii) bid for or purchase any of our securities or attempt to induce any person to purchase any of our securities, other than as permitted under the Exchange Act, until it has completed its participation in the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A prospectus in electronic format may be made available on a website maintained by the Placement Agents and the Placement Agents may distribute prospectuses electronically. Other than the prospectus in electronic format, the information on these websites is not part of this prospectus or the registration statement of which this prospectus forms a part, has not been approved and/or endorsed by us or the Placement Agents and should not be relied upon by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Trading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and certain warrants outstanding prior to this offering are listed on the Nasdaq Capital Market under the symbols SCLX and SCLXW,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supp784749_12"/>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by this prospectus supplement and the accompanying prospectus will be passed upon for us by Paul Hastings LLP, Palo Alto, California. Haynes and Boone, LLP, New York, New York is acting as counsel for the Placement Agents in connection with this offering. </w:t>
      </w:r>
    </w:p>
    <w:p>
      <w:pPr>
        <w:pStyle w:val="TextBody"/>
        <w:bidi w:val="0"/>
        <w:spacing w:before="480" w:after="0"/>
        <w:jc w:val="center"/>
        <w:rPr>
          <w:rFonts w:ascii="Times New Roman" w:hAnsi="Times New Roman"/>
          <w:b/>
          <w:sz w:val="20"/>
        </w:rPr>
      </w:pPr>
      <w:bookmarkStart w:id="14" w:name="supp784749_13"/>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Scilex Holding Company appearing in Scilex Holding Companys Annual Report (Form 10-K) for the year ended December 31, 2023,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2 to the consolidated financial statements)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supp784749_14"/>
      <w:bookmarkEnd w:id="15"/>
      <w:r>
        <w:rPr>
          <w:rFonts w:ascii="Times New Roman" w:hAnsi="Times New Roman"/>
          <w:b/>
          <w:sz w:val="20"/>
        </w:rPr>
        <w:t xml:space="preserve">INFORMATION INCORPORATED BY REFERENCE;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supplement, which means that we can disclose important information to you by referring you to another document filed separately with the SEC. The documents incorporated by reference into this prospectus supplement contain important information that you should read about 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5">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March 12,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our Current Reports on Form 8-K (other than any portions thereof furnished under Item 2.02 or Item 7.01 of Form 8-K  and any exhibits accompanying such reports that relate to such items) filed with the SEC on</w:t>
            </w:r>
            <w:hyperlink r:id="rId6">
              <w:r>
                <w:rPr>
                  <w:rStyle w:val="InternetLink"/>
                  <w:rFonts w:ascii="Times New Roman" w:hAnsi="Times New Roman"/>
                  <w:sz w:val="20"/>
                </w:rPr>
                <w:t xml:space="preserve"> February  16, 2024</w:t>
              </w:r>
            </w:hyperlink>
            <w:r>
              <w:rPr>
                <w:rFonts w:ascii="Times New Roman" w:hAnsi="Times New Roman"/>
                <w:sz w:val="20"/>
              </w:rPr>
              <w:t xml:space="preserve">, </w:t>
            </w:r>
            <w:hyperlink r:id="rId7">
              <w:r>
                <w:rPr>
                  <w:rStyle w:val="InternetLink"/>
                  <w:rFonts w:ascii="Times New Roman" w:hAnsi="Times New Roman"/>
                  <w:sz w:val="20"/>
                </w:rPr>
                <w:t>February  20, 2024</w:t>
              </w:r>
            </w:hyperlink>
            <w:r>
              <w:rPr>
                <w:rFonts w:ascii="Times New Roman" w:hAnsi="Times New Roman"/>
                <w:sz w:val="20"/>
              </w:rPr>
              <w:t xml:space="preserve">, </w:t>
            </w:r>
            <w:hyperlink r:id="rId8">
              <w:r>
                <w:rPr>
                  <w:rStyle w:val="InternetLink"/>
                  <w:rFonts w:ascii="Times New Roman" w:hAnsi="Times New Roman"/>
                  <w:sz w:val="20"/>
                </w:rPr>
                <w:t>February  27, 2024</w:t>
              </w:r>
            </w:hyperlink>
            <w:r>
              <w:rPr>
                <w:rFonts w:ascii="Times New Roman" w:hAnsi="Times New Roman"/>
                <w:sz w:val="20"/>
              </w:rPr>
              <w:t xml:space="preserve">, </w:t>
            </w:r>
            <w:hyperlink r:id="rId9">
              <w:r>
                <w:rPr>
                  <w:rStyle w:val="InternetLink"/>
                  <w:rFonts w:ascii="Times New Roman" w:hAnsi="Times New Roman"/>
                  <w:sz w:val="20"/>
                </w:rPr>
                <w:t>February  29, 2024</w:t>
              </w:r>
            </w:hyperlink>
            <w:r>
              <w:rPr>
                <w:rFonts w:ascii="Times New Roman" w:hAnsi="Times New Roman"/>
                <w:sz w:val="20"/>
              </w:rPr>
              <w:t xml:space="preserve">, </w:t>
            </w:r>
            <w:hyperlink r:id="rId10">
              <w:r>
                <w:rPr>
                  <w:rStyle w:val="InternetLink"/>
                  <w:rFonts w:ascii="Times New Roman" w:hAnsi="Times New Roman"/>
                  <w:sz w:val="20"/>
                </w:rPr>
                <w:t>March  5, 2024</w:t>
              </w:r>
            </w:hyperlink>
            <w:r>
              <w:rPr>
                <w:rFonts w:ascii="Times New Roman" w:hAnsi="Times New Roman"/>
                <w:sz w:val="20"/>
              </w:rPr>
              <w:t xml:space="preserve">, </w:t>
            </w:r>
            <w:hyperlink r:id="rId11">
              <w:r>
                <w:rPr>
                  <w:rStyle w:val="InternetLink"/>
                  <w:rFonts w:ascii="Times New Roman" w:hAnsi="Times New Roman"/>
                  <w:sz w:val="20"/>
                </w:rPr>
                <w:t>March  22, 2024</w:t>
              </w:r>
            </w:hyperlink>
            <w:r>
              <w:rPr>
                <w:rFonts w:ascii="Times New Roman" w:hAnsi="Times New Roman"/>
                <w:sz w:val="20"/>
              </w:rPr>
              <w:t xml:space="preserve">, </w:t>
            </w:r>
            <w:hyperlink r:id="rId12">
              <w:r>
                <w:rPr>
                  <w:rStyle w:val="InternetLink"/>
                  <w:rFonts w:ascii="Times New Roman" w:hAnsi="Times New Roman"/>
                  <w:sz w:val="20"/>
                </w:rPr>
                <w:t>March  25, 2024</w:t>
              </w:r>
            </w:hyperlink>
            <w:r>
              <w:rPr>
                <w:rFonts w:ascii="Times New Roman" w:hAnsi="Times New Roman"/>
                <w:sz w:val="20"/>
              </w:rPr>
              <w:t xml:space="preserve">, </w:t>
            </w:r>
            <w:hyperlink r:id="rId13">
              <w:r>
                <w:rPr>
                  <w:rStyle w:val="InternetLink"/>
                  <w:rFonts w:ascii="Times New Roman" w:hAnsi="Times New Roman"/>
                  <w:sz w:val="20"/>
                </w:rPr>
                <w:t>March  27, 2024</w:t>
              </w:r>
            </w:hyperlink>
            <w:r>
              <w:rPr>
                <w:rFonts w:ascii="Times New Roman" w:hAnsi="Times New Roman"/>
                <w:sz w:val="20"/>
              </w:rPr>
              <w:t xml:space="preserve"> and </w:t>
            </w:r>
            <w:hyperlink r:id="rId14">
              <w:r>
                <w:rPr>
                  <w:rStyle w:val="InternetLink"/>
                  <w:rFonts w:ascii="Times New Roman" w:hAnsi="Times New Roman"/>
                  <w:sz w:val="20"/>
                </w:rPr>
                <w:t>April 5,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set forth in our Registration Statement on </w:t>
            </w:r>
            <w:hyperlink r:id="rId15">
              <w:r>
                <w:rPr>
                  <w:rStyle w:val="InternetLink"/>
                  <w:rFonts w:ascii="Times New Roman" w:hAnsi="Times New Roman"/>
                  <w:sz w:val="20"/>
                </w:rPr>
                <w:t xml:space="preserve">Form 8-A </w:t>
              </w:r>
            </w:hyperlink>
            <w:r>
              <w:rPr>
                <w:rFonts w:ascii="Times New Roman" w:hAnsi="Times New Roman"/>
                <w:sz w:val="20"/>
              </w:rPr>
              <w:t xml:space="preserve">(File No. 001-39852), filed with the SEC on January 6, 2021, including any amendments or reports filed for the purpose of updating such description, including </w:t>
            </w:r>
            <w:hyperlink r:id="rId16">
              <w:r>
                <w:rPr>
                  <w:rStyle w:val="InternetLink"/>
                  <w:rFonts w:ascii="Times New Roman" w:hAnsi="Times New Roman"/>
                  <w:sz w:val="20"/>
                </w:rPr>
                <w:t>Exhibit 4.7</w:t>
              </w:r>
            </w:hyperlink>
            <w:r>
              <w:rPr>
                <w:rFonts w:ascii="Times New Roman" w:hAnsi="Times New Roman"/>
                <w:sz w:val="20"/>
              </w:rPr>
              <w:t xml:space="preserve"> to our Annual Report on Form 10-K for the fiscal year ended December 31, 2023 filed with the SEC on March 12,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we file pursuant to Sections 13(a), 13(c), 14 or 15(d) of the Exchange Act on or after the date of this prospectus supplement and before the completion of the offering of the securities described in this prospectus supplement will also be incorporated by reference in this prospectus supplement from the date of filing of such documents. Upon request, we will provide to each person, including any beneficial owner, to whom a prospectus supplement is delivered a copy of any or all of the information that has been incorporated by reference in this prospectus supplement but not delivered with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unless specifically stated to the contrary, none of the information that we disclose under 2.02 or 7.01 or, if related to Items 2.02 or 7.01, Item 9.01 of any Current Report on Form 8-K that we may, from time to time, furnish to the SEC will be incorporated by reference into, or otherwise included in, this prospectus supplement. The information contained in each of the documents incorporated by reference speaks only as of the date of such document. Any statement contained in a document incorporated reference or deemed to be incorporated by reference herein, or contained in this prospectus supplement, shall be deemed to be modified or superseded for purposes of this prospectus supplement to the extent that a statement contained herein or in any subsequently filed document or report that also is incorporated by reference or is deemed to be incorporated by reference herein modifies or supersedes such statement. Any such statement so modified or superseded shall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http://www.sec.gov. Our Annual Reports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under the Securities Act relating to the offering of these securities. The registration statement, including the attached exhibits, contains additional relevant information about us and the securities. This prospectus supplement does not contain all of the information set forth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You can obtain a copy of the registration statement, at prescribed rates, from the SEC at the address listed above. The registration statement and the documents referred to above are also available on our corporate website at www.scilexholding.com under the heading Investors. Unless specifically listed above, the information contained on the SEC website or our website is not incorporated by reference into this prospectus supplement and you should not consider that information a part of this prospectus supplement. You may obtain a copy of any of these documents at no cost,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Scilex Holding Company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960 San Antonio Road </w:t>
      </w:r>
    </w:p>
    <w:p>
      <w:pPr>
        <w:pStyle w:val="TextBody"/>
        <w:bidi w:val="0"/>
        <w:spacing w:before="0" w:after="0"/>
        <w:jc w:val="center"/>
        <w:rPr>
          <w:rFonts w:ascii="Times New Roman" w:hAnsi="Times New Roman"/>
          <w:sz w:val="20"/>
        </w:rPr>
      </w:pPr>
      <w:r>
        <w:rPr>
          <w:rFonts w:ascii="Times New Roman" w:hAnsi="Times New Roman"/>
          <w:sz w:val="20"/>
        </w:rPr>
        <w:t xml:space="preserve">Palo Alto, CA 94303 </w:t>
      </w:r>
    </w:p>
    <w:p>
      <w:pPr>
        <w:pStyle w:val="TextBody"/>
        <w:bidi w:val="0"/>
        <w:spacing w:before="0" w:after="0"/>
        <w:jc w:val="center"/>
        <w:rPr>
          <w:rFonts w:ascii="Times New Roman" w:hAnsi="Times New Roman"/>
          <w:sz w:val="20"/>
        </w:rPr>
      </w:pPr>
      <w:r>
        <w:rPr>
          <w:rFonts w:ascii="Times New Roman" w:hAnsi="Times New Roman"/>
          <w:sz w:val="20"/>
        </w:rPr>
        <w:t xml:space="preserve">investorrelations@scilexholdings.com </w:t>
      </w:r>
    </w:p>
    <w:p>
      <w:pPr>
        <w:pStyle w:val="TextBody"/>
        <w:bidi w:val="0"/>
        <w:spacing w:before="0" w:after="0"/>
        <w:jc w:val="center"/>
        <w:rPr>
          <w:rFonts w:ascii="Times New Roman" w:hAnsi="Times New Roman"/>
          <w:sz w:val="20"/>
        </w:rPr>
      </w:pPr>
      <w:r>
        <w:rPr>
          <w:rFonts w:ascii="Times New Roman" w:hAnsi="Times New Roman"/>
          <w:sz w:val="20"/>
        </w:rPr>
        <w:t xml:space="preserve">Phone: (650) 516-4310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SCILEX HOLDING COMPANY </w:t>
      </w:r>
    </w:p>
    <w:p>
      <w:pPr>
        <w:pStyle w:val="TextBody"/>
        <w:bidi w:val="0"/>
        <w:spacing w:before="240" w:after="0"/>
        <w:jc w:val="center"/>
        <w:rPr>
          <w:rFonts w:ascii="Times New Roman" w:hAnsi="Times New Roman"/>
          <w:b/>
          <w:sz w:val="36"/>
        </w:rPr>
      </w:pPr>
      <w:r>
        <w:rPr>
          <w:rFonts w:ascii="Times New Roman" w:hAnsi="Times New Roman"/>
          <w:b/>
          <w:sz w:val="36"/>
        </w:rPr>
        <w:t xml:space="preserve">$500,000,000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from time to time in one or more offerings, up to $500,000,000 in the aggregate of any combination of the securities identified above from time to time in one or more offerings, either individually or in combination with other securities. We may also offer common stock or preferred stock upon conversion of debt securities, common stock upon conversion of preferred stock, or common stock, preferred stock or debt securities upon the exercise of warrants, rights or units. This prospectus provides you with a general description of the securities that we may offer.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We may also authorize one or more free writing prospectuses to be provided to you in connection with these offerings. The prospectus, prospectus supplement and any related free writing prospectuses may also add, update or change information contained in this prospectus with respect to that offering. You should carefully read this prospectus and the applicable prospectus supplement and any related free writing prospectus, as well as any documents incorporated by reference,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titled </w:t>
      </w:r>
      <w:r>
        <w:rPr>
          <w:rFonts w:ascii="Times New Roman" w:hAnsi="Times New Roman"/>
          <w:i/>
          <w:sz w:val="20"/>
        </w:rPr>
        <w:t>About this Prospectus</w:t>
      </w:r>
      <w:r>
        <w:rPr>
          <w:rFonts w:ascii="Times New Roman" w:hAnsi="Times New Roman"/>
          <w:sz w:val="20"/>
        </w:rPr>
        <w:t> and </w:t>
      </w:r>
      <w:r>
        <w:rPr>
          <w:rFonts w:ascii="Times New Roman" w:hAnsi="Times New Roman"/>
          <w:i/>
          <w:sz w:val="20"/>
        </w:rPr>
        <w:t>Plan of Distribution</w:t>
      </w:r>
      <w:r>
        <w:rPr>
          <w:rFonts w:ascii="Times New Roman" w:hAnsi="Times New Roman"/>
          <w:sz w:val="20"/>
        </w:rPr>
        <w:t xml:space="preserve"> for more information. No securities may be sold without delivery of this prospectus and the applicable prospectus supplement describing the method and terms of the offering of such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i/>
          <w:sz w:val="24"/>
        </w:rPr>
        <w:t>Investing in our securities involves a high degree of risk. You should review carefully the risks and uncertainties described under the heading </w:t>
      </w:r>
      <w:hyperlink w:anchor="rom784749_3">
        <w:r>
          <w:rPr>
            <w:rStyle w:val="InternetLink"/>
            <w:rFonts w:ascii="Times New Roman" w:hAnsi="Times New Roman"/>
            <w:b/>
            <w:i/>
            <w:sz w:val="24"/>
          </w:rPr>
          <w:t>Risk Factors</w:t>
        </w:r>
      </w:hyperlink>
      <w:r>
        <w:rPr>
          <w:rFonts w:ascii="Times New Roman" w:hAnsi="Times New Roman"/>
          <w:b/>
          <w:i/>
          <w:sz w:val="24"/>
        </w:rPr>
        <w:t xml:space="preserve"> beginning on page 6 of this prospectus, any applicable prospectus supplement and in any applicable free writing prospectuses, and under similar headings in the documents that are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par value $0.0001 per share (Common Stock), is currently listed on the Nasdaq Capital Market under the symbol SCLX. On January 5, 2024, the last reported sales price for our Common Stock was $2.04 per share. The applicable prospectus supplement will contain information, where applicable, as to any other listing on the Nasdaq Capital Market or any securities market or other exchange of the securities, if any, covered by the applicable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sz w:val="20"/>
        </w:rPr>
      </w:pPr>
      <w:r>
        <w:rPr>
          <w:rFonts w:ascii="Times New Roman" w:hAnsi="Times New Roman"/>
          <w:b/>
          <w:sz w:val="20"/>
        </w:rPr>
        <w:t>The date of this prospectus is</w:t>
      </w:r>
      <w:r>
        <w:rPr>
          <w:rFonts w:ascii="Times New Roman" w:hAnsi="Times New Roman"/>
          <w:sz w:val="20"/>
        </w:rPr>
        <w:t xml:space="preserve"> </w:t>
      </w:r>
      <w:r>
        <w:rPr>
          <w:rFonts w:ascii="Times New Roman" w:hAnsi="Times New Roman"/>
          <w:b/>
          <w:sz w:val="20"/>
        </w:rPr>
        <w:t>January 11, 2024</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oc1"/>
      <w:bookmarkEnd w:id="1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0"/>
              <w:jc w:val="left"/>
              <w:rPr/>
            </w:pPr>
            <w:hyperlink w:anchor="rom784749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2">
              <w:r>
                <w:rPr>
                  <w:rStyle w:val="InternetLink"/>
                  <w:rFonts w:ascii="Times New Roman" w:hAnsi="Times New Roman"/>
                  <w:sz w:val="20"/>
                </w:rPr>
                <w:t>Summary</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3">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4">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5">
              <w:r>
                <w:rPr>
                  <w:rStyle w:val="InternetLink"/>
                  <w:rFonts w:ascii="Times New Roman" w:hAnsi="Times New Roman"/>
                  <w:sz w:val="20"/>
                </w:rPr>
                <w:t>Cautionary Note Regarding Forward-Looking Statements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6">
              <w:r>
                <w:rPr>
                  <w:rStyle w:val="InternetLink"/>
                  <w:rFonts w:ascii="Times New Roman" w:hAnsi="Times New Roman"/>
                  <w:sz w:val="20"/>
                </w:rPr>
                <w:t>Description of Capital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7">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8">
              <w:r>
                <w:rPr>
                  <w:rStyle w:val="InternetLink"/>
                  <w:rFonts w:ascii="Times New Roman" w:hAnsi="Times New Roman"/>
                  <w:sz w:val="20"/>
                </w:rPr>
                <w:t>Description of Warrants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9">
              <w:r>
                <w:rPr>
                  <w:rStyle w:val="InternetLink"/>
                  <w:rFonts w:ascii="Times New Roman" w:hAnsi="Times New Roman"/>
                  <w:sz w:val="20"/>
                </w:rPr>
                <w:t>Description of Rights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10">
              <w:r>
                <w:rPr>
                  <w:rStyle w:val="InternetLink"/>
                  <w:rFonts w:ascii="Times New Roman" w:hAnsi="Times New Roman"/>
                  <w:sz w:val="20"/>
                </w:rPr>
                <w:t>Description of Units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11">
              <w:r>
                <w:rPr>
                  <w:rStyle w:val="InternetLink"/>
                  <w:rFonts w:ascii="Times New Roman" w:hAnsi="Times New Roman"/>
                  <w:sz w:val="20"/>
                </w:rPr>
                <w:t>Legal Ownership of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12">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13">
              <w:r>
                <w:rPr>
                  <w:rStyle w:val="InternetLink"/>
                  <w:rFonts w:ascii="Times New Roman" w:hAnsi="Times New Roman"/>
                  <w:sz w:val="20"/>
                </w:rPr>
                <w:t>Legal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14">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15">
              <w:r>
                <w:rPr>
                  <w:rStyle w:val="InternetLink"/>
                  <w:rFonts w:ascii="Times New Roman" w:hAnsi="Times New Roman"/>
                  <w:sz w:val="20"/>
                </w:rPr>
                <w:t>Where You Can Find More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rom784749_16">
              <w:r>
                <w:rPr>
                  <w:rStyle w:val="InternetLink"/>
                  <w:rFonts w:ascii="Times New Roman" w:hAnsi="Times New Roman"/>
                  <w:sz w:val="20"/>
                </w:rPr>
                <w:t>Important Information Incorporated by Reference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rom784749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Whenever we refer to Scilex, we, our or us in this prospectus, we mean Scilex Holding Company, unless the context suggests otherwise. When we refer to you or yours, we mean the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This prospectus is part of a shelf registration statement on Form S-3 that we filed with the Securities and Exchange Commission (the SEC), using a shelf registration process. Under this shelf registration process, we may sell any combination of the securities described in this prospectus in one or more offerings, up to a total dollar amount of $500,000,000. This prospectus provides you with a general description of the securities we may offer. Each time we offer to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may also add, update or change information contained in this prospectus. To the extent that any statement that we make in a prospectus supplement is inconsistent with statements made in this prospectus, the statements made in this prospectus will be deemed modified or superseded by those made in a prospectus supplement. You should read both this prospectus, any prospectus supplement and any free writing prospectus prepared by or on behalf of us, together with the additional information described under the heading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You should rely only on the information contained in this prospectus, in an accompanying prospectus supplement or incorporated by reference herein or therein and any related free writing prospectus that we may authorize to be provided to you. We have not authorized anyone to provide you with information or make any representation that is different. If anyone provides you with different or inconsistent information, you should not rely on it. This prospectus, any accompanying prospectus supplement and any related free writing prospectus do not constitute an offer to sell or a solicitation of an offer to buy any securities other than the registered securities to which they relate, and this prospectus and any accompanying prospectus supplement do not constitute an offer to sell or the solicitation of an offer to buy securities in any jurisdiction where, or to any person to whom, it is unlawful to make such an offer or solicitation. You should not assume that the information contained in this prospectus, any accompanying prospectus supplement and any related free writing prospectus is correct on any date after the respective dates of the prospectus, such prospectus supplement or supplements and free writing prospectus, as applicable, even though this prospectus, such prospectus supplement or supplements and free writing prospectus are delivered or securities are sold pursuant thereto, as applicable, at a later date. Since the respective dates of the prospectus contained in this registration statement, any accompanying prospectus supplement and any free writing prospectus, our business, financial condition, results of operations and prospects may have changed since those dates.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 w:hAnsi="Times New Roman"/>
          <w:i/>
          <w:sz w:val="20"/>
        </w:rPr>
        <w:t>Where You Can Find More Information</w:t>
      </w:r>
      <w:r>
        <w:rPr>
          <w:rFonts w:ascii="Times New Roman" w:hAnsi="Times New Roman"/>
          <w:sz w:val="20"/>
        </w:rPr>
        <w:t xml:space="preserve">. We may only sell securities pursuant to this prospectus if this prospectus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into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8" w:name="rom784749_2"/>
      <w:bookmarkEnd w:id="18"/>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any applicable prospectus supplement and any related free writing prospectus, including the risks of investing in our securities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forms a part. Unless otherwise mentioned or unless the context requires otherwise, all references in this prospectus to Scilex, the Company, we, us, our or similar references mean Scilex Holding Company.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Scilex Holding Company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innovative revenue-generating company focused on acquiring, developing and commercializing non-opioid pain management products for the treatment of acute and chronic pain. We target indications with high unmet needs and large market opportunities with non-opioid therapies for the treatment of patients with acute and chronic pain and are dedicated to advancing and improving patient outcomes. We launched our first commercial product in October 2018 and are developing our late-stage pipeline, which includes a candidate with completed pivotal Phase 3 study, a candidate with completed Phase 2 study, and a candidate with completed multiple Phase 1 studies and expected to enter Phase 2 studies in 2024. Our commercial product, ZTlido® (lidocaine topical system) 1.8% is a prescription lidocaine topical product approved by the U.S. Food and Drug Administration (the FDA) for the relief of neuropathic pain associated with post-herpetic neuralgia (PHN), which is a form of post-shingles nerve pain. ZTlido possesses novel delivery and adhesion technology designed to address many of the limitations of current prescription lidocaine patches by providing significantly improved adhesion and continuous pain relief throughout the 12-hour administration period. We believe our marketed product, ZTlido, has multiple advantages over currently available prescription and over-the-counter (OTC) lidocaine patches, of which over 147 million and 136 million of such patches were sold in the United States in 2021 and 2020, respectively, according to Symphony Healthcare. We license the rights to ZTlido from and rely exclusively on Oishi Koseido Co., Ltd. (Oishi) and Itochu Chemical Frontier Corporation (Itochu,) pursuant to the Product Development Agreement, dated as of May 11, 2011, by and among Scilex Pharmaceuticals, Inc., our wholly-owned subsidiary (Scilex Pharma), as successor to Stason Pharmaceuticals, Inc., Oishi and Itochu, and the Commercial Supply Agreement, dated as of February 16, 2017, by and among Scilex Pharma, Oishi and Itochu. We have acquired two FDA approved non-opioid pain products, GLOPERBA® and ELYXYB®, for the treatment of gout in adults and oral solution for the acute treatment of migraine, with or without aura, in adults. We launched ELYXYB in the U.S. in April 2023 and are planning to commercialize GLOPERBA in 2024.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three product candidates are (i) SP-102 (10 mg, dexamethasone sodium phosphate viscous gel) (SEMDEXATM), a Phase 3, novel, viscous gel formulation of a widely used corticosteroid for epidural injections to treat lumbosacral radicular pain, or sciatica; (ii) SP-103 (lidocaine topical system) 5.4%, (SP-103), a Phase 2, next-generation, triple-strength formulation of ZTlido, for the treatment of chronic neck pain; and (iii) SP-104 (4.5 mg, low-dose naltrexone hydrochloride delayed-release capsules) (SP-104), a novel low-dose delayed-release naltrexone hydrochloride being developed for the treatment of fibromyalgia, for which Phase 1 trials were completed in the second quarter of 2022 and a Phase 2 clinical trial is expected to commence in 2024. If these product candidates are approved by the FDA, we believe each of them could become the preferred treatment option for their respective indications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14, 2022, we entered into a License and Commercialization Agreement (the Romeg Agreement) with RxOmeg Therapeutics, LLC (a/k/a Romeg Therapeutics, Inc.) (Romeg). Pursuant to the Romeg Agreement, among other things, Romeg granted us (1) the right to manufacture, promote, market, distribute and sell pharmaceutical products comprising liquid formulations of colchicine for the prophylactic treatment of gout in adult humans in the United States and (2) an exclusive, transferable license to use the trademark GLOPERBA. We believe Gloperba is the first and only liquid oral version of the anti-gout medicine colchicine indicated for the prophylaxis of painful gout flares in adults. Gout is a painful arthritic disorder affecting an estimated 9.2 million people in the United States. Gout pain can be excruciating and is a form of inflammatory arthritis that develops in some people who have high levels of uric acid in their blood. It can cause sudden severe episodes of pain and can be disabling with tenderness, warmth and swelling. Non-steroidal anti-inflammatory drugs, colchicine and corticosteroids are used a majority of time as the first line to treat acute gout. The U.S. is observed to have a high prevalence of gout, owing to lifestyle issues such as high alcohol intake, obesity, and smoking. We are planning to commercialize GLOPERBA in 2024 and believe we are well-positioned to market and distribute the product. We have a direct distribution network to national and regional wholesalers and pharmacies throughout the U.S. On February 12, 2023, we acquired from BioDelivery Sciences International, Inc. and Collegium Pharmaceutical, Inc. the rights to certain patents, trademarks, regulatory approvals, data, contracts, and other rights related to ELYXYB (celecoxib oral solution) and the commercialization thereof in the United States and Canada. ELYXYB is a potential first-line treatment and the only FDA-approved, ready-to-use oral solution for the acute treatment of migraine, with or without aura, in adults. We launched ELYXYB in the U.S. in April 2023.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Federal Food, Drug, and Cosmetic Act for each of these pipeline product candidates.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acquired SP-102 from Semnur Pharmaceuticals, Inc. in March 2019 and are developing SP-102 to be an injectable viscous gel formulation of a widely used corticosteroid designed to address the serious risks posed by off-label epidural steroid injections (ESI), which are administered over 12 million times annually in the United States. SEMDEXA has been granted fast track designation by the FDA and, if approved, could become the only FDA-approved ESI for the treatment of sciatica. According to a report by Decision Resources Group, it was estimated that over 4.8 million patients would suffer from sciatica in the United States in 2022. SP-103 has also been granted fast track designation by the FDA and, if approved, could become the first FDA-approved lidocaine topical product for the treatment of chronic neck pain. We are developing SP-104 as a novel delayed-release formulation of low-dose naltrexone hydrochloride for the treatment of fibromyalgia, which remains a largely unmet medical need given the low response rates of commercially available therapies. Naltrexone is routinely used off-label to treat fibromyalgia. There are no low-dose formulations commercially available in the United States. Our patented formulation is designed to overcome undesirable effects of immediate release naltrexone, such as hyperalgesia, dysphoria, nausea, anxiety and insomnia. We believe our currently approved product and future product candidates, if approved, could address what we believe are the significant unmet needs of the targeted populations.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Marketed Product and Pipeline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chart illustrates our current commercial products and novel product candidates.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71170" cy="2120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471170" cy="212090"/>
                    </a:xfrm>
                    <a:prstGeom prst="rect">
                      <a:avLst/>
                    </a:prstGeom>
                  </pic:spPr>
                </pic:pic>
              </a:graphicData>
            </a:graphic>
          </wp:inline>
        </w:drawing>
      </w:r>
      <w:r>
        <w:rPr>
          <w:bdr w:val="single" w:sz="8" w:space="1" w:color="000000"/>
        </w:rPr>
        <w:t xml:space="preserve"> </w:t>
      </w:r>
    </w:p>
    <w:p>
      <w:pPr>
        <w:pStyle w:val="TextBody"/>
        <w:bidi w:val="0"/>
        <w:spacing w:before="240" w:after="0"/>
        <w:jc w:val="left"/>
        <w:rPr/>
      </w:pPr>
      <w:r>
        <w:rPr>
          <w:rFonts w:ascii="Times New Roman" w:hAnsi="Times New Roman"/>
          <w:sz w:val="20"/>
          <w:bdr w:val="single" w:sz="8" w:space="1" w:color="000000"/>
        </w:rPr>
        <w:t xml:space="preserve">For a complete description of our business, financial condition, results of operations and other important information, we refer you to our filings with the SEC that are incorporated by reference in this prospectus, including our </w:t>
      </w:r>
      <w:hyperlink r:id="rId18">
        <w:r>
          <w:rPr>
            <w:rStyle w:val="InternetLink"/>
            <w:rFonts w:ascii="Times New Roman" w:hAnsi="Times New Roman"/>
            <w:sz w:val="20"/>
            <w:bdr w:val="single" w:sz="8" w:space="1" w:color="000000"/>
          </w:rPr>
          <w:t>Annual Report on Form 10-K for the year ended December  31, 2022</w:t>
        </w:r>
      </w:hyperlink>
      <w:r>
        <w:rPr>
          <w:rFonts w:ascii="Times New Roman" w:hAnsi="Times New Roman"/>
          <w:sz w:val="20"/>
          <w:bdr w:val="single" w:sz="8" w:space="1" w:color="000000"/>
        </w:rPr>
        <w:t xml:space="preserve"> and our Quarterly Reports on Form 10-Q for the quarters ended </w:t>
      </w:r>
      <w:hyperlink r:id="rId19">
        <w:r>
          <w:rPr>
            <w:rStyle w:val="InternetLink"/>
            <w:rFonts w:ascii="Times New Roman" w:hAnsi="Times New Roman"/>
            <w:sz w:val="20"/>
            <w:bdr w:val="single" w:sz="8" w:space="1" w:color="000000"/>
          </w:rPr>
          <w:t>March  31, 2023</w:t>
        </w:r>
      </w:hyperlink>
      <w:r>
        <w:rPr>
          <w:rFonts w:ascii="Times New Roman" w:hAnsi="Times New Roman"/>
          <w:sz w:val="20"/>
          <w:bdr w:val="single" w:sz="8" w:space="1" w:color="000000"/>
        </w:rPr>
        <w:t xml:space="preserve">, </w:t>
      </w:r>
      <w:hyperlink r:id="rId20">
        <w:r>
          <w:rPr>
            <w:rStyle w:val="InternetLink"/>
            <w:rFonts w:ascii="Times New Roman" w:hAnsi="Times New Roman"/>
            <w:sz w:val="20"/>
            <w:bdr w:val="single" w:sz="8" w:space="1" w:color="000000"/>
          </w:rPr>
          <w:t>June  30, 2023</w:t>
        </w:r>
      </w:hyperlink>
      <w:r>
        <w:rPr>
          <w:rFonts w:ascii="Times New Roman" w:hAnsi="Times New Roman"/>
          <w:sz w:val="20"/>
          <w:bdr w:val="single" w:sz="8" w:space="1" w:color="000000"/>
        </w:rPr>
        <w:t xml:space="preserve"> and </w:t>
      </w:r>
      <w:hyperlink r:id="rId21">
        <w:r>
          <w:rPr>
            <w:rStyle w:val="InternetLink"/>
            <w:rFonts w:ascii="Times New Roman" w:hAnsi="Times New Roman"/>
            <w:sz w:val="20"/>
            <w:bdr w:val="single" w:sz="8" w:space="1" w:color="000000"/>
          </w:rPr>
          <w:t>September 30, 2023</w:t>
        </w:r>
      </w:hyperlink>
      <w:r>
        <w:rPr>
          <w:rFonts w:ascii="Times New Roman" w:hAnsi="Times New Roman"/>
          <w:sz w:val="20"/>
          <w:bdr w:val="single" w:sz="8" w:space="1" w:color="000000"/>
        </w:rPr>
        <w:t>, each as amended, supplemented or superseded from time to time by other reports we file with the SEC in the future, which are incorporated by reference into this prospectus. For instructions on how to find copies of these documents, see </w:t>
      </w:r>
      <w:r>
        <w:rPr>
          <w:rFonts w:ascii="Times New Roman" w:hAnsi="Times New Roman"/>
          <w:i/>
          <w:sz w:val="20"/>
          <w:bdr w:val="single" w:sz="8" w:space="1" w:color="000000"/>
        </w:rPr>
        <w:t>Where You Can Find More Information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See the section 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in this prospectus for a discussion of some of the risks related to the execution of our business strategy.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Business Combination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November 10, 2022, Vickers Vantage Corp. I, our predecessor company (Vickers), consummated the previously announced business combination (the Business Combination) pursuant to the terms of that certain Agreement and Plan of Merger, dated as of March 17, 2022, by and among us, Vantage Merger Sub Inc., a Delaware corporation that was a wholly owned subsidiary of Vickers prior to the Closing (Merger Sub), and the pre-Business Combination Scilex Holding Company (Legacy Scilex), as it may be amended or restated from time to time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(i) prior to the closing of the Business Combination (the Closing), Vickers changed its jurisdiction of incorporation by deregistering as a Cayman Islands exempted company and continuing and domesticating as a corporation incorporated under the laws of the State of Delaware (the Domestication) and (ii) at the Closing, and following the Domestication, Merger Sub merged with and into Legacy Scilex (the Merger), with Legacy Scilex as the surviving company in the Merger, and, after giving effect to such Merger, Legacy Scilex became a wholly owned subsidiary of Vickers. The Merger was approved by Vickerss shareholders at a meeting held on November 9, 2022. In connection with the Business Combination, Vickers changed its name to Scilex Holding Company.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name Vickers Vantage Corp. I on February 21, 2020 as a Cayman Islands exempted company for the purpose of effecting a merger, share exchange, asset acquisition, share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reorganization or similar business combination with one or more businesses or entities. On November 9, 2022, we changed our jurisdiction of incorporation by deregistering as a Cayman Islands exempted company and continuing and domesticating as a corporation incorporated under the laws of the State of Delaware. On November 9, 2022, we changed our name to Scilex Holding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960 San Antonio Road, Palo Alto, California 94303, and our telephone number is (650) 516-4310. Our website address is </w:t>
      </w:r>
      <w:r>
        <w:rPr>
          <w:rFonts w:ascii="Times New Roman" w:hAnsi="Times New Roman"/>
          <w:i/>
          <w:sz w:val="20"/>
          <w:bdr w:val="single" w:sz="8" w:space="1" w:color="000000"/>
        </w:rPr>
        <w:t>www.scilexholding.com</w:t>
      </w:r>
      <w:r>
        <w:rPr>
          <w:rFonts w:ascii="Times New Roman" w:hAnsi="Times New Roman"/>
          <w:sz w:val="20"/>
          <w:bdr w:val="single" w:sz="8" w:space="1" w:color="000000"/>
        </w:rPr>
        <w:t xml:space="preserve">.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hAnsi="Times New Roman"/>
          <w:i/>
          <w:sz w:val="20"/>
          <w:bdr w:val="single" w:sz="8" w:space="1" w:color="000000"/>
        </w:rPr>
        <w:t>http://www.sec.gov</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of 1933, as amended (the Securities Act), as modified by the Jumpstart Our Business Startups Act of 2012 (the JOBS Act). As an emerging growth company,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as amended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 In addition, we are in the process of evaluating the benefits of relying on the other exemptions and reduced reporting requirements provided by the JOBS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earlier of: (i) the last day of the fiscal year (a) following the fifth anniversary of the closing of the initial public offering of our company, (b) in which we have total annual gross revenue of at least $1.235 billion, or (c) in which we are deemed to be a large accelerated filer, which means the market value of our common equity that is held by non-affiliates equals or exceeds $700 million as of the last business day of our most recently completed second fiscal quarter; and (ii) the date on which we have issued more than $1.0 billion in non-convertible debt securities during the prior three-year period. References herein to emerging growth company have the meaning associated with it in the JOBS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the information in this prospectus and that we provide to our investors in the future may be different than what you might receive from other public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rom784749_3"/>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a high degree of risk. Before you make a decision to buy our securities, in addition to the risks and uncertainties discussed above under Cautionary Note Regarding Forward-Looking Statements, you should carefully consider the risks and uncertainties described under the section titled Risk Factors contained in our most recent Annual Report on Form 10-K, together with all of the other information appearing in or incorporated by reference into this prospectus, as updated by our subsequent filings with the SEC, as well as the risk factors and other information contained in any applicable prospectus supplement and any applicable free writing prospectus before deciding to invest in our securities. If any of these risks actually occurs, it may materially harm our business, financial condition, liquidity and results of operations. As a result, the market price of our securities could decline, and you could lose all or part of your investment. Additionally, the risks and uncertainties described in this prospectus, any prospectus supplement, any post-effective amendment or in any filing or document incorporated by reference herein or therein are not the only risks and uncertainties that we face. Additional risks and uncertainties not presently known to us or that we currently believe to be immaterial may become material and adversely affect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rom784749_4"/>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the applicable prospectus supplement or in any free writing prospectuses we have authorized for use in connection with a specific offering, we currently intend to use the net proceeds from the sale of the securities offered by this prospectus, if any,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intended application of proceeds from the sale of any particular offering of securities using this prospectus will be described in the accompanying prospectus supplement relating to such offering. The precise amount and timing of the application of these proceeds will depend upon a number of factors, such as the costs and timing of commercial and development activities, including, for example, conducting preclinical studies and clinical trials, our funding requirements and the availability and costs of other funds. Pending application of the net proceeds as described above, we intend to temporarily invest the proceeds in interest-bearing instruments. </w:t>
      </w:r>
    </w:p>
    <w:p>
      <w:pPr>
        <w:pStyle w:val="TextBody"/>
        <w:bidi w:val="0"/>
        <w:spacing w:before="240" w:after="0"/>
        <w:jc w:val="left"/>
        <w:rPr>
          <w:rFonts w:ascii="Times New Roman" w:hAnsi="Times New Roman"/>
          <w:sz w:val="20"/>
        </w:rPr>
      </w:pPr>
      <w:r>
        <w:rPr>
          <w:rFonts w:ascii="Times New Roman" w:hAnsi="Times New Roman"/>
          <w:sz w:val="20"/>
        </w:rPr>
        <w:t xml:space="preserve">We may bear all other costs, fees and expenses incurred in effecting the registration of the shares covered by this prospectus, including, without limitation, all registration and filing fees, Nasdaq Capital Market listing fees, and fees and expenses of our counsel and our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rom784749_5"/>
      <w:bookmarkEnd w:id="21"/>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into this prospectus may contain forward-looking statements within the meaning of Section 27A of the Securities Act, and Section 21E of the Exchange Act, about us and our subsidiaries. These forward-looking statements are intended to be covered by the safe harbor for forward-looking statements provided by the Private Securities Litigation Reform Act of 1995.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These forward-looking statements rely on a number of assumptions concerning future events and include statements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Common Stock on the Nasdaq Capital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public securities liquidity and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financing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use of proceeds in connection with any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use of equity or debt financings to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use cash on hand to meet current and future financial obligations, including funding our operations, debt service requirements and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directors, officers, employees and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in a highly competitive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competition from larger biotechnology companies that have greater resources, technology, relationships and/or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protect and enhance our corporate reputation and brand;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from future regulatory, judicial and legislative changes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any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research, discover and develop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and manage growth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intellectual property protection and not infringe on the rights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our business plans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global economic and political developments, including the conflicts in Ukraine and Israel;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COVID-19 and other similar disruptions in the future;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factors detailed under the section of this prospectus titled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should be considered in light of these factors. Such statements can be identified by the fact that they do not relate strictly to historical or current facts. Any statements that refer to projections, forecasts or other characterizations of future events or circumstances, including any underlying assumptions, are forward looking statements. Forward-looking statements are typically identified by words such as plan, believe, expect, anticipate, contemplate, intend, outlook, estimate, forecast, project, continue, could, may, might, possible, potential, predict, should, will, would and other similar words and expressions (including the negative of any of the foregoing), but the absence of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words does not mean that a statement is not forward-looking. These forward-looking statements are based on information available as of the date of this prospectus and our managements current expectations, forecasts and assumptions, and involve a number of judgments, known and unknown risks and uncertainties and other factors, many of which are outside the control of the Company and our directors, officers and affiliates. There can be no assurance that future developments will be those that have been anticipated. Accordingly, forward-looking statements should not be relied upon as representing our views as of any subsequent date. You are cautioned not to put undue reliance on any forward-looking statements. Except as otherwise required by law, we do not assume any obligation to update any forward-looking statements. </w:t>
      </w:r>
    </w:p>
    <w:p>
      <w:pPr>
        <w:pStyle w:val="TextBody"/>
        <w:bidi w:val="0"/>
        <w:spacing w:before="240" w:after="0"/>
        <w:jc w:val="left"/>
        <w:rPr/>
      </w:pPr>
      <w:r>
        <w:rPr>
          <w:rFonts w:ascii="Times New Roman" w:hAnsi="Times New Roman"/>
          <w:sz w:val="20"/>
        </w:rPr>
        <w:t xml:space="preserve">You should read this prospectus, or any accompanying prospectus supplement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Part I Item 1A, Risk Factors, in our Annual Report on </w:t>
      </w:r>
      <w:hyperlink r:id="rId22">
        <w:r>
          <w:rPr>
            <w:rStyle w:val="InternetLink"/>
            <w:rFonts w:ascii="Times New Roman" w:hAnsi="Times New Roman"/>
            <w:sz w:val="20"/>
          </w:rPr>
          <w:t>Form 10-K for the year ended December 31, 2022</w:t>
        </w:r>
      </w:hyperlink>
      <w:r>
        <w:rPr>
          <w:rFonts w:ascii="Times New Roman" w:hAnsi="Times New Roman"/>
          <w:sz w:val="20"/>
        </w:rPr>
        <w:t xml:space="preserve"> and Part IIItem 1A, Risk Factors, in our Quarterly Reports on Form 10-Q for the quarters ended </w:t>
      </w:r>
      <w:hyperlink r:id="rId23">
        <w:r>
          <w:rPr>
            <w:rStyle w:val="InternetLink"/>
            <w:rFonts w:ascii="Times New Roman" w:hAnsi="Times New Roman"/>
            <w:sz w:val="20"/>
          </w:rPr>
          <w:t>March  31, 2023</w:t>
        </w:r>
      </w:hyperlink>
      <w:r>
        <w:rPr>
          <w:rFonts w:ascii="Times New Roman" w:hAnsi="Times New Roman"/>
          <w:sz w:val="20"/>
        </w:rPr>
        <w:t xml:space="preserve">, </w:t>
      </w:r>
      <w:hyperlink r:id="rId24">
        <w:r>
          <w:rPr>
            <w:rStyle w:val="InternetLink"/>
            <w:rFonts w:ascii="Times New Roman" w:hAnsi="Times New Roman"/>
            <w:sz w:val="20"/>
          </w:rPr>
          <w:t>June  30, 2023</w:t>
        </w:r>
      </w:hyperlink>
      <w:r>
        <w:rPr>
          <w:rFonts w:ascii="Times New Roman" w:hAnsi="Times New Roman"/>
          <w:sz w:val="20"/>
        </w:rPr>
        <w:t xml:space="preserve"> and </w:t>
      </w:r>
      <w:hyperlink r:id="rId25">
        <w:r>
          <w:rPr>
            <w:rStyle w:val="InternetLink"/>
            <w:rFonts w:ascii="Times New Roman" w:hAnsi="Times New Roman"/>
            <w:sz w:val="20"/>
          </w:rPr>
          <w:t>September 30, 2023</w:t>
        </w:r>
      </w:hyperlink>
      <w:r>
        <w:rPr>
          <w:rFonts w:ascii="Times New Roman" w:hAnsi="Times New Roman"/>
          <w:sz w:val="20"/>
        </w:rPr>
        <w:t xml:space="preserve"> and in other filings with the SEC, which may be amended, supplemented or superseded from time to time by other reports we file with the SEC in the future, that are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assume that the information appearing in this prospectus, any accompanying prospectus supplement, any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Some of these risks and uncertainties may in the future be amplified by COVID-19 (or other similar disruptions), and there may be additional risks that we consider immaterial or which are unknown. It is not possible to predict or identify all such risks. 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rom784749_6"/>
      <w:bookmarkEnd w:id="22"/>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Matters </w:t>
      </w:r>
    </w:p>
    <w:p>
      <w:pPr>
        <w:pStyle w:val="TextBody"/>
        <w:bidi w:val="0"/>
        <w:spacing w:before="120" w:after="0"/>
        <w:jc w:val="left"/>
        <w:rPr>
          <w:rFonts w:ascii="Times New Roman" w:hAnsi="Times New Roman"/>
          <w:sz w:val="20"/>
        </w:rPr>
      </w:pPr>
      <w:r>
        <w:rPr>
          <w:rFonts w:ascii="Times New Roman" w:hAnsi="Times New Roman"/>
          <w:sz w:val="20"/>
        </w:rPr>
        <w:t xml:space="preserve">The Restated Certificate of Incorporation of the Company (the Certificate of Incorporation) authorizes the issuance of (i) 740,000,000 shares of Common Stock and (ii) 45,000,000 shares of preferred stock, $0.0001 par value per share (the Preferred Stock), of which 29,057,097 shares have been designated as Series A Preferred Stock. As of November 30, 2023, there were 157,905,655 shares of Common Stock and 29,057,097 shares of Series A Preferred Stock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the following with respect to the rights, powers, preferences and privileges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receive ratably those dividends, if any, that may be declared from time to time by our board of directors (the Board) upon the shares of our capital stock, which dividends may be paid either in cash, in property or in shares of our capital stock, subject to preferences that may be applicable to preferred stock, if any, then outstanding. Subject to applicable law and the Certificate of Incorporation, our Board will have full power to determine whether any dividends shall be declared and paid to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our Common Stock will be entitled to one vote for each share of our Common Stock held of record by such holder on all matters on which stockholders generally are entitled to vote, except for any amendment to the Certificate of Incorporation that relates solely to the terms of one or more outstanding classes or series of our Preferred Stock if the holders of such affected classes or series are entitled, either separately or together with the holders of one or more other such classes or series, to vote thereon pursuant to the Certificate of Incorporation or the Delaware General Corporation Law, as amended (the DGCL). Any action or matter presented to the stockholders at a duly called or convened meeting, at which a quorum is present, will be decided by the affirmative vote of the holders of a majority of the votes cast affirmatively or negatively (excluding abstentions) at the meeting by the holders entitled to vote thereon, except that our directors will be elected by a plurality of the votes cast.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 to Receive Liquidation Distributions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liquidation, dissolution or winding up of the Company, the holders of our Common Stock will be entitled to share ratably in all assets remaining after payment of liabilities, subject to prior distribution rights of our Preferred Stock, if any,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have no preemptive or conversion rights or other subscription rights. There are no redemption or sinking fund provisions applicable to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Vickers Ordinary Shares and the shares of our Common Stock issued in the Business Combination are fully paid and non-assessable. The Vickers Ordinary Shares consist of (i) the ordinary shares, par value $0.0001 per share, of Vickers prior to the Domestication and (ii) the Common Stock following the Domestication.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authorizes our Board, subject to limitations prescribed by Delaware law, to issue up to 45,000,000 shares of preferred stock in one or more series, to determine and fix from time to time the number of shares to be included in each such series and to fix the designations, powers, rights and preferences of the shares of each such series, and the qualifications, limitations and restrictions thereof, including voting rights (if any), dividend rights, dissolution rights, conversion rights, exchange rights and redemption rights, in each case without further vote or action by our stockholders. The number of authorized shares of our Common Stock and our Preferred Stock may be increased or decreased (but not below the number of the shares thereof then outstanding) by the affirmative vote of the holders of a majority in voting power of our outstanding stock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Our Board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our Common Stock and the voting and other rights of the holders of our Common Stock. Other than the Series A Preferred Stock issued to Sorrento Therapeutics, Inc. (Sorrento) in connection with the closing of the Business Combination, there are no other Preferred Stock outstanding and we have no current plans to issue any other shares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Number and Designation </w:t>
      </w:r>
    </w:p>
    <w:p>
      <w:pPr>
        <w:pStyle w:val="TextBody"/>
        <w:bidi w:val="0"/>
        <w:spacing w:before="120" w:after="0"/>
        <w:jc w:val="left"/>
        <w:rPr>
          <w:rFonts w:ascii="Times New Roman" w:hAnsi="Times New Roman"/>
          <w:sz w:val="20"/>
        </w:rPr>
      </w:pPr>
      <w:r>
        <w:rPr>
          <w:rFonts w:ascii="Times New Roman" w:hAnsi="Times New Roman"/>
          <w:sz w:val="20"/>
        </w:rPr>
        <w:t xml:space="preserve">We filed the Certificate of Designations of the Company, designating 29,057,097 shares of our preferred stock as Series A Preferred Stock (Certificate of Designations). As of the date of this prospectus, 29,057,097 shares of the Series A Preferred Stock are held by SCLX Stock Acquisition JV LLC, our indirect wholly-owned subsidiary, which shares were repurchased from Sorrento pursuant to the terms of the Stock Purchase Agreement, dated September 21, 2023, entered into between us and Sorrento (the Sorrento SPA) and represent all of the shares of Series A Preferred Stock that were previously owned by Sorrento. The shares of Series A Preferred Stock have all of the rights, preferences and privileges set forth in the Certificate of Designations as more fully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The Series A Preferred Stock shall rank (i) senior to all of our Common Stock, and to all other classes or series of our capital stock, except for any such other class or series, the terms of which expressly provide that it ranks on parity with the Series A Preferred Stock as to dividend rights and rights on liquidation, dissolution or winding-up of the Company (Junior Securities); and (ii) on parity with each class or series of our capital stock, created specifically ranking by its terms on parity with the Series A Preferred Stock as to dividend rights and rights on liquidation, dissolution or winding-up of the Company (Parity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Series A Preferred Stock shall not be entitled to dividends unless we pay dividends to holders of the Common Stock and shall be entitled to receive, when, as and if declared by our Board, such dividends (whether in cash or other property) as are paid to holders of our Common Stock to the same extent as if such holders of Series A Preferred Stock had been deemed to convert their shares of Series A Preferred Stock into Common Stock and had held such shares of Common Stock on the record date for such dividends and distributions. Such payments will be made concurrently with the dividend or distribution to the holders of the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of control, liquidation, dissolution or winding-up of the Company, whether voluntary or involuntary, before any payment or distribution of our property or assets (whether capital or surplus) shall be made to or set apart for the holders of Junior Securities, the holders of Series A Preferred Stock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entitled to receive an amount per share of Series A Preferred Stock equal to the greater of (i) the sum of $10.00 (which amount shall be appropriately adjusted in the event of any stock split, stock combination or other similar recapitalization of the Series A Preferred Stock) and all accrued and unpaid dividends and (ii) the amount such share of Series A Preferred Stock would be entitled to receive pursuant to the change of control, liquidation, dissolution or winding-up of the Company assuming that such share had been converted into shares of Common Stock in a Deemed Conversion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and 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Series A Preferred Stock will not be convertible into Common Stock or any of our other securities and will not be redeemable by the Company; provided, however, a number of the rights, preferences and privileges of the Series A Preferred Stock set forth in the Certificate of Designations will be determined based on an as-converted-to-Common Stock basis or otherwise assume that the shares of Series A Preferred Stock are converted into shares of Common Stock. Accordingly, the number of shares of Common Stock that each share of Series A Preferred Stock is deemed to be (or otherwise being treated as) converted into for the purpose of affecting the various rights, preferences and privileges of the Series A Preferred Stock set forth in the Certificate of Designation (a Deemed Conversion), whether in connection with a change of control or otherwise, shall be equal to the result obtained by dividing (i) stated value by (ii) $10.00 (subject to anti-dilution adjustments).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and Other Preferred Rights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required by law or as set forth in the Certificate of Designations, the holders of shares of Series A Preferred Stock will be entitled to vote, together with the holders of shares of Common Stock and not separately as a class, on all matters upon which holders of shares of Common Stock have the right to vote. The holders of shares of Series A Preferred Stock will be entitled to one vote for each share of Common Stock that such share of Series A Preferred Stock would otherwise be convertible into pursuant to a Deemed Conversion on the record date for the determination of the stockholders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As long as any shares of Series A Preferred Stock are outstanding, we shall not, without the affirmative vote of the holders of at least a majority of the outstanding shares of Series A Preferred Stock (a) change the Series A Preferred Stock (whether by merger, consolidation, reclassification or otherwise) into cash, securities or other property except in accordance with the terms of the Certificate of Designations; (b) create, authorize or issue any Parity Security or other equity security the terms of which provide that it ranks senior to the Series A Preferred Stock with respect to dividend rights or rights upon liquidation, dissolution or winding-up of the Company, or increase the authorized amount of any such other class or series; or (c) amend the Certificate of Incorporation or the Certificate of Designations in any manner that adversely affects the holders of Series A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Registration Rights Agreement entered into in connection with the closing of the Business Combination, certain of our stockholders are able to demand that we register their registrable securities under certain circumstances and each also have piggyback registration rights for these securities. In addition, we are required to file and maintain an effective registration statement under the Securities Act covering the resale of all such registrable securities. We have filed a registration statement on Form S-1 (File No. 333-268603) which was initially declared effective by the SEC on December 27, 2022, in order to satisfy these obligations. The registration of these securities will enable the public sale of such securities. The presence of these additional shares of Common Stock trading in the public market may have an adverse effect on the market price of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Matters in our Governing Documents and Under 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along with the Certificate of Incorporation and the Bylaws of Company (the Bylaws), all of which are summarized below, may have the effect of delaying, deferring or discouraging another person from acquiring control of the Company. These provisions are expected to discourage coercive takeover practices and inadequate takeover bids. These provisions are also designed, in part, to encourage persons seeking to acquire control of the Company to first negotiate with our Board. However, these provisions could have the effect of delaying, discouraging or preventing attempts to acquire the Company, which could deprive our stockholders of opportunities to sell their shares of our Common Stock at prices higher than prevailing market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our Common Stock and our Preferred Stock are available for future issuance without stockholder approval, subject to any limitations imposed by the rules and listing standards of The Nasdaq Stock Market LLC.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the Company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Impact of the Equity Repurchase Transaction on Provisions Related to a Sorrento Trigger Event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Certificate of Incorporation related to the number of authorized directors, filling vacancies on the Board, removal of directors, stockholder actions by written consent, calling of special meetings of our stockholders, our election to not be governed by Section 203 of the DGCL and amendments to our Certificate of Incorporation and our Bylaws lapse upon or are triggered at the time Sorrento Therapeutics, Inc. (Sorrento, together with its affiliates, subsidiaries, successors and assigns (other than us and our subsidiaries)) first ceases to beneficially own more than 50% in voting power of the then-outstanding shares of our capital stock entitled to vote generally in the election of directors (the Sorrento Trigger Event). Upon the closing of the equity repurchase transaction pursuant to the Sorrento SPA, a Sorrento Trigger Event occurred. The disclosures below related to the foregoing provisions are based on the occurrence of such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our Board are divided into three classes, with the classes as nearly equal in number as practical and each class serving three-year staggered terms. The directors in each class serve for a three-year term (except that the term of our current Class II directors shall expire at the second annual meeting of stockholders following the closing of the Business Combination), with one class being elected each year by the stockholders. This system of electing and removing directors may tend to discourage a third party from making a tender offer or otherwise attempting to obtain control of the Company, because it generally makes it more difficult for stockholders to replace a majority of the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also provides that the total number of directors shall be determined from time to time exclusively by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except as otherwise required by law or the Certificate of Incorporation, directors may be removed only for cause and only by the affirmative vote of the holders of at least 66 2/3% in voting power of all the then-outstanding shares of our capital stock entitled to vote thereon, voting together as a single class, in each case subject to the rights of holders of any series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Certificate of Incorporation provides that, except as otherwise provided therein or by law, any vacancy resulting from the death, resignation, removal or disqualification of a director or other cause, or any newly created directorship in our Board, shall be filled only by a majority of the directors then in office, although less than a quorum, and shall not be filled by our stockholders, in each case subject to the rights of the holders of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have the effect of deferring, delaying, or discouraging hostile takeovers, changes in control of the Company or changes in our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Law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we are governed by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203 of the DGCL prohibits persons deemed to be interested stockholders from engaging in a business combination with a publicly held Delaware corporation for three years following the date such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that are not approved in advance by our Board, including discouraging attempts that might result in a premium over the market price for the shares of Common Stock held by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provides that the restrictions on business combination of Section 203 of the DGCL will not apply to Sorrento or its current or future Affiliates (as defined in the Certificate of Incorporation) regardless of the percentage of ownership of the total voting power of all the then-outstanding shares of our capital stock entitled to vote generally in the election of directors beneficially owned by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the right to vote cumulatively does not exist unless the certificate of incorporation specifically authorizes cumulative voting. The Certificate of Incorporation does not authorize cumulative voting. Therefore, stockholders holding a majority of the shares of our capital stock entitled to vote generally in the election of directors will be able to elect all of our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special meetings of stockholders may only be called by order of the Chairperson of our Board, our Board or the Chief Executive Officer, subject to the rights of the holders of any series of Preferred Stock with respect to such series of preferred stock. The Bylaws prohibits the conduct of any business at a special meeting other than as specified in the notice for such meeting. These provisions may have the effect of deferring, delaying, or discouraging hostile takeovers or changes in control or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The Bylaws establishes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will have to comply with advance notice requirements and provide us with certain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Generally, to be timely, a stockholders notice must be delivered to our secretary at our principal executive offices not earlier than the close of business on the 120th day nor later than the close of business on the 90th day prior to the first anniversary of the preceding years annual meeting (in the case of the first annual meeting of stockholders held after January 1, 2023, the date of the preceding years annual meeting of the stockholders shall be deemed to be June 30, 2022); provided, however, that, if the date of the annual meeting is advanced more than 30 days prior to or delayed by more than 60 days after the anniversary of the preceding years annual meeting,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and the 10th day following the day on which public announcement of the date of such meeting is first made by us. The Bylaws also specifies requirements as to the form and content of a stockholders notice. The Bylaws allows any previously scheduled stockholders meeting to be postponed, adjourned or canceled by resolution of our Board; provided, however, that with respect to any special meeting of stockholders scheduled at the request of Sorrento, our Board is not allowed to postpone, reschedule or cancel without the prior written consent of Sorrento. In addition, the Bylaws allows the chair of a meeting of the stockholders to adopt rules and regulations for the conduct of that meeting that may have the effect of precluding the conduct of certain business at that meeting if the rules and regulations are not followed. These provisions may also defer, delay, or discourage a potential acquirer from conducting a solicitation of proxies to elect the acquirers own slate of directors or otherwise attempting to influence or obtain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228 of the DGCL and the terms of the Certificate of Incorporation, any action required or permitted to be taken by our stockholders must be effected by a duly called annual or special meeting of such stockholders, subject to the rights of the holders of any series of Preferred Stock with respect to such series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Certificate of Incorporation or Bylaws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provides that the affirmative vote of the holders of at least 66 2/3% of the voting power of the then-outstanding shares of our capital stock entitled to vote thereon, voting together as a single class, will be required to alter, amend or repeal the following provisions of the Certificate of Incorporation: Article V (Board of Directors), Article VI (Consent of Stockholders in Lieu of Meeting; Special Meetings of Stockholders), Article VII (Limitation of Liability), Article VIII (Corporate Opportunities and Competition), Article IX (Exclusive Forum), Article X (Section 203 of the DGCL) and Article XI (Amendment of Certificate of Incorporation and Bylaws), and no other provision may be adopted, amended or repealed that would have the effect of modifying or permitting the circumvention of the provisions set forth in any of such Articles.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and the Bylaws provide that, our Board is authorized to make, alter and repeal the Bylaws, without the consent or vote of the stockholders, by an approval of a majority of the total authorized number of directors. The affirmative vote of the holders of at least 66 2/3% of the voting power of the then-outstanding shares of our capital stock entitled to vote thereon, voting together as a single class, will be required to alter, amend or repeal the Bylaws.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DGCL, the Certificate of Incorporation and the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management. It is possible that these provisions could make it more difficult to accomplish transactions that stockholders may otherwise deem to be in their best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to the fullest extent permitted by law, be the sole and exclusive forum for (i) any derivative action or proceeding brought on behalf of the Company, (ii) any action asserting a claim of breach of a fiduciary duty owed by any of our current or former directors, officers, employees or stockholders to us or our stockholders, (iii) any action asserting a claim against us or any of our current or former directors, officers, employees or stockholders arising pursuant to any provision of the DGCL or of the Certificate of Incorporation or the Bylaws, (iv) any claim or cause of action seeking to interpret, apply, enforce or determine the validity of the Certificate of Incorporation or the Bylaws, (v) any action or proceeding asserting a claim against us or any of our current or former directors, officers, employees or stockholders as to which the DGCL confers jurisdiction to the Court of Chancery of the State of Delaware, or (vi) any action asserting an internal corporate claim, as that term is defined in Section 115 of the DGCL. The foregoing exclusive forum provisions will not apply to claims arising under the Exchange Act or any other claim for which the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these provisions benefit us by providing increased consistency in the application of applicable law in the types of lawsuits to which they apply, the provisions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It is possible that, in connection with any applicable action brought against us, a court could find the choice of forum provisions contained in the Certificate of Incorporation to be inapplicable or unenforceable in such action. We may incur additional costs associated with resolving such action in other jurisdictions, which could harm our business, operating results and financial condition. Any person or entity purchasing or otherwise acquiring any interest in shares of our capital stock shall be deemed to have notice of and consented to the forum provisions in the Certificate of Incorporation.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of Liability and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and the Bylaws contain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in violation of the DGCL;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Certificate of Incorporation also provides that if the DGCL is amended to permit further elimination or limitation of the personal liability of directors, then the liability of our directors will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The Bylaws provide that we shall indemnify any person who is or was a director or officer of the Company or who is or was serving at our request as a director, officer or trustee of another corporation, limited liability company, partnership, joint venture, employee benefit plan, trust, nonprofit entity or other enterprise (a Covered Person) and who is or was a party to, is threatened to be made a party to, or is otherwise involved (including as a witness) in any threatened, pending or completed action, suit or proceeding, whether civil, criminal, administrative, or investigative based on such persons actions in his or her official capacity as a director or officer of the Company or as a director, officer or trustee of another corporation, limited liability company, partnership, joint venture, employee benefit plan, trust, nonprofit entity or other enterprise (to the extent serving in such position at our request), in each case against all liability and loss suffered (including, without limitation, any judgments, fines, excise taxes or penalties arising under the Employee Retirement Income Security Act of 1974 and amounts paid in settlement consented to in writing by us) and expenses (including attorneys fees), actually and reasonably incurred by such person in connection therewith, subject to certain conditions. In addition, the Bylaws provide that we may, to the fullest extent permitted by law, (i) advance costs, fees or expenses (including attorneys fees) incurred by a Covered Person defending or participating in any proceeding in advance of the final disposition of such proceeding, subject to certain exceptions, and (ii) purchase and maintain insurance, at our expense, to protect us and any person who is or was a director, officer, employee or agent of the Company or is or was a director, officer, employee or agent of the Company serving at our request as a director, officer, employee or agent of another corporation, limited liability company, partnership, joint venture, trust, employee benefit plan or other enterprise against any liability, expense or loss, whether or not we would have the power or obligation to indemnify such person against such liability, expense or loss under the DGCL or the provisions of the Bylaws.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executive officers and certain other employees as determined by our Board. These agreements, among other things, require us to indemnify our directors and executive officers against liabilities that may arise by reason of their status or service. These indemnification agreements also require us to advance all expenses actually and reasonably incurred by the directors and executive officers in connection with any proceeding. Our Board believes that these agreements are necessary to attract and retain qualified individuals to serve as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indemnification provisions of the Certificate of Incorporation, the Bylaws and the indemnification agreements is not complete and is qualified in its entirety by reference to these documents, each of which is filed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non-employee directors may, through their relationships with their employers, be insured or indemnified against certain liabilities incurred in their capacity as members of our Board.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 the Certificate of Incorporation and the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In addition, a stockholders investment may be adversely affected to the extent we pay the costs of settlement and damage awards against directors and officers pursuant to these indemnification provisions. Insofar as indemnification for liabilities arising under the Securities Act may be permitted to directors or executive officers, we have been informed that in the opinion of the SEC, such indemnification is against public policy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Delaware law permits corporations to adopt provisions renouncing any interest or expectancy in certain opportunities that are presented to the corporation or its officers, directors or stockholders. The Certificate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Incorporation provides that, to the fullest extent permitted by law, no Identified Person (as defined therein) will have any duty to refrain from (i) engaging in a corporate opportunity in the same or similar business activities or lines of business in which we or our affiliates are engaged or that are deemed to be competing with us or any of our affiliates or (ii) otherwise investing in or providing services to any person that is engaged in the same or similar business activities as we or our affiliates or competes with us or our affiliates. In addition, to the fullest extent permitted by law, no Identified Person will have any obligation to offer to us or our subsidiaries or affiliates the right to participate in any corporate opportunity in the same or similar business activities or lines of business in which we or our affiliates are engaged or that are deemed to be competing with us or any of our affiliates. Subject to the preceding sentences and to the fullest extent permitted by applicable law, neither we nor any of our subsidiaries shall have any rights in any business interests, activities or ventures of any Identified Person, and we waive and renounce any interest or expectancy therein, except with respect to opportunities offered solely and expressly to our officers in their capacity as such.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our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 However, appraisal rights are not available in all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Derivative Actions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DGCL, any of our stockholders may bring an action in the Companys name to procure a judgment in its favor, also known as a derivative action, provided that the stockholder bringing the action is a holder of our capital stock at the time of the transaction to which the action relates. </w:t>
      </w:r>
    </w:p>
    <w:p>
      <w:pPr>
        <w:pStyle w:val="TextBody"/>
        <w:bidi w:val="0"/>
        <w:spacing w:before="360" w:after="0"/>
        <w:jc w:val="left"/>
        <w:rPr>
          <w:rFonts w:ascii="Times New Roman" w:hAnsi="Times New Roman"/>
          <w:b/>
          <w:sz w:val="20"/>
        </w:rPr>
      </w:pPr>
      <w:r>
        <w:rPr>
          <w:rFonts w:ascii="Times New Roman" w:hAnsi="Times New Roman"/>
          <w:b/>
          <w:sz w:val="20"/>
        </w:rPr>
        <w:t xml:space="preserve">SPAC Warrants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Domestication, each warrant to purchase Vickers Ordinary Shares that was issued and outstanding immediately prior to the effective time of the Domestication and not terminated pursuant to its terms was converted into a warrant to purchase shares of our Common Stock on the same terms and conditions as are in effect with respect to such warrant immediately prior to the effective time of the Domestication. As of November 30, 2023, there are 10,958,309 outstanding SPAC Warrants. </w:t>
      </w:r>
    </w:p>
    <w:p>
      <w:pPr>
        <w:pStyle w:val="TextBody"/>
        <w:bidi w:val="0"/>
        <w:spacing w:before="240" w:after="0"/>
        <w:jc w:val="left"/>
        <w:rPr>
          <w:rFonts w:ascii="Times New Roman" w:hAnsi="Times New Roman"/>
          <w:sz w:val="20"/>
        </w:rPr>
      </w:pPr>
      <w:r>
        <w:rPr>
          <w:rFonts w:ascii="Times New Roman" w:hAnsi="Times New Roman"/>
          <w:sz w:val="20"/>
        </w:rPr>
        <w:t xml:space="preserve">SPAC Warrants consist of (i) the redeemable warrants that were included in the Units (each of which consisted of one Vickers Ordinary Share and one-half of one redeemable warrant) that entitle the holder of each whole warrant to purchase one Vickers Ordinary Share at a price of $11.50 per share (the Public Warrants), and (ii) the 6,840,000 warrants sold in a private placement to Vickers Venture Fund VI Pte Ltd and Vickers Venture Fund VI (Plan) Pte Ltd consummated on January 11, 2021 (of which 2,736,000 were subsequently forfeited and 3,104,000 were transferred to Sorrento, in each case in connection with the Business Combination) (the Private Placement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Public Warrant entitles the registered holder thereof to purchase one share of our Common Stock at a price of $11.50 per share, subject to adjustment as described in this prospectus. We may, in our sole discretion, lower the warrant exercise price at any time prior to the expiration date for a period of not less than 20 business days and any such reduction will be applied consistently to all of the warrants, provided that we will provide at least 20 days prior written notice to registered holders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no Public Warrants will be exercisable for cash unless we have an effective and current registration statement covering the issuance of the Common Stock issuable upon exercise of the warrants and a current prospectus relating to such Common Stock. Notwithstanding the foregoing, if a registration statement covering the issuance of the Common Stock issuable upon exercise of the Public Warrants is not effective within 90 days from the consummation of the Business Combination, warrantholders may, from the 91st day after the consummation of the Business Combination until such time as there is an effective registration statement and during any period when we shall have failed to maintain an effective registration statement, exercise warrants on a cashless basis pursuant to an available exemption from registration under the Securities Act. If an exemption from registration is not available, holders will not be able to exercise their warrants on a cashless basis. </w:t>
      </w:r>
    </w:p>
    <w:p>
      <w:pPr>
        <w:pStyle w:val="TextBody"/>
        <w:bidi w:val="0"/>
        <w:spacing w:before="240" w:after="0"/>
        <w:jc w:val="left"/>
        <w:rPr>
          <w:rFonts w:ascii="Times New Roman" w:hAnsi="Times New Roman"/>
          <w:sz w:val="20"/>
        </w:rPr>
      </w:pPr>
      <w:r>
        <w:rPr>
          <w:rFonts w:ascii="Times New Roman" w:hAnsi="Times New Roman"/>
          <w:sz w:val="20"/>
        </w:rPr>
        <w:t xml:space="preserve">The warrants will expire five years from the consummation of the Business Combination (i.e., November 10, 2027)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We may call the warrants for redemption (excluding the Private Placement Warrants), in whole and not in part, at a price of $0.01 per warrant: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while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to each warrantholder,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Common Stock equals or exceeds $18.00 per share (as adjusted for share sub-divisions, share dividends, reorganizations and recapitalizations), for any 20 trading days within a 30 trading day period commencing after the warrants become exercisable and ending on the third trading day prior to the date on which notice of redemption is given,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there is an effective registration statement covering the Common Stock issuable upon exercise of the Public Warrants, and a current prospectus relating thereto, available throughout the 30-day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exercise such redemption right if the issuance of the Common Stock upon exercise of the warrants is not exempt from registration or qualification under applicable state blue sky laws or we are unable to effect such registration or qualification. 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criteria for our warrants have been established at a price which is intended to provide warrantholders a reasonable premium to the initial exercise price and provide a sufficient differential between the then-prevailing per share price of our Common Stock and the warrant exercise price so that if the per share price of our Common Stock declines as a result of our redemption call, the redemption will not cause the per share price of our Common Stock to drop below the exercise price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If we call the warrants for redemption as described above, our management will have the option to require all holders of warrants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for this purpose shall mean the average reported closing price of the shares of our Common Stock for the 10 trading days ending on the third trading day prior to the date on which the notice of redemption is sent to the holders of warrants. For example, if a holder held 150 warrants to purchase 150 shares of our Common Stock and the fair market value on the trading date prior to exercise was $15.00, that holder would receive 35 shares of our Common Stock without the payment of any additional cash consideration. Whether we will exercise our option to require all holders to exercise their warrants on a cashless basis will depend on a variety of factors including the price of our Common Stock at the time the warrants are called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redemption, our cash needs at such time and concerns regarding dilutive share issuances. Requiring a cashless exercise in this manner will reduce the number of shares of our Common Stock to be issued and thereby lessen the dilutive effect of a warrant redemption. We believe this feature is an attractive option to use if we do not need the cash from the exercise of the Public Warrants. </w:t>
      </w:r>
    </w:p>
    <w:p>
      <w:pPr>
        <w:pStyle w:val="TextBody"/>
        <w:bidi w:val="0"/>
        <w:spacing w:before="240" w:after="0"/>
        <w:jc w:val="left"/>
        <w:rPr>
          <w:rFonts w:ascii="Times New Roman" w:hAnsi="Times New Roman"/>
          <w:sz w:val="20"/>
        </w:rPr>
      </w:pPr>
      <w:r>
        <w:rPr>
          <w:rFonts w:ascii="Times New Roman" w:hAnsi="Times New Roman"/>
          <w:sz w:val="20"/>
        </w:rPr>
        <w:t xml:space="preserve">The warrants are issued in registered form under a warrant agreement (the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registered holders of a majority of the then-outstanding warrants (including the Private Placement Warrants) in order to make any change that adversely affects the interests of the registered holders.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and number of shares of Common Stock issuable on exercise of the warrants may be adjusted in certain circumstances including in the event of (i) a stock dividend or split up, (ii) a consolidation, combination, reverse stock split or reclassification of the Common Stock, (iii) extraordinary dividend or (iv) reclassification or reorganization of the outstanding Common Stock or an merger or consolidation of us with or into another corporation. However, the warrants will not be adjusted for issuances of shares of Common Stock at a price below the par value per share issuable upon exercise of the warrants. Whenever the number of shares of Common Stock purchasable upon the exercise of the warrants is adjusted, the warrant exercise price will be adjusted by multiplying such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check or bank draft payable to the order of the warrant agent or wire transfer, for the number of warrants being exercised. The warrantholders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of Common Stock held of record on all matters to be voted on by stockholders.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no Public Warrants will be exercisable for cash and we will not be obligated to issue shares of Common Stock upon exercise of a warrant unless the shares of Common Stock issuable upon such warrant exercise have been registered, qualified or deemed to be exempt under the securities laws of the state of residence of the registered holder of the warrants. Under the terms of the Warrant Agreement, we have agreed to use our best efforts to meet these conditions and to maintain a current prospectus relating to the Common Stock issuable upon exercise of the warrants until the expiration of the warrants. However, we cannot assure you that we will be able to do so and, if we do not maintain a current prospectus relating to the Common Stock issuable upon exercise of the warrants, holders will be unable to exercise their warrants and we will not be required to settle any such warrant exercise. If the prospectus relating to the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 </w:t>
      </w:r>
    </w:p>
    <w:p>
      <w:pPr>
        <w:pStyle w:val="TextBody"/>
        <w:bidi w:val="0"/>
        <w:spacing w:before="240" w:after="0"/>
        <w:jc w:val="left"/>
        <w:rPr>
          <w:rFonts w:ascii="Times New Roman" w:hAnsi="Times New Roman"/>
          <w:sz w:val="20"/>
        </w:rPr>
      </w:pPr>
      <w:r>
        <w:rPr>
          <w:rFonts w:ascii="Times New Roman" w:hAnsi="Times New Roman"/>
          <w:sz w:val="20"/>
        </w:rPr>
        <w:t xml:space="preserve">Warrantholders may elect to be subject to a restriction on the exercise of their warrants such that an electing warrantholder would not be able to exercise their warrants to the extent that, after giving effect to such exercise, such holder (together with such holders affiliates) would beneficially own in excess of 9.8% of the Common Stock outstanding immediately after giving effect to such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fractional shares will be issued upon exercise of the warrants. If, upon exercise of the warrants, a holder would be entitled to receive a fractional interest in a share, we will, upon exercise, round up to the nearest whole number of shares of Common Stock to be issued to the warrantholder.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Private Placement Warrants are identical to the Public Warrants except that such Private Placement Warrants are exercisable for cash (even if a registration statement covering the issuance of the Common Stock issuable upon exercise of such warrants is not effective) or on a cashless basis, at the holders option, and will not be redeemable by us, in each case so long as they are still held by the initial purchasers or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terms and conditions of the SPAC Warrants does not purport to be complete and is qualified in its entirety by reference to the copy of the specimen warrant certificate and the Warrant Agreement that are filed as exhibits to the registration statement of which this 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Penny Warrants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transactions contemplated by the Securities Purchase Agreement, dated September 21, 2023, between us and Oramed Pharmaceuticals Inc. (Oramed and such Securities Purchase Agreement, the Scilex-Oramed SPA), we issued warrants to purchase Common Stock, having an exercise price of $0.01 per share, subject to adjustment as provided therein (such warrants, the Penny Warrants), to Oramed. </w:t>
      </w:r>
    </w:p>
    <w:p>
      <w:pPr>
        <w:pStyle w:val="TextBody"/>
        <w:bidi w:val="0"/>
        <w:spacing w:before="240" w:after="0"/>
        <w:jc w:val="left"/>
        <w:rPr>
          <w:rFonts w:ascii="Times New Roman" w:hAnsi="Times New Roman"/>
          <w:sz w:val="20"/>
        </w:rPr>
      </w:pPr>
      <w:r>
        <w:rPr>
          <w:rFonts w:ascii="Times New Roman" w:hAnsi="Times New Roman"/>
          <w:sz w:val="20"/>
        </w:rPr>
        <w:t xml:space="preserve">The warrant to purchase up to an aggregate of 4,500,000 shares of our Common Stock, with an exercise price of $0.01 per share, which we issued to Oramed pursuant to the Scilex-Oramed SPA (the Closing Penny Warrant), will be exercisable upon the earliest of (i) March 14, 2025, (ii) the date on which the senior secured promissory note due 18 months from the date of issuance in the principal amount of $101, 875,000 issued by us to Oramed pursuant to the Scilex-Oramed SPA (the Oramed Note) has been repaid in full and (iii) the Management Sale Trigger Date (as defined therein), if any, and will expire on the date that is the fifth anniversary of the issuance date. For purposes of the Penny Warrants, the Management Sale Trigger Date is generally the first date on which either Dr. Henry Ji, our Executive Chairperson, or Mr. Jaisim Shah, our Chief Executive Officer and President and a member of the Board, engages in certain sales or other similar transfers of shares of Common Stock or other of our or any of our subsidiaries securities, subject to certain exceptions as are customary for lock-up agreements executed by directors and officers in connection with financings or similar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Scilex-Oramed SPA, we issued to Oramed four warrants (each a Subsequent Penny Warrant) to purchase up to an aggregate of 8,500,000 shares of our Common Stock, each with an exercise price of $0.01 per share, each for 2,125,000 shares of Common Stock, one of which shall vest and become exercisable on the date that is the later of (i) each of March 19, 2024, June 17, 2024, September 15, 2024 or December 14, 2024 (the Subsequent Penny Warrant Vesting Date) and (ii) the earliest of (A) March 14, 2025, (B) the date on which the Oramed Note has been repaid in full and (C) the Management Sale Trigger Date (as defined therein), if any. Each Subsequent Penny Warrant will expire on the date that is the fifth anniversary of the issuance date; provided that, if the Oramed Note is repaid in full prior to the Subsequent Penny Warrant Vesting Date applicable to such Subsequent Penny Warrant, such Subsequent Penny Warrant will expire on the date the Oramed Note is repaid in full.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of the Closing Penny Warrant issued to Oramed pursuant to the Scilex-Oramed SPA is $0.01 per share, subject to adjustment as provided therein. The exercise price and number of shares of Common Stock issuable upon the exercise of the Penny Warrants will be subject to adjustment in the event of any stock dividend, stock split, recapitalization, reorganization or similar transaction, as described in the Penny Warrants; provided that there shall not be any adjustment to the exercise price of the Penny Warrants in the event we combine (by combination, reverse stock split or otherwise) our Common Stock into a smaller number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Oramed may exercise the Penny Warrants by means of a cashless exercise. The Closing Penny Warrant and the Subsequent Penny Warrants utilize the same form of warrant. </w:t>
      </w:r>
    </w:p>
    <w:p>
      <w:pPr>
        <w:pStyle w:val="TextBody"/>
        <w:bidi w:val="0"/>
        <w:spacing w:before="240" w:after="0"/>
        <w:jc w:val="left"/>
        <w:rPr>
          <w:rFonts w:ascii="Times New Roman" w:hAnsi="Times New Roman"/>
          <w:sz w:val="20"/>
        </w:rPr>
      </w:pPr>
      <w:r>
        <w:rPr>
          <w:rFonts w:ascii="Times New Roman" w:hAnsi="Times New Roman"/>
          <w:sz w:val="20"/>
        </w:rPr>
        <w:t xml:space="preserve">The Penny Warrants may not be exercised if Oramed, together with its affiliates, would beneficially own in excess of 9.9% of the number of shares of Common Stock outstanding immediately after giving effect to such exercise (the Oramed Beneficial Ownership Limitation); provided, however, that upon 61 days prior notice to us, Oramed may increase or decrease the Oramed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terms and conditions of the Penny Warrants does not purport to be complete and is qualified in its entirety by reference to the copy of the form of Penny Warrants that is filed as an exhibit to the registration statement of which this 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Continental Stock Transfer &amp; Trust Company. The transfer agents address is 1 State Street, 30th Floor, New York, New York 10004.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our Common Stock and Public Warrants are listed on the Nasdaq Capital Market under the symbols SCLX and SCLXW,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rom784749_7"/>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we authorize for use in connection with a specific offering of debt securities,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Matters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or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issue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we will pay the principal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if any, we will pay additional amounts on any debt securities held by a person who is not a United States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series will be issued in whole or in part in the form of a global debt security, the terms and conditions, if any, upon which such global debt security may be exchanged in whole or in part for other individual debt securities in definitive registered form, the depositary (as defined in the applicable prospectus supplement) for such global security and the form of any legend or legends to be borne by any such global security in addition to or in lieu of the legend referred to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due at maturity, and whether the debt securities will be issued with original issue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of the debt securities,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amount payable at the stated maturity of debt securities of the series will not be determinable as of any one or more dates prior to such stated maturity, the amount that will be deemed to be such principal amount as of any such date for any purpose, including the principal amount thereof which will be due and payable upon any maturity other than the stated maturity or which will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deemed to be outstanding as of any such date (or, in any such case, the manner in which such deemed principal amount is to be determined), and if necessary, the manner of determining the equivalent thereof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or defer the payment of interest and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the debt securities that do not bear interest, the dates for certain required reports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holders when a specified event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provisions relating to or dealing with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of a series may be subordinated, which we refer to as subordinated debt securities, to senior indebtedness (as defined in the applicable prospectus supplement) to the extent set forth in the prospectus supplement relating thereto. To the extent we conduct operations through subsidiaries, the holders of debt securities (whether or not subordinated debt securities) will be structurally subordinated to the creditors of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Scilex) is a corporation organized and validly existing under the laws of any U.S. domestic jurisdiction and expressly assumes our obligations on the debt securities and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and no event which, after notice or lapse of time, or both, would become an event of default, shall have occurred and be continuing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conditions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that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debt security of that series when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our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accompanying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outstanding at the time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will be under no obligation to exercise any of its rights or powers under the indenture,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reasonable indemnity, to the trustee to institute the proceeding as trustee, and the trustee has not received from the holders of not less than 25%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holder of any debt security will have an absolute and unconditional right to receive payment of the principal of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and interest on those debt securities and to institute a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interest on, any debt security of that series;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(except for certain obligations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certified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U.S. federal income tax law, in either case to the effect that, and such opinion shall confirm based thereon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or Sale and certain other covenants set forth in the indenture, as well as any additional covenants that may be set forth in the applicable prospectus supplement;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or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certified public accountants to pay and discharge each installment of principal of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tc>
      </w:tr>
    </w:tbl>
    <w:p>
      <w:pPr>
        <w:pStyle w:val="TextBody"/>
        <w:bidi w:val="0"/>
        <w:spacing w:before="240" w:after="0"/>
        <w:jc w:val="left"/>
        <w:rPr>
          <w:rFonts w:ascii="Times New Roman" w:hAnsi="Times New Roman"/>
          <w:sz w:val="20"/>
        </w:rPr>
      </w:pPr>
      <w:r>
        <w:rPr>
          <w:rFonts w:ascii="Times New Roman" w:hAnsi="Times New Roman"/>
          <w:i/>
          <w:sz w:val="20"/>
        </w:rPr>
        <w:t>Covenant Defeasance and Events of Default.</w:t>
      </w:r>
      <w:r>
        <w:rPr>
          <w:rFonts w:ascii="Times New Roman" w:hAnsi="Times New Roman"/>
          <w:sz w:val="20"/>
        </w:rPr>
        <w:t xml:space="preserve"> In the event we exercise our option to effect covenant defeasance with respect to any series of debt securities and the debt securities of that series are declared due and payable because of the occurrence of any event of default, the amount of money and/or U.S. government obligations or foreign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the event of default. In such a case, we would remain liable for those payments.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Foreign Government Obligations</w:t>
      </w:r>
      <w:r>
        <w:rPr>
          <w:rFonts w:ascii="Times New Roman" w:hAnsi="Times New Roman"/>
          <w:sz w:val="20"/>
        </w:rPr>
        <w:t xml:space="preserve"> means, with respect to debt securities of any series that are denominated in a currency other than U.S. dollars: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obligations of the government that issued or caused to be issued such currency for the payment of which obligations its full faith and credit is pledged which are not callable or redeemable at the option of the issuer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as depositary, or a nominee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i/>
          <w:sz w:val="20"/>
        </w:rPr>
        <w:t>Certificated Debt Securities.</w:t>
      </w:r>
      <w:r>
        <w:rPr>
          <w:rFonts w:ascii="Times New Roman" w:hAnsi="Times New Roman"/>
          <w:sz w:val="20"/>
        </w:rPr>
        <w:t xml:space="preserve"> The holder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The holder may effect the transfer of certificated debt securities and the right to receive the principal of and interest on, certificated debt securities only by surrendering the certificate representing those certificated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and either reissuance by us or the trustee of the certificate to the new holder or the issuance by us or the trustee of a new certificate to the new holder. </w:t>
      </w:r>
    </w:p>
    <w:p>
      <w:pPr>
        <w:pStyle w:val="TextBody"/>
        <w:bidi w:val="0"/>
        <w:spacing w:before="240" w:after="0"/>
        <w:jc w:val="left"/>
        <w:rPr>
          <w:rFonts w:ascii="Times New Roman" w:hAnsi="Times New Roman"/>
          <w:sz w:val="20"/>
        </w:rPr>
      </w:pPr>
      <w:r>
        <w:rPr>
          <w:rFonts w:ascii="Times New Roman" w:hAnsi="Times New Roman"/>
          <w:i/>
          <w:sz w:val="20"/>
        </w:rPr>
        <w:t>Global Debt Securities and Book-Entry System.</w:t>
      </w:r>
      <w:r>
        <w:rPr>
          <w:rFonts w:ascii="Times New Roman" w:hAnsi="Times New Roman"/>
          <w:sz w:val="20"/>
        </w:rPr>
        <w:t xml:space="preserve"> Each global debt security representing book-entry debt securities will be deposited with, or on behalf of, the depositary, and registered in the name of the depositary or a nominee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We will require the depositary to agree to follow the following procedures with respect to book-entry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book-entry debt securities will be limited to persons who have accounts with the depositary for the related global debt security, which we refer to as participants, or persons who may hold interests through participants. Upon the issuance of a global debt security, the depositary will credit, on its book-entry registration and transfer system, the participants accounts with the respective principal amounts of the book-entry debt securities represented by such global debt security beneficially owned by such participants. The accounts to be credited will be designated by any dealers, underwriters or agents participating in the distribution of the book-entry debt securities. Ownership of book-entry debt securities will be shown on, and the transfer of such ownership interests will be effected only through, records maintained by the depositary for the related global debt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These laws may impair the ability to own, transfer or pledge beneficial interests in book-entry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the indenture. Except as described below,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each person beneficially owning book-entry debt securities must rely on the procedures of the depositary for the related global debt security and, if such person is not a participant, on the procedures of the participant through which such person owns its interest, to exercise any rights of a holder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understand, however, that under existing industry practice, the depositary will authorize the persons on whose behalf it holds a global debt security to exercise certain rights of holders of debt securities, and the indenture provides that we, the trustee and our respective agents will treat as the holder of a debt security the persons specified in a written statement of the depositary with respect to that global debt security for purposes of obtaining any consents or directions required to be given by holders of the debt securities pursuant to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will make payments of principal of, and premium and interest on, book-entry debt securities to the depositary or its nominee, as the case may be, as the registered holder of the related global debt security. Scilex, the trustee and any other agent of ours or agent of the trustee will not have any responsibility or liability for any aspect of the records relating to or payments made on account of beneficial ownership interests in a global debt security or for maintaining, supervising or reviewing any records relating to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upon receipt of any payment of principal of, and premium or interest on, a global debt security, will immediately credit participants accounts with payments in amounts proportionate to the respective amounts of book-entry debt securities held by each participant as shown on the records of such depositary. We also expect that payments by participants to owners of beneficial interests in book-entry debt securities held through those participants will be governed by standing customer instructions and customary practices, as is now the case with the securities held for the accounts of customers in bearer form or registered in street name, and will be the responsibility of those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issue certificated debt securities in exchange for each global debt security if the depositary is at any time unwilling or unable to continue as depositary or ceases to be a clearing agency registered under the Exchange Act and a successor depositary registered as a clearing agency under the Exchange Act is not appointed by us within 90 days. In addition, we may at any time and in our sole discretion determine not to have the book-entry debt securities of any series represented by one or more global debt securities and, in that event, will issue certificated debt securities in exchange for the global debt securities of that series. Global debt securities will also be exchangeable by the holders for certificated debt securities if an event of default with respect to the book-entry debt securities represented by those global debt securities has occurred and is continuing.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the foregoing information concerning the depositary and the depositarys book-entry system from sources we believe to be reliable, but we take no responsibility for the accuracy of this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to it by the indenture at the request of any holder of debt securities unless it is offered reasonable security and indemnity against the costs, expenses and liabilities that it might incur.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provisions of the Trust Indenture Act that are incorporated by reference therein contain limitations on the rights of the trustee, should it become one of our creditors, to obtain payment of claims in certain cases or to realize on certain property received by it in respect of any such claim as security or otherwise. The trustee is permitted to engage in other transactions with us or any of our affiliates;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it acquires any conflicting interest (as defined in the indentures or in the Trust Indenture Act), it must eliminate such conflict or resign.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rom784749_8"/>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the applicable prospectus supplements and free writing prospectuses we have authorized for use in connection with a specific offering, summarizes the material terms and provisions of the warrants that we may offer under this prospectus, which may consist of warrants to purchase Common Stock, preferred stock or debt securities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we authorize for use in connection with the specific offering. The terms of any warrants offered under a prospectus supplement may differ from the terms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we have authorized for use in connection with a specific offering, and the complete warrant agreements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Matters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the terms relating to a series of warrants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or prices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agreements and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force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agreements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exercising their warrants, holders of warrants will not have any of the rights of holders of the securities purchasable upon such exercise,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right to receive payments of principal of, or premium, if any, or interest on, the debt securities purchasable upon exercise or to enforce covenants in the applicable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right to receive dividends, if any, or, payments upon our liquidation, dissolution or winding up or to exercise voting rights, if 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Warrant Agreement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warrant agreement will be qualified as an indenture, and no warrant agent will be required to qualify as a trustee, under the Trust Indenture Act. Therefore, holders of warrants issued under a warrant agreement will not have the protection of the Trust Indenture Act with respect to their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Calculation Agent </w:t>
      </w:r>
    </w:p>
    <w:p>
      <w:pPr>
        <w:pStyle w:val="TextBody"/>
        <w:bidi w:val="0"/>
        <w:spacing w:before="120" w:after="0"/>
        <w:jc w:val="left"/>
        <w:rPr>
          <w:rFonts w:ascii="Times New Roman" w:hAnsi="Times New Roman"/>
          <w:sz w:val="20"/>
        </w:rPr>
      </w:pPr>
      <w:r>
        <w:rPr>
          <w:rFonts w:ascii="Times New Roman" w:hAnsi="Times New Roman"/>
          <w:sz w:val="20"/>
        </w:rPr>
        <w:t xml:space="preserve">Calculations relating to warrants may be made by a calculation agent, an institution that we appoint as our agent for this purpose. The prospectus supplement for a particular warrant will name the institution that we have appointed to act as the calculation agent for that warrant as of the original issue date for that warrant. We may appoint a different institution to serve as calculation agent from time to time after the original issue date without the consent or notification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agents determination of any amount of money payable or securities deliverable with respect to a warrant will be final and binding in the absence of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rom784749_9"/>
      <w:bookmarkEnd w:id="25"/>
      <w:r>
        <w:rPr>
          <w:rFonts w:ascii="Times New Roman" w:hAnsi="Times New Roman"/>
          <w:b/>
          <w:sz w:val="20"/>
        </w:rPr>
        <w:t xml:space="preserve">DESCRIPTION OF RIGHTS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rights to purchase Common Stock, preferred stock, units or the other securities described in this prospectus. This prospectus and any accompanying prospectus supplement will contain the material terms and conditions for each right. The accompanying prospectus supplement may add, update or change the terms and conditions of the rights as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and conditions of the issue of rights being offered, the rights agreement relating to the rights and the rights certificates representing the rights,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of determining the stockholders entitled to the rights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aggregate number of shares of Common Stock, preferred stock or other securities purchasable upon exercise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in which the rights are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rights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rights will commence and the date on which the right will expire;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terms, procedures and limitations relating to the distribution, exchange and exercise of the rights.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Rights </w:t>
      </w:r>
    </w:p>
    <w:p>
      <w:pPr>
        <w:pStyle w:val="TextBody"/>
        <w:bidi w:val="0"/>
        <w:spacing w:before="120" w:after="0"/>
        <w:jc w:val="left"/>
        <w:rPr>
          <w:rFonts w:ascii="Times New Roman" w:hAnsi="Times New Roman"/>
          <w:sz w:val="20"/>
        </w:rPr>
      </w:pPr>
      <w:r>
        <w:rPr>
          <w:rFonts w:ascii="Times New Roman" w:hAnsi="Times New Roman"/>
          <w:sz w:val="20"/>
        </w:rPr>
        <w:t xml:space="preserve">Each right will entitle the holder of rights to purchase for cash the principal amount of shares of Common Stock, preferred stock, units or other securities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stockholders, to or through agents, underwriters, brokers or dealers or through a combination of such methods, including pursuant to standby underwriting arrangements,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rom784749_10"/>
      <w:bookmarkEnd w:id="26"/>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the applicable prospectus supplement, summarizes the general features of the units that we may offer under this prospectus. You should read any prospectus supplement and any free writing prospectus we authorize for use in connection with a specific offering of units,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rom784749_11"/>
      <w:bookmarkEnd w:id="27"/>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an investor chooses to be an indirect holder of a security or has no choice because we are issuing the securities only in global form. </w:t>
      </w:r>
    </w:p>
    <w:p>
      <w:pPr>
        <w:pStyle w:val="TextBody"/>
        <w:bidi w:val="0"/>
        <w:spacing w:before="240" w:after="0"/>
        <w:jc w:val="left"/>
        <w:rPr>
          <w:rFonts w:ascii="Times New Roman" w:hAnsi="Times New Roman"/>
          <w:sz w:val="20"/>
        </w:rPr>
      </w:pPr>
      <w:r>
        <w:rPr>
          <w:rFonts w:ascii="Times New Roman" w:hAnsi="Times New Roman"/>
          <w:sz w:val="20"/>
        </w:rPr>
        <w:t xml:space="preserve">For example, once we make a payment or give a notice to the legal holder, we have no further responsibility for the payment or notice even if that legal holder is required, under agreements with its participants or customers or by law, to pass the payment or notice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as a global security, then the security will be represented by a global security at all times unless and until the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terminated. If termination occurs, we may issue the securities through another book-entry clearing system or decide that the securities may no longer be held through any book-entry clearing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as global securities,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any applicable trustee have no responsibility for any aspect of the depositarys actions or for its records of ownership interests in the global security, nor will we or any applicable trustee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the same;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more than one financial intermediary in the chain of ownership for an investor. We do not monitor and are not responsible for the actions of any of those intermediaries.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The rights of holders and street name investors are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rom784749_12"/>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direct sales to the public, at the market offerings, negotiated transactions, block trades or a combination of these methods. We may sell the securities to or through underwriters or dealers,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have authorized for use in connection with a specific offering)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the underwriters,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if any,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that are qualified market makers on the Nasdaq Capital Market may engage in passive market making transactions in the Common Stock on the Nasdaq Capital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In compliance with guidelines of the Financial Industry Regulatory Authority (FINRA), the maximum consideration or discount to be received by any FINRA member or independent broker dealer may not exceed 8% of the aggregate amount of the securities offered pursuant to this prospectus and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rom784749_13"/>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validity of the securities offered by this prospectus, and any supplement thereto, will be passed upon for us by Paul Hastings LLP, Palo Alto, California. </w:t>
      </w:r>
    </w:p>
    <w:p>
      <w:pPr>
        <w:pStyle w:val="TextBody"/>
        <w:bidi w:val="0"/>
        <w:spacing w:before="480" w:after="0"/>
        <w:jc w:val="center"/>
        <w:rPr>
          <w:rFonts w:ascii="Times New Roman" w:hAnsi="Times New Roman"/>
          <w:b/>
          <w:sz w:val="20"/>
        </w:rPr>
      </w:pPr>
      <w:bookmarkStart w:id="30" w:name="rom784749_14"/>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Scilex Holding Company appearing in Scilex Holding Companys Annual Report (Form 10-K) for the year ended December 31, 2022,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2 to the consolidated financial statements)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 given on the authority of such firm as experts in accounting and auditing. </w:t>
      </w:r>
    </w:p>
    <w:p>
      <w:pPr>
        <w:pStyle w:val="TextBody"/>
        <w:bidi w:val="0"/>
        <w:spacing w:before="480" w:after="0"/>
        <w:jc w:val="center"/>
        <w:rPr>
          <w:rFonts w:ascii="Times New Roman" w:hAnsi="Times New Roman"/>
          <w:b/>
          <w:sz w:val="20"/>
        </w:rPr>
      </w:pPr>
      <w:bookmarkStart w:id="31" w:name="rom784749_15"/>
      <w:bookmarkEnd w:id="3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a reporting company and file annual, quarterly and current reports, proxy statements and other information with the SEC. We have filed with the SEC a registration statement on Form S-3 under the Securities Act with respect to the securities being offered under this prospectus. This prospectus does not contain all of the information set forth in the registration statement and the exhibits to the registration statement. For further information with respect to us and the securities being offered under this prospectus, we refer you to the registration statement and the exhibits and schedules filed as a part of the registration statement. The SEC maintains an Internet site that contains reports, proxy and information statements, and other information regarding issuers that file electronically with the SEC, including Scilex Holding Company. The SECs Internet site can be found at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w:t>
      </w:r>
      <w:r>
        <w:rPr>
          <w:rFonts w:ascii="Times New Roman" w:hAnsi="Times New Roman"/>
          <w:i/>
          <w:sz w:val="20"/>
        </w:rPr>
        <w:t>www.scilexholding.com</w:t>
      </w:r>
      <w:r>
        <w:rPr>
          <w:rFonts w:ascii="Times New Roman" w:hAnsi="Times New Roman"/>
          <w:sz w:val="20"/>
        </w:rPr>
        <w:t xml:space="preserve">.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and should not be relied upon in connection with making any decision with respect to an investment in our securities,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rom784749_16"/>
      <w:bookmarkEnd w:id="32"/>
      <w:r>
        <w:rPr>
          <w:rFonts w:ascii="Times New Roman" w:hAnsi="Times New Roman"/>
          <w:b/>
          <w:sz w:val="20"/>
        </w:rPr>
        <w:t xml:space="preserve">IMPORTANT 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26">
              <w:r>
                <w:rPr>
                  <w:rStyle w:val="InternetLink"/>
                  <w:rFonts w:ascii="Times New Roman" w:hAnsi="Times New Roman"/>
                  <w:sz w:val="20"/>
                </w:rPr>
                <w:t>Form 10-K</w:t>
              </w:r>
            </w:hyperlink>
            <w:r>
              <w:rPr>
                <w:rFonts w:ascii="Times New Roman" w:hAnsi="Times New Roman"/>
                <w:sz w:val="20"/>
              </w:rPr>
              <w:t xml:space="preserve"> for the fiscal year ended December 31, 2022, filed with the SEC on March 7,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 ended </w:t>
            </w:r>
            <w:hyperlink r:id="rId27">
              <w:r>
                <w:rPr>
                  <w:rStyle w:val="InternetLink"/>
                  <w:rFonts w:ascii="Times New Roman" w:hAnsi="Times New Roman"/>
                  <w:sz w:val="20"/>
                </w:rPr>
                <w:t>March  31, 2023</w:t>
              </w:r>
            </w:hyperlink>
            <w:r>
              <w:rPr>
                <w:rFonts w:ascii="Times New Roman" w:hAnsi="Times New Roman"/>
                <w:sz w:val="20"/>
              </w:rPr>
              <w:t xml:space="preserve">, filed with the SEC on May 12, 2023, the quarter ended </w:t>
            </w:r>
            <w:hyperlink r:id="rId28">
              <w:r>
                <w:rPr>
                  <w:rStyle w:val="InternetLink"/>
                  <w:rFonts w:ascii="Times New Roman" w:hAnsi="Times New Roman"/>
                  <w:sz w:val="20"/>
                </w:rPr>
                <w:t>June 30, 2023</w:t>
              </w:r>
            </w:hyperlink>
            <w:r>
              <w:rPr>
                <w:rFonts w:ascii="Times New Roman" w:hAnsi="Times New Roman"/>
                <w:sz w:val="20"/>
              </w:rPr>
              <w:t xml:space="preserve">, filed with the SEC on August 11, 2023, and the quarter ended </w:t>
            </w:r>
            <w:hyperlink r:id="rId29">
              <w:r>
                <w:rPr>
                  <w:rStyle w:val="InternetLink"/>
                  <w:rFonts w:ascii="Times New Roman" w:hAnsi="Times New Roman"/>
                  <w:sz w:val="20"/>
                </w:rPr>
                <w:t>September 30, 2023</w:t>
              </w:r>
            </w:hyperlink>
            <w:r>
              <w:rPr>
                <w:rFonts w:ascii="Times New Roman" w:hAnsi="Times New Roman"/>
                <w:sz w:val="20"/>
              </w:rPr>
              <w:t xml:space="preserve">, filed with the SEC on November 14,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pPr>
            <w:r>
              <w:rPr>
                <w:rFonts w:ascii="Times New Roman" w:hAnsi="Times New Roman"/>
                <w:sz w:val="20"/>
              </w:rPr>
              <w:t xml:space="preserve">Our Current Reports on Form 8-K (other than any portions thereof furnished under Item 2.02 or Item  7.01 of Form 8-K and any exhibits accompanying such reports that relate to such items) filed with the SEC on </w:t>
            </w:r>
            <w:hyperlink r:id="rId30">
              <w:r>
                <w:rPr>
                  <w:rStyle w:val="InternetLink"/>
                  <w:rFonts w:ascii="Times New Roman" w:hAnsi="Times New Roman"/>
                  <w:sz w:val="20"/>
                </w:rPr>
                <w:t>January  9, 2023</w:t>
              </w:r>
            </w:hyperlink>
            <w:r>
              <w:rPr>
                <w:rFonts w:ascii="Times New Roman" w:hAnsi="Times New Roman"/>
                <w:sz w:val="20"/>
              </w:rPr>
              <w:t xml:space="preserve">, </w:t>
            </w:r>
            <w:hyperlink r:id="rId31">
              <w:r>
                <w:rPr>
                  <w:rStyle w:val="InternetLink"/>
                  <w:rFonts w:ascii="Times New Roman" w:hAnsi="Times New Roman"/>
                  <w:sz w:val="20"/>
                </w:rPr>
                <w:t>January  17, 2023</w:t>
              </w:r>
            </w:hyperlink>
            <w:r>
              <w:rPr>
                <w:rFonts w:ascii="Times New Roman" w:hAnsi="Times New Roman"/>
                <w:sz w:val="20"/>
              </w:rPr>
              <w:t xml:space="preserve">, </w:t>
            </w:r>
            <w:hyperlink r:id="rId32">
              <w:r>
                <w:rPr>
                  <w:rStyle w:val="InternetLink"/>
                  <w:rFonts w:ascii="Times New Roman" w:hAnsi="Times New Roman"/>
                  <w:sz w:val="20"/>
                </w:rPr>
                <w:t>February  6, 2023</w:t>
              </w:r>
            </w:hyperlink>
            <w:r>
              <w:rPr>
                <w:rFonts w:ascii="Times New Roman" w:hAnsi="Times New Roman"/>
                <w:sz w:val="20"/>
              </w:rPr>
              <w:t xml:space="preserve">, </w:t>
            </w:r>
            <w:hyperlink r:id="rId33">
              <w:r>
                <w:rPr>
                  <w:rStyle w:val="InternetLink"/>
                  <w:rFonts w:ascii="Times New Roman" w:hAnsi="Times New Roman"/>
                  <w:sz w:val="20"/>
                </w:rPr>
                <w:t>February  9, 2023</w:t>
              </w:r>
            </w:hyperlink>
            <w:r>
              <w:rPr>
                <w:rFonts w:ascii="Times New Roman" w:hAnsi="Times New Roman"/>
                <w:sz w:val="20"/>
              </w:rPr>
              <w:t xml:space="preserve">, </w:t>
            </w:r>
            <w:hyperlink r:id="rId34">
              <w:r>
                <w:rPr>
                  <w:rStyle w:val="InternetLink"/>
                  <w:rFonts w:ascii="Times New Roman" w:hAnsi="Times New Roman"/>
                  <w:sz w:val="20"/>
                </w:rPr>
                <w:t>February  13, 2023</w:t>
              </w:r>
            </w:hyperlink>
            <w:r>
              <w:rPr>
                <w:rFonts w:ascii="Times New Roman" w:hAnsi="Times New Roman"/>
                <w:sz w:val="20"/>
              </w:rPr>
              <w:t xml:space="preserve">, </w:t>
            </w:r>
            <w:hyperlink r:id="rId35">
              <w:r>
                <w:rPr>
                  <w:rStyle w:val="InternetLink"/>
                  <w:rFonts w:ascii="Times New Roman" w:hAnsi="Times New Roman"/>
                  <w:sz w:val="20"/>
                </w:rPr>
                <w:t>March  21, 2023</w:t>
              </w:r>
            </w:hyperlink>
            <w:r>
              <w:rPr>
                <w:rFonts w:ascii="Times New Roman" w:hAnsi="Times New Roman"/>
                <w:sz w:val="20"/>
              </w:rPr>
              <w:t xml:space="preserve">, </w:t>
            </w:r>
            <w:hyperlink r:id="rId36">
              <w:r>
                <w:rPr>
                  <w:rStyle w:val="InternetLink"/>
                  <w:rFonts w:ascii="Times New Roman" w:hAnsi="Times New Roman"/>
                  <w:sz w:val="20"/>
                </w:rPr>
                <w:t>April  11, 2023</w:t>
              </w:r>
            </w:hyperlink>
            <w:r>
              <w:rPr>
                <w:rFonts w:ascii="Times New Roman" w:hAnsi="Times New Roman"/>
                <w:sz w:val="20"/>
              </w:rPr>
              <w:t xml:space="preserve">, </w:t>
            </w:r>
            <w:hyperlink r:id="rId37">
              <w:r>
                <w:rPr>
                  <w:rStyle w:val="InternetLink"/>
                  <w:rFonts w:ascii="Times New Roman" w:hAnsi="Times New Roman"/>
                  <w:sz w:val="20"/>
                </w:rPr>
                <w:t>April  20, 2023</w:t>
              </w:r>
            </w:hyperlink>
            <w:r>
              <w:rPr>
                <w:rFonts w:ascii="Times New Roman" w:hAnsi="Times New Roman"/>
                <w:sz w:val="20"/>
              </w:rPr>
              <w:t xml:space="preserve">, </w:t>
            </w:r>
            <w:hyperlink r:id="rId38">
              <w:r>
                <w:rPr>
                  <w:rStyle w:val="InternetLink"/>
                  <w:rFonts w:ascii="Times New Roman" w:hAnsi="Times New Roman"/>
                  <w:sz w:val="20"/>
                </w:rPr>
                <w:t>April  26, 2023</w:t>
              </w:r>
            </w:hyperlink>
            <w:r>
              <w:rPr>
                <w:rFonts w:ascii="Times New Roman" w:hAnsi="Times New Roman"/>
                <w:sz w:val="20"/>
              </w:rPr>
              <w:t xml:space="preserve">, </w:t>
            </w:r>
            <w:hyperlink r:id="rId39">
              <w:r>
                <w:rPr>
                  <w:rStyle w:val="InternetLink"/>
                  <w:rFonts w:ascii="Times New Roman" w:hAnsi="Times New Roman"/>
                  <w:sz w:val="20"/>
                </w:rPr>
                <w:t>May  5, 2023</w:t>
              </w:r>
            </w:hyperlink>
            <w:r>
              <w:rPr>
                <w:rFonts w:ascii="Times New Roman" w:hAnsi="Times New Roman"/>
                <w:sz w:val="20"/>
              </w:rPr>
              <w:t xml:space="preserve">, </w:t>
            </w:r>
            <w:hyperlink r:id="rId40">
              <w:r>
                <w:rPr>
                  <w:rStyle w:val="InternetLink"/>
                  <w:rFonts w:ascii="Times New Roman" w:hAnsi="Times New Roman"/>
                  <w:sz w:val="20"/>
                </w:rPr>
                <w:t>June  27, 2023</w:t>
              </w:r>
            </w:hyperlink>
            <w:r>
              <w:rPr>
                <w:rFonts w:ascii="Times New Roman" w:hAnsi="Times New Roman"/>
                <w:sz w:val="20"/>
              </w:rPr>
              <w:t xml:space="preserve">, </w:t>
            </w:r>
            <w:hyperlink r:id="rId41">
              <w:r>
                <w:rPr>
                  <w:rStyle w:val="InternetLink"/>
                  <w:rFonts w:ascii="Times New Roman" w:hAnsi="Times New Roman"/>
                  <w:sz w:val="20"/>
                </w:rPr>
                <w:t>July  7, 2023</w:t>
              </w:r>
            </w:hyperlink>
            <w:r>
              <w:rPr>
                <w:rFonts w:ascii="Times New Roman" w:hAnsi="Times New Roman"/>
                <w:sz w:val="20"/>
              </w:rPr>
              <w:t xml:space="preserve">, </w:t>
            </w:r>
            <w:hyperlink r:id="rId42">
              <w:r>
                <w:rPr>
                  <w:rStyle w:val="InternetLink"/>
                  <w:rFonts w:ascii="Times New Roman" w:hAnsi="Times New Roman"/>
                  <w:sz w:val="20"/>
                </w:rPr>
                <w:t>August  31, 2023</w:t>
              </w:r>
            </w:hyperlink>
            <w:r>
              <w:rPr>
                <w:rFonts w:ascii="Times New Roman" w:hAnsi="Times New Roman"/>
                <w:sz w:val="20"/>
              </w:rPr>
              <w:t xml:space="preserve">, </w:t>
            </w:r>
            <w:hyperlink r:id="rId43">
              <w:r>
                <w:rPr>
                  <w:rStyle w:val="InternetLink"/>
                  <w:rFonts w:ascii="Times New Roman" w:hAnsi="Times New Roman"/>
                  <w:sz w:val="20"/>
                </w:rPr>
                <w:t>September  8, 2023</w:t>
              </w:r>
            </w:hyperlink>
            <w:r>
              <w:rPr>
                <w:rFonts w:ascii="Times New Roman" w:hAnsi="Times New Roman"/>
                <w:sz w:val="20"/>
              </w:rPr>
              <w:t xml:space="preserve">, </w:t>
            </w:r>
            <w:hyperlink r:id="rId44">
              <w:r>
                <w:rPr>
                  <w:rStyle w:val="InternetLink"/>
                  <w:rFonts w:ascii="Times New Roman" w:hAnsi="Times New Roman"/>
                  <w:sz w:val="20"/>
                </w:rPr>
                <w:t>September 13. 2023</w:t>
              </w:r>
            </w:hyperlink>
            <w:r>
              <w:rPr>
                <w:rFonts w:ascii="Times New Roman" w:hAnsi="Times New Roman"/>
                <w:sz w:val="20"/>
              </w:rPr>
              <w:t xml:space="preserve">, </w:t>
            </w:r>
            <w:hyperlink r:id="rId45">
              <w:r>
                <w:rPr>
                  <w:rStyle w:val="InternetLink"/>
                  <w:rFonts w:ascii="Times New Roman" w:hAnsi="Times New Roman"/>
                  <w:sz w:val="20"/>
                </w:rPr>
                <w:t>September  21, 2023</w:t>
              </w:r>
            </w:hyperlink>
            <w:r>
              <w:rPr>
                <w:rFonts w:ascii="Times New Roman" w:hAnsi="Times New Roman"/>
                <w:sz w:val="20"/>
              </w:rPr>
              <w:t xml:space="preserve">, </w:t>
            </w:r>
            <w:hyperlink r:id="rId46">
              <w:r>
                <w:rPr>
                  <w:rStyle w:val="InternetLink"/>
                  <w:rFonts w:ascii="Times New Roman" w:hAnsi="Times New Roman"/>
                  <w:sz w:val="20"/>
                </w:rPr>
                <w:t>September  22, 2023</w:t>
              </w:r>
            </w:hyperlink>
            <w:r>
              <w:rPr>
                <w:rFonts w:ascii="Times New Roman" w:hAnsi="Times New Roman"/>
                <w:sz w:val="20"/>
              </w:rPr>
              <w:t xml:space="preserve">, </w:t>
            </w:r>
            <w:hyperlink r:id="rId47">
              <w:r>
                <w:rPr>
                  <w:rStyle w:val="InternetLink"/>
                  <w:rFonts w:ascii="Times New Roman" w:hAnsi="Times New Roman"/>
                  <w:sz w:val="20"/>
                </w:rPr>
                <w:t>September  26, 2023</w:t>
              </w:r>
            </w:hyperlink>
            <w:r>
              <w:rPr>
                <w:rFonts w:ascii="Times New Roman" w:hAnsi="Times New Roman"/>
                <w:sz w:val="20"/>
              </w:rPr>
              <w:t xml:space="preserve">, </w:t>
            </w:r>
            <w:hyperlink r:id="rId48">
              <w:r>
                <w:rPr>
                  <w:rStyle w:val="InternetLink"/>
                  <w:rFonts w:ascii="Times New Roman" w:hAnsi="Times New Roman"/>
                  <w:sz w:val="20"/>
                </w:rPr>
                <w:t>September  27, 2023</w:t>
              </w:r>
            </w:hyperlink>
            <w:r>
              <w:rPr>
                <w:rFonts w:ascii="Times New Roman" w:hAnsi="Times New Roman"/>
                <w:sz w:val="20"/>
              </w:rPr>
              <w:t xml:space="preserve">, </w:t>
            </w:r>
            <w:hyperlink r:id="rId49">
              <w:r>
                <w:rPr>
                  <w:rStyle w:val="InternetLink"/>
                  <w:rFonts w:ascii="Times New Roman" w:hAnsi="Times New Roman"/>
                  <w:sz w:val="20"/>
                </w:rPr>
                <w:t>September  28, 2023</w:t>
              </w:r>
            </w:hyperlink>
            <w:r>
              <w:rPr>
                <w:rFonts w:ascii="Times New Roman" w:hAnsi="Times New Roman"/>
                <w:sz w:val="20"/>
              </w:rPr>
              <w:t xml:space="preserve">, </w:t>
            </w:r>
            <w:hyperlink r:id="rId50">
              <w:r>
                <w:rPr>
                  <w:rStyle w:val="InternetLink"/>
                  <w:rFonts w:ascii="Times New Roman" w:hAnsi="Times New Roman"/>
                  <w:sz w:val="20"/>
                </w:rPr>
                <w:t>October  11, 2023</w:t>
              </w:r>
            </w:hyperlink>
            <w:r>
              <w:rPr>
                <w:rFonts w:ascii="Times New Roman" w:hAnsi="Times New Roman"/>
                <w:sz w:val="20"/>
              </w:rPr>
              <w:t xml:space="preserve">, </w:t>
            </w:r>
            <w:hyperlink r:id="rId51">
              <w:r>
                <w:rPr>
                  <w:rStyle w:val="InternetLink"/>
                  <w:rFonts w:ascii="Times New Roman" w:hAnsi="Times New Roman"/>
                  <w:sz w:val="20"/>
                </w:rPr>
                <w:t>November  2, 2023</w:t>
              </w:r>
            </w:hyperlink>
            <w:r>
              <w:rPr>
                <w:rFonts w:ascii="Times New Roman" w:hAnsi="Times New Roman"/>
                <w:sz w:val="20"/>
              </w:rPr>
              <w:t xml:space="preserve"> and </w:t>
            </w:r>
            <w:hyperlink r:id="rId52">
              <w:r>
                <w:rPr>
                  <w:rStyle w:val="InternetLink"/>
                  <w:rFonts w:ascii="Times New Roman" w:hAnsi="Times New Roman"/>
                  <w:sz w:val="20"/>
                </w:rPr>
                <w:t>December 22, 2023</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set forth in our Registration Statement on </w:t>
            </w:r>
            <w:hyperlink r:id="rId53">
              <w:r>
                <w:rPr>
                  <w:rStyle w:val="InternetLink"/>
                  <w:rFonts w:ascii="Times New Roman" w:hAnsi="Times New Roman"/>
                  <w:sz w:val="20"/>
                </w:rPr>
                <w:t>Form 8-A</w:t>
              </w:r>
            </w:hyperlink>
            <w:r>
              <w:rPr>
                <w:rFonts w:ascii="Times New Roman" w:hAnsi="Times New Roman"/>
                <w:sz w:val="20"/>
              </w:rPr>
              <w:t xml:space="preserve"> (File No. 001-39852), filed with the SEC on January 6, 2021, including any amendments or reports filed for the purpose of updating such description, including </w:t>
            </w:r>
            <w:hyperlink r:id="rId54">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2022 filed with the SEC on March 7,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forms a part, until we file a post-effective amendment that indicates the termination of the offering of the securities made by this prospectus and such future filings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by reference herein modifies or supersedes such statement. Any such statement so modified or superseded shall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available from us, without charge. You may obtain documents incorporated by reference in this prospectus by requesting them in writing or by telephone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Scilex Holding Company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960 San Antonio Road </w:t>
      </w:r>
    </w:p>
    <w:p>
      <w:pPr>
        <w:pStyle w:val="TextBody"/>
        <w:bidi w:val="0"/>
        <w:spacing w:before="0" w:after="0"/>
        <w:jc w:val="center"/>
        <w:rPr>
          <w:rFonts w:ascii="Times New Roman" w:hAnsi="Times New Roman"/>
          <w:sz w:val="20"/>
        </w:rPr>
      </w:pPr>
      <w:r>
        <w:rPr>
          <w:rFonts w:ascii="Times New Roman" w:hAnsi="Times New Roman"/>
          <w:sz w:val="20"/>
        </w:rPr>
        <w:t xml:space="preserve">Palo Alto, CA 94303 </w:t>
      </w:r>
    </w:p>
    <w:p>
      <w:pPr>
        <w:pStyle w:val="TextBody"/>
        <w:bidi w:val="0"/>
        <w:spacing w:before="0" w:after="0"/>
        <w:jc w:val="center"/>
        <w:rPr>
          <w:rFonts w:ascii="Times New Roman" w:hAnsi="Times New Roman"/>
          <w:sz w:val="20"/>
        </w:rPr>
      </w:pPr>
      <w:r>
        <w:rPr>
          <w:rFonts w:ascii="Times New Roman" w:hAnsi="Times New Roman"/>
          <w:sz w:val="20"/>
        </w:rPr>
        <w:t xml:space="preserve">investorrelations@scilexholdings.com </w:t>
      </w:r>
    </w:p>
    <w:p>
      <w:pPr>
        <w:pStyle w:val="TextBody"/>
        <w:bidi w:val="0"/>
        <w:spacing w:before="0" w:after="0"/>
        <w:jc w:val="center"/>
        <w:rPr>
          <w:rFonts w:ascii="Times New Roman" w:hAnsi="Times New Roman"/>
          <w:sz w:val="20"/>
        </w:rPr>
      </w:pPr>
      <w:r>
        <w:rPr>
          <w:rFonts w:ascii="Times New Roman" w:hAnsi="Times New Roman"/>
          <w:sz w:val="20"/>
        </w:rPr>
        <w:t xml:space="preserve">Phone: (650) 516-4310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SCILEX HOLDING COMPANY </w:t>
      </w:r>
    </w:p>
    <w:p>
      <w:pPr>
        <w:pStyle w:val="TextBody"/>
        <w:bidi w:val="0"/>
        <w:spacing w:before="1600" w:after="0"/>
        <w:jc w:val="center"/>
        <w:rPr>
          <w:rFonts w:ascii="Times New Roman" w:hAnsi="Times New Roman"/>
          <w:b/>
          <w:sz w:val="25"/>
        </w:rPr>
      </w:pPr>
      <w:r>
        <w:rPr>
          <w:rFonts w:ascii="Times New Roman" w:hAnsi="Times New Roman"/>
          <w:b/>
          <w:sz w:val="25"/>
        </w:rPr>
        <w:t xml:space="preserve">15,000,000 Shares of Common Stock </w:t>
      </w:r>
    </w:p>
    <w:p>
      <w:pPr>
        <w:pStyle w:val="TextBody"/>
        <w:bidi w:val="0"/>
        <w:spacing w:before="0" w:after="0"/>
        <w:jc w:val="center"/>
        <w:rPr>
          <w:rFonts w:ascii="Times New Roman" w:hAnsi="Times New Roman"/>
          <w:b/>
          <w:sz w:val="25"/>
        </w:rPr>
      </w:pPr>
      <w:r>
        <w:rPr>
          <w:rFonts w:ascii="Times New Roman" w:hAnsi="Times New Roman"/>
          <w:b/>
          <w:sz w:val="25"/>
        </w:rPr>
        <w:t xml:space="preserve">Common Warrants to Purchase up to 15,000,000 Shares of Common Stock </w:t>
      </w:r>
    </w:p>
    <w:p>
      <w:pPr>
        <w:pStyle w:val="TextBody"/>
        <w:bidi w:val="0"/>
        <w:spacing w:before="0" w:after="0"/>
        <w:jc w:val="center"/>
        <w:rPr>
          <w:rFonts w:ascii="Times New Roman" w:hAnsi="Times New Roman"/>
          <w:b/>
          <w:sz w:val="25"/>
        </w:rPr>
      </w:pPr>
      <w:r>
        <w:rPr>
          <w:rFonts w:ascii="Times New Roman" w:hAnsi="Times New Roman"/>
          <w:b/>
          <w:sz w:val="25"/>
        </w:rPr>
        <w:t xml:space="preserve">Up to 15,000,000 Shares of Common Stock Underlying the Common Warrants </w:t>
      </w:r>
    </w:p>
    <w:p>
      <w:pPr>
        <w:pStyle w:val="TextBody"/>
        <w:bidi w:val="0"/>
        <w:spacing w:before="0" w:after="0"/>
        <w:jc w:val="center"/>
        <w:rPr>
          <w:rFonts w:ascii="Times New Roman" w:hAnsi="Times New Roman"/>
          <w:b/>
          <w:sz w:val="25"/>
        </w:rPr>
      </w:pPr>
      <w:r>
        <w:rPr>
          <w:rFonts w:ascii="Times New Roman" w:hAnsi="Times New Roman"/>
          <w:b/>
          <w:sz w:val="25"/>
        </w:rPr>
        <w:t xml:space="preserve">Placement Agent Warrants to Purchase up to 1,200,000 Shares of Common Stock </w:t>
      </w:r>
    </w:p>
    <w:p>
      <w:pPr>
        <w:pStyle w:val="TextBody"/>
        <w:bidi w:val="0"/>
        <w:spacing w:before="0" w:after="0"/>
        <w:jc w:val="center"/>
        <w:rPr>
          <w:rFonts w:ascii="Times New Roman" w:hAnsi="Times New Roman"/>
          <w:b/>
          <w:sz w:val="25"/>
        </w:rPr>
      </w:pPr>
      <w:r>
        <w:rPr>
          <w:rFonts w:ascii="Times New Roman" w:hAnsi="Times New Roman"/>
          <w:b/>
          <w:sz w:val="25"/>
        </w:rPr>
        <w:t xml:space="preserve">Up to 1,200,000 Shares of Common Stock Underlying the Placement Agent Warrants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2"/>
        <w:gridCol w:w="101"/>
        <w:gridCol w:w="5002"/>
      </w:tblGrid>
      <w:tr>
        <w:trPr/>
        <w:tc>
          <w:tcPr>
            <w:tcW w:w="510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b/>
              </w:rPr>
            </w:pPr>
            <w:r>
              <w:rPr>
                <w:b/>
              </w:rPr>
              <w:t>Rodman &amp; Renshaw LLC</w:t>
            </w:r>
          </w:p>
        </w:tc>
        <w:tc>
          <w:tcPr>
            <w:tcW w:w="101"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right"/>
              <w:rPr>
                <w:b/>
              </w:rPr>
            </w:pPr>
            <w:r>
              <w:rPr>
                <w:b/>
              </w:rPr>
              <w:t>StockBlock Securities LLC</w:t>
            </w:r>
          </w:p>
        </w:tc>
      </w:tr>
    </w:tbl>
    <w:p>
      <w:pPr>
        <w:pStyle w:val="TextBody"/>
        <w:bidi w:val="0"/>
        <w:spacing w:before="1440" w:after="0"/>
        <w:jc w:val="center"/>
        <w:rPr>
          <w:rFonts w:ascii="Times New Roman" w:hAnsi="Times New Roman"/>
          <w:b/>
          <w:sz w:val="20"/>
        </w:rPr>
      </w:pPr>
      <w:r>
        <w:rPr>
          <w:rFonts w:ascii="Times New Roman" w:hAnsi="Times New Roman"/>
          <w:b/>
          <w:sz w:val="20"/>
        </w:rPr>
        <w:t xml:space="preserve">April 23,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20190/000095017023006493/sclx-20221231.htm" TargetMode="External"/><Relationship Id="rId4" Type="http://schemas.openxmlformats.org/officeDocument/2006/relationships/hyperlink" Target="http://www.sec.gov/Archives/edgar/data/../../../ix?doc=/Archives/edgar/data/1820190/000095017023006493/sclx-20221231.htm" TargetMode="External"/><Relationship Id="rId5" Type="http://schemas.openxmlformats.org/officeDocument/2006/relationships/hyperlink" Target="http://www.sec.gov/Archives/edgar/data/../../../ix?doc=/Archives/edgar/data/1820190/000095017024029473/sclx-20231231.htm" TargetMode="External"/><Relationship Id="rId6" Type="http://schemas.openxmlformats.org/officeDocument/2006/relationships/hyperlink" Target="http://www.sec.gov/Archives/edgar/data/../../../ix?doc=/Archives/edgar/data/0001820190/000119312524038283/d753923d8k.htm" TargetMode="External"/><Relationship Id="rId7" Type="http://schemas.openxmlformats.org/officeDocument/2006/relationships/hyperlink" Target="http://www.sec.gov/Archives/edgar/data/../../../ix?doc=/Archives/edgar/data/0001820190/000119312524039238/d790557d8k.htm" TargetMode="External"/><Relationship Id="rId8" Type="http://schemas.openxmlformats.org/officeDocument/2006/relationships/hyperlink" Target="http://www.sec.gov/Archives/edgar/data/../../../ix?doc=/Archives/edgar/data/0001820190/000119312524046890/d795466d8k.htm" TargetMode="External"/><Relationship Id="rId9" Type="http://schemas.openxmlformats.org/officeDocument/2006/relationships/hyperlink" Target="http://www.sec.gov/Archives/edgar/data/../../../ix?doc=/Archives/edgar/data/0001820190/000119312524053683/d762592d8k.htm" TargetMode="External"/><Relationship Id="rId10" Type="http://schemas.openxmlformats.org/officeDocument/2006/relationships/hyperlink" Target="http://www.sec.gov/Archives/edgar/data/../../../ix?doc=/Archives/edgar/data/0001820190/000119312524059255/d772929d8k.htm" TargetMode="External"/><Relationship Id="rId11" Type="http://schemas.openxmlformats.org/officeDocument/2006/relationships/hyperlink" Target="http://www.sec.gov/Archives/edgar/data/../../../ix?doc=/Archives/edgar/data/0001820190/000119312524075429/d29843d8k.htm" TargetMode="External"/><Relationship Id="rId12" Type="http://schemas.openxmlformats.org/officeDocument/2006/relationships/hyperlink" Target="http://www.sec.gov/Archives/edgar/data/../../../ix?doc=/Archives/edgar/data/0001820190/000119312524076322/d801684d8k.htm" TargetMode="External"/><Relationship Id="rId13" Type="http://schemas.openxmlformats.org/officeDocument/2006/relationships/hyperlink" Target="http://www.sec.gov/Archives/edgar/data/../../../ix?doc=/Archives/edgar/data/0001820190/000119312524078597/d800081d8k.htm" TargetMode="External"/><Relationship Id="rId14" Type="http://schemas.openxmlformats.org/officeDocument/2006/relationships/hyperlink" Target="http://www.sec.gov/Archives/edgar/data/../../../ix?doc=/Archives/edgar/data/0001820190/000119312524088501/d815094d8k.htm" TargetMode="External"/><Relationship Id="rId15" Type="http://schemas.openxmlformats.org/officeDocument/2006/relationships/hyperlink" Target="http://www.sec.gov/Archives/edgar/data/1820190/000121390021000590/ea132712-8a12b_vickers1.htm" TargetMode="External"/><Relationship Id="rId16" Type="http://schemas.openxmlformats.org/officeDocument/2006/relationships/hyperlink" Target="http://www.sec.gov/Archives/edgar/data/1820190/000095017024029473/sclx-ex4_7.htm" TargetMode="External"/><Relationship Id="rId17" Type="http://schemas.openxmlformats.org/officeDocument/2006/relationships/image" Target="media/image2.jpeg"/><Relationship Id="rId18" Type="http://schemas.openxmlformats.org/officeDocument/2006/relationships/hyperlink" Target="http://www.sec.gov/Archives/edgar/data/../../../ix?doc=/Archives/edgar/data/1820190/000095017023006493/sclx-20221231.htm" TargetMode="External"/><Relationship Id="rId19" Type="http://schemas.openxmlformats.org/officeDocument/2006/relationships/hyperlink" Target="http://www.sec.gov/Archives/edgar/data/../../../ix?doc=/Archives/edgar/data/0001820190/000095017023021743/sclx-20230331.htm" TargetMode="External"/><Relationship Id="rId20" Type="http://schemas.openxmlformats.org/officeDocument/2006/relationships/hyperlink" Target="http://www.sec.gov/Archives/edgar/data/../../../ix?doc=/Archives/edgar/data/0001820190/000095017023041842/sclx-20230630.htm" TargetMode="External"/><Relationship Id="rId21" Type="http://schemas.openxmlformats.org/officeDocument/2006/relationships/hyperlink" Target="http://www.sec.gov/Archives/edgar/data/../../../ix?doc=/Archives/edgar/data/1820190/000095017023063810/sclx-20230930.htm" TargetMode="External"/><Relationship Id="rId22" Type="http://schemas.openxmlformats.org/officeDocument/2006/relationships/hyperlink" Target="http://www.sec.gov/Archives/edgar/data/../../../ix?doc=/Archives/edgar/data/1820190/000095017023006493/sclx-20221231.htm" TargetMode="External"/><Relationship Id="rId23" Type="http://schemas.openxmlformats.org/officeDocument/2006/relationships/hyperlink" Target="http://www.sec.gov/Archives/edgar/data/../../../ix?doc=/Archives/edgar/data/1820190/000095017023021743/sclx-20230331.htm" TargetMode="External"/><Relationship Id="rId24" Type="http://schemas.openxmlformats.org/officeDocument/2006/relationships/hyperlink" Target="http://www.sec.gov/Archives/edgar/data/../../../ix?doc=/Archives/edgar/data/1820190/000095017023041842/sclx-20230630.htm" TargetMode="External"/><Relationship Id="rId25" Type="http://schemas.openxmlformats.org/officeDocument/2006/relationships/hyperlink" Target="http://www.sec.gov/Archives/edgar/data/../../../ix?doc=/Archives/edgar/data/1820190/000095017023063810/sclx-20230930.htm" TargetMode="External"/><Relationship Id="rId26" Type="http://schemas.openxmlformats.org/officeDocument/2006/relationships/hyperlink" Target="http://www.sec.gov/Archives/edgar/data/../../../ix?doc=/Archives/edgar/data/0001820190/000095017023006493/sclx-20221231.htm" TargetMode="External"/><Relationship Id="rId27" Type="http://schemas.openxmlformats.org/officeDocument/2006/relationships/hyperlink" Target="http://www.sec.gov/Archives/edgar/data/../../../ix?doc=/Archives/edgar/data/0001820190/000095017023021743/sclx-20230331.htm" TargetMode="External"/><Relationship Id="rId28" Type="http://schemas.openxmlformats.org/officeDocument/2006/relationships/hyperlink" Target="http://www.sec.gov/Archives/edgar/data/../../../ix?doc=/Archives/edgar/data/0001820190/000095017023041842/sclx-20230630.htm" TargetMode="External"/><Relationship Id="rId29" Type="http://schemas.openxmlformats.org/officeDocument/2006/relationships/hyperlink" Target="http://www.sec.gov/Archives/edgar/data/../../../ix?doc=/Archives/edgar/data/1820190/000095017023063810/sclx-20230930.htm" TargetMode="External"/><Relationship Id="rId30" Type="http://schemas.openxmlformats.org/officeDocument/2006/relationships/hyperlink" Target="http://www.sec.gov/Archives/edgar/data/../../../ix?doc=/Archives/edgar/data/0001820190/000119312523004041/d371589d8k.htm" TargetMode="External"/><Relationship Id="rId31" Type="http://schemas.openxmlformats.org/officeDocument/2006/relationships/hyperlink" Target="http://www.sec.gov/Archives/edgar/data/../../../ix?doc=/Archives/edgar/data/0001820190/000119312523009256/d426852d8k.htm" TargetMode="External"/><Relationship Id="rId32" Type="http://schemas.openxmlformats.org/officeDocument/2006/relationships/hyperlink" Target="http://www.sec.gov/Archives/edgar/data/../../../ix?doc=/Archives/edgar/data/0001820190/000119312523024777/d462081d8k.htm" TargetMode="External"/><Relationship Id="rId33" Type="http://schemas.openxmlformats.org/officeDocument/2006/relationships/hyperlink" Target="http://www.sec.gov/Archives/edgar/data/../../../ix?doc=/Archives/edgar/data/0001820190/000119312523030002/d802493d8k.htm" TargetMode="External"/><Relationship Id="rId34" Type="http://schemas.openxmlformats.org/officeDocument/2006/relationships/hyperlink" Target="http://www.sec.gov/Archives/edgar/data/../../../ix?doc=/Archives/edgar/data/0001820190/000119312523035934/d447754d8k.htm" TargetMode="External"/><Relationship Id="rId35" Type="http://schemas.openxmlformats.org/officeDocument/2006/relationships/hyperlink" Target="http://www.sec.gov/Archives/edgar/data/../../../ix?doc=/Archives/edgar/data/0001820190/000119312523075731/d280460d8k.htm" TargetMode="External"/><Relationship Id="rId36" Type="http://schemas.openxmlformats.org/officeDocument/2006/relationships/hyperlink" Target="http://www.sec.gov/Archives/edgar/data/../../../ix?doc=/Archives/edgar/data/0001820190/000119312523097796/d429390d8k.htm" TargetMode="External"/><Relationship Id="rId37" Type="http://schemas.openxmlformats.org/officeDocument/2006/relationships/hyperlink" Target="http://www.sec.gov/Archives/edgar/data/../../../ix?doc=/Archives/edgar/data/0001820190/000119312523108354/d498999d8k.htm" TargetMode="External"/><Relationship Id="rId38" Type="http://schemas.openxmlformats.org/officeDocument/2006/relationships/hyperlink" Target="http://www.sec.gov/Archives/edgar/data/../../../ix?doc=/Archives/edgar/data/0001820190/000119312523116108/d466902d8k.htm" TargetMode="External"/><Relationship Id="rId39" Type="http://schemas.openxmlformats.org/officeDocument/2006/relationships/hyperlink" Target="http://www.sec.gov/Archives/edgar/data/../../../ix?doc=/Archives/edgar/data/0001820190/000119312523137199/d327950d8k.htm" TargetMode="External"/><Relationship Id="rId40" Type="http://schemas.openxmlformats.org/officeDocument/2006/relationships/hyperlink" Target="http://www.sec.gov/Archives/edgar/data/../../../ix?doc=/Archives/edgar/data/0001820190/000119312523176273/d443585d8k.htm" TargetMode="External"/><Relationship Id="rId41" Type="http://schemas.openxmlformats.org/officeDocument/2006/relationships/hyperlink" Target="http://www.sec.gov/Archives/edgar/data/../../../ix?doc=/Archives/edgar/data/0001820190/000119312523183184/d507324d8k.htm" TargetMode="External"/><Relationship Id="rId42" Type="http://schemas.openxmlformats.org/officeDocument/2006/relationships/hyperlink" Target="http://www.sec.gov/Archives/edgar/data/../../../ix?doc=/Archives/edgar/data/0001820190/000119312523226362/d533212d8k.htm" TargetMode="External"/><Relationship Id="rId43" Type="http://schemas.openxmlformats.org/officeDocument/2006/relationships/hyperlink" Target="http://www.sec.gov/Archives/edgar/data/../../../ix?doc=/Archives/edgar/data/0001820190/000119312523231529/d485283d8k.htm" TargetMode="External"/><Relationship Id="rId44" Type="http://schemas.openxmlformats.org/officeDocument/2006/relationships/hyperlink" Target="http://www.sec.gov/Archives/edgar/data/../../../ix?doc=/Archives/edgar/data/0001820190/000119312523234357/d527905d8k.htm" TargetMode="External"/><Relationship Id="rId45" Type="http://schemas.openxmlformats.org/officeDocument/2006/relationships/hyperlink" Target="http://www.sec.gov/Archives/edgar/data/../../../ix?doc=/Archives/edgar/data/0001820190/000119312523239551/d554572d8k.htm" TargetMode="External"/><Relationship Id="rId46" Type="http://schemas.openxmlformats.org/officeDocument/2006/relationships/hyperlink" Target="http://www.sec.gov/Archives/edgar/data/../../../ix?doc=/Archives/edgar/data/0001820190/000119312523240648/d440182d8k.htm" TargetMode="External"/><Relationship Id="rId47" Type="http://schemas.openxmlformats.org/officeDocument/2006/relationships/hyperlink" Target="http://www.sec.gov/Archives/edgar/data/../../../ix?doc=/Archives/edgar/data/0001820190/000119312523242508/d537034d8k.htm" TargetMode="External"/><Relationship Id="rId48" Type="http://schemas.openxmlformats.org/officeDocument/2006/relationships/hyperlink" Target="http://www.sec.gov/Archives/edgar/data/../../../ix?doc=/Archives/edgar/data/0001820190/000119312523243665/d559663d8ka.htm" TargetMode="External"/><Relationship Id="rId49" Type="http://schemas.openxmlformats.org/officeDocument/2006/relationships/hyperlink" Target="http://www.sec.gov/Archives/edgar/data/../../../ix?doc=/Archives/edgar/data/0001820190/000119312523245653/d526196d8k.htm" TargetMode="External"/><Relationship Id="rId50" Type="http://schemas.openxmlformats.org/officeDocument/2006/relationships/hyperlink" Target="http://www.sec.gov/Archives/edgar/data/../../../ix?doc=/Archives/edgar/data/0001820190/000119312523254137/d439599d8k.htm" TargetMode="External"/><Relationship Id="rId51" Type="http://schemas.openxmlformats.org/officeDocument/2006/relationships/hyperlink" Target="http://www.sec.gov/Archives/edgar/data/../../../ix?doc=/Archives/edgar/data/0001820190/000119312523268931/d545216d8k.htm" TargetMode="External"/><Relationship Id="rId52" Type="http://schemas.openxmlformats.org/officeDocument/2006/relationships/hyperlink" Target="http://www.sec.gov/Archives/edgar/data/../../../ix?doc=/Archives/edgar/data/1820190/000119312523302132/d564196d8k.htm" TargetMode="External"/><Relationship Id="rId53" Type="http://schemas.openxmlformats.org/officeDocument/2006/relationships/hyperlink" Target="http://www.sec.gov/Archives/edgar/data/1820190/000121390021000590/ea132712-8a12b_vickers1.htm" TargetMode="External"/><Relationship Id="rId54" Type="http://schemas.openxmlformats.org/officeDocument/2006/relationships/hyperlink" Target="http://www.sec.gov/Archives/edgar/data/1820190/000095017023006493/sclx-ex4_2.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92</Pages>
  <Words>41598</Words>
  <Characters>215172</Characters>
  <CharactersWithSpaces>256571</CharactersWithSpaces>
  <Paragraphs>2118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