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cilex_424b3_2.20.26_1.htm"/>
      <w:bookmarkStart w:id="1" w:name="ksscilex_424b3_2"/>
      <w:bookmarkStart w:id="2" w:name="scilex_424b3_2.20.26_1.htm"/>
      <w:bookmarkStart w:id="3" w:name="ksscilex_424b3_2"/>
      <w:bookmarkEnd w:id="2"/>
      <w:bookmarkEnd w:id="3"/>
    </w:p>
    <w:tbl>
      <w:tblPr>
        <w:tblW w:w="6403" w:type="dxa"/>
        <w:jc w:val="left"/>
        <w:tblInd w:w="0" w:type="dxa"/>
        <w:tblLayout w:type="fixed"/>
        <w:tblCellMar>
          <w:top w:w="28" w:type="dxa"/>
          <w:left w:w="28" w:type="dxa"/>
          <w:bottom w:w="28" w:type="dxa"/>
          <w:right w:w="28" w:type="dxa"/>
        </w:tblCellMar>
      </w:tblPr>
      <w:tblGrid>
        <w:gridCol w:w="3406"/>
        <w:gridCol w:w="146"/>
        <w:gridCol w:w="285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60"/>
              <w:jc w:val="left"/>
              <w:rPr/>
            </w:pPr>
            <w:r>
              <w:rPr/>
              <w:t> </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Filed Pursuant to Rule 424(b)(3)</w:t>
            </w:r>
          </w:p>
        </w:tc>
      </w:tr>
      <w:tr>
        <w:trPr/>
        <w:tc>
          <w:tcPr>
            <w:tcW w:w="340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PROSPECTUS SUPPLEMENT NO. 18</w:t>
              <w:br/>
              <w:t>(to Prospectus dated May 13, 2025)</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Registration No. 333-268603</w:t>
            </w:r>
          </w:p>
        </w:tc>
      </w:tr>
      <w:tr>
        <w:trPr/>
        <w:tc>
          <w:tcPr>
            <w:tcW w:w="340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PROSPECTUS SUPPLEMENT NO. 18</w:t>
              <w:br/>
              <w:t>(to Prospectus dated May 13, 2025)</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Registration No. 333-280882</w:t>
            </w:r>
          </w:p>
        </w:tc>
      </w:tr>
      <w:tr>
        <w:trPr/>
        <w:tc>
          <w:tcPr>
            <w:tcW w:w="340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PROSPECTUS SUPPLEMENT NO. 18</w:t>
              <w:br/>
              <w:t>(to Prospectus dated May 13, 2025)</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2851" w:type="dxa"/>
            <w:tcBorders/>
            <w:tcMar>
              <w:top w:w="0" w:type="dxa"/>
              <w:left w:w="0" w:type="dxa"/>
              <w:bottom w:w="0" w:type="dxa"/>
              <w:right w:w="0" w:type="dxa"/>
            </w:tcMar>
            <w:vAlign w:val="center"/>
          </w:tcPr>
          <w:p>
            <w:pPr>
              <w:pStyle w:val="TableContents"/>
              <w:bidi w:val="0"/>
              <w:spacing w:before="0" w:after="60"/>
              <w:jc w:val="right"/>
              <w:rPr>
                <w:rFonts w:ascii="Times New Roman" w:hAnsi="Times New Roman"/>
                <w:b/>
                <w:color w:val="000000"/>
                <w:sz w:val="20"/>
              </w:rPr>
            </w:pPr>
            <w:r>
              <w:rPr>
                <w:rFonts w:ascii="Times New Roman" w:hAnsi="Times New Roman"/>
                <w:b/>
                <w:color w:val="000000"/>
                <w:sz w:val="20"/>
              </w:rPr>
              <w:t>Registration No. 333-275117</w:t>
            </w:r>
          </w:p>
        </w:tc>
      </w:tr>
    </w:tbl>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SCILEX HOLDING COMPANY</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Up to 1,594,207 Shares of Common Stock</w:t>
        <w:br/>
        <w:t>Up to 198,810 Shares of Common Stock Issuable Upon the Exercise of Warrants</w:t>
        <w:br/>
        <w:t>Up to 1,402,955 Warrants</w:t>
      </w:r>
    </w:p>
    <w:p>
      <w:pPr>
        <w:pStyle w:val="TextBody"/>
        <w:bidi w:val="0"/>
        <w:jc w:val="center"/>
        <w:rPr>
          <w:rFonts w:ascii="Times New Roman" w:hAnsi="Times New Roman"/>
          <w:b/>
          <w:color w:val="000000"/>
          <w:sz w:val="20"/>
        </w:rPr>
      </w:pPr>
      <w:r>
        <w:rPr>
          <w:rFonts w:ascii="Times New Roman" w:hAnsi="Times New Roman"/>
          <w:b/>
          <w:color w:val="000000"/>
          <w:sz w:val="20"/>
        </w:rPr>
        <w:t>Up to 3,593,288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Up to 3,250,000 Shares of Common Stock offered by the Selling Securityholder</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Up to 6,685,714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br/>
        <w:t>________________</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prospectus supplement updates and supplements: (i) the prospectus dated May 13, 2025, which forms a part of our registration statement on Form S-1 (No. 333-268603) for which Post-Effective Amendment No. 3 was filed with the Securities and Exchange Commission (the “SEC”) on May 7, 2025 and declared effective by the SEC on May 13, 2025 (the “Post-deSPAC Prospectus”); (ii) </w:t>
      </w:r>
      <w:r>
        <w:rPr>
          <w:rFonts w:ascii="Times New Roman" w:hAnsi="Times New Roman"/>
          <w:color w:val="231F20"/>
          <w:sz w:val="20"/>
        </w:rPr>
        <w:t>the prospectus dated May 13, 2025, which forms a part of our registration statement on Form S-1 (No. 333-280882) for which Post-Effective Amendment No. 1 was filed with the SEC on May 7, 2025 and declared effective by the SEC on May 13, 2025 (the “Conversion Prospectus”); and (iii)</w:t>
      </w:r>
      <w:r>
        <w:rPr>
          <w:rFonts w:ascii="Times New Roman" w:hAnsi="Times New Roman"/>
          <w:color w:val="000000"/>
          <w:sz w:val="20"/>
        </w:rPr>
        <w:t xml:space="preserve"> the prospectus dated May 13, 2025, which forms a part of our registration statement on Form S-1 (No. 333-275117) for which Post-Effective Amendment No. 2 was filed with the SEC on May 7, 2025 and declared effective by the SEC on May 13, 2025 (the “Oramed Resale Prospectus” and together with the Post-deSPAC Prospectus and the Conversion Prospectus, the “Prospectuses”). This prospectus supplement is being filed to update and supplement the information in the Prospectuses with the information contained in our Current Reports on Form 8-K, filed with the SEC on February 2, 2026, February 3, 2026, and February 20, 2026 (collectively, the “Current Reports”). Accordingly, we have attached the Current Reports to this prospectus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is listed on the Nasdaq Capital Market under the symbol “SCLX”. On February 19, 2026, the last reported sales price per share of our Common Stock was $8.01. Our Public Warrants are listed on the Nasdaq Capital Market under the symbol “SCLXW.” On February 19, 2026, the closing sale price per warrant of our Public Warrants was $0.15.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15, 2025, we effected a reverse stock split of our Common Stock at a ratio of 1-for-35 (the “Reverse Stock Split”). Unless otherwise noted, the share and per share information in the Prospectuses and this prospectus supplement reflects the effect of the Reverse Stock Split.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Prospectuses and is not complete without, and may not be delivered or utilized except in combination with, the Prospectuses, including any amendments or supplements thereto. This prospectus supplement should be read in conjunction with the Prospectuses and if there is any inconsistency between the information in the Prospectuses and this prospectus supplement, you should rely on the information in this prospectus supplement.</w:t>
      </w:r>
    </w:p>
    <w:p>
      <w:pPr>
        <w:pStyle w:val="TextBody"/>
        <w:bidi w:val="0"/>
        <w:spacing w:before="0" w:after="240"/>
        <w:jc w:val="both"/>
        <w:rPr>
          <w:rFonts w:ascii="Times New Roman" w:hAnsi="Times New Roman"/>
          <w:sz w:val="20"/>
        </w:rPr>
      </w:pPr>
      <w:r>
        <w:rPr>
          <w:rFonts w:ascii="Times New Roman" w:hAnsi="Times New Roman"/>
          <w:b/>
          <w:color w:val="000000"/>
          <w:sz w:val="20"/>
        </w:rPr>
        <w:t>See the section titled “Risk Factors” beginning on page 23 of the Post-deSPAC Prospectus, page 23 of the Conversion Prospectus, and page 23 of the Oramed Resale Prospectus, as well as risks and uncertainties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described under similar headings in any amendments or supplements to the Prospectuses to read about factors you should consider before buying our securities.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__________________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Securities and Exchange Commission nor any state securities commission has approved or disapproved of these securities or passed upon the accuracy or adequacy of this prospectus supplement or the Prospectuses. Any representation to the contrary is a criminal offense.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date of this prospectus supplement is February 20, 2026.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4" w:space="1" w:color="000000"/>
        </w:pBdr>
        <w:bidi w:val="0"/>
        <w:spacing w:before="0" w:after="6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Date of Report (Date of earliest event reported): January 29, 2026</w:t>
      </w:r>
    </w:p>
    <w:p>
      <w:pPr>
        <w:pStyle w:val="TextBody"/>
        <w:bidi w:val="0"/>
        <w:spacing w:before="0" w:after="60"/>
        <w:jc w:val="center"/>
        <w:rPr>
          <w:rFonts w:ascii="Times New Roman" w:hAnsi="Times New Roman"/>
          <w:sz w:val="20"/>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HorizontalLine"/>
        <w:pBdr>
          <w:bottom w:val="double" w:sz="2" w:space="0" w:color="808080"/>
        </w:pBdr>
        <w:bidi w:val="0"/>
        <w:spacing w:before="0" w:after="283"/>
        <w:jc w:val="left"/>
        <w:rPr/>
      </w:pPr>
      <w:r>
        <w:rPr/>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Scilex Holding Company (the “Company”) entered into a Convertible Promissory Note, dated January 29, 2026 (the “Note”), with Quantum Scan Holdings, Inc. (“Q Scan”). Pursuant to the Note, the Company loaned Q Scan an aggregate of $20 million. The Note had a maturity date of October 29, 2026 and would commence accruing interest at a rate of 3.66% per annum commencing on April 29, 2026. The Note converted in full into an aggregate of 140,379,226 shares of common stock of Q Scan (the “Common Stock”) on January 29, 2026. The Note contains customary representations and warranties of the Company and Q Scan and customary covenants of Q Scan.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and Q Scan entered into a common stock purchase agreement, dated January 29, 2026, with Q Scan (the “Stock Purchase Agreement”). Pursuant to the Stock Purchase Agreement, Q Scan agreed to sell to the Company, and the Company agreed to purchase from Q Scan, an aggregate of 193,021,436 shares of Common Stock (the “Stock Purchase”) for an aggregate purchase price of approximately $27.5 million. The closing of the Stock Purchase shall occur within five business days of written notice delivered by Q Scan to the Company. The Stock Purchase Agreement contains customary representations, warranties and covenants of the Company and Q Scan. </w:t>
      </w:r>
    </w:p>
    <w:p>
      <w:pPr>
        <w:pStyle w:val="TextBody"/>
        <w:bidi w:val="0"/>
        <w:jc w:val="left"/>
        <w:rPr>
          <w:rFonts w:ascii="Times New Roman" w:hAnsi="Times New Roman"/>
          <w:color w:val="000000"/>
          <w:sz w:val="20"/>
        </w:rPr>
      </w:pPr>
      <w:r>
        <w:rPr>
          <w:rFonts w:ascii="Times New Roman" w:hAnsi="Times New Roman"/>
          <w:color w:val="000000"/>
          <w:sz w:val="20"/>
        </w:rPr>
        <w:t>Stephen Ma, the Company’s Chief Financial Officer and a member of the Company’s Board of Directors, has served as Q Scan’s interim Chief Financial Officer since January 16, 2026. As of the date of this Current Report on Form 8-K, Mr. Ma has not received any cash, equity or other compensation from Q Scan in his capacity as Q Scan’s interim Chief Financial Officer.</w:t>
      </w:r>
    </w:p>
    <w:p>
      <w:pPr>
        <w:pStyle w:val="TextBody"/>
        <w:bidi w:val="0"/>
        <w:jc w:val="both"/>
        <w:rPr>
          <w:rFonts w:ascii="Times New Roman" w:hAnsi="Times New Roman"/>
          <w:color w:val="000000"/>
          <w:sz w:val="20"/>
        </w:rPr>
      </w:pPr>
      <w:r>
        <w:rPr>
          <w:rFonts w:ascii="Times New Roman" w:hAnsi="Times New Roman"/>
          <w:color w:val="000000"/>
          <w:sz w:val="20"/>
        </w:rPr>
        <w:t>The foregoing summaries of the Note and the Stock Purchase Agreement do not purport to be complete and are qualified in their entirety by reference to the full text of the Note and the Stock Purchase Agreement, which the Company intends to file as exhibits to the Company’s Quarterly Report on Form 10-Q for the fiscal quarter ending March 31, 2026.</w:t>
      </w:r>
    </w:p>
    <w:p>
      <w:pPr>
        <w:pStyle w:val="TextBody"/>
        <w:bidi w:val="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9392" w:type="dxa"/>
        <w:jc w:val="left"/>
        <w:tblInd w:w="0" w:type="dxa"/>
        <w:tblLayout w:type="fixed"/>
        <w:tblCellMar>
          <w:top w:w="28" w:type="dxa"/>
          <w:left w:w="28" w:type="dxa"/>
          <w:bottom w:w="28" w:type="dxa"/>
          <w:right w:w="28" w:type="dxa"/>
        </w:tblCellMar>
      </w:tblPr>
      <w:tblGrid>
        <w:gridCol w:w="811"/>
        <w:gridCol w:w="8581"/>
      </w:tblGrid>
      <w:tr>
        <w:trPr/>
        <w:tc>
          <w:tcPr>
            <w:tcW w:w="811"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w:t>
              <w:br/>
              <w:t>Number</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85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73" w:type="dxa"/>
        <w:jc w:val="left"/>
        <w:tblInd w:w="0" w:type="dxa"/>
        <w:tblLayout w:type="fixed"/>
        <w:tblCellMar>
          <w:top w:w="28" w:type="dxa"/>
          <w:left w:w="28" w:type="dxa"/>
          <w:bottom w:w="28" w:type="dxa"/>
          <w:right w:w="28" w:type="dxa"/>
        </w:tblCellMar>
      </w:tblPr>
      <w:tblGrid>
        <w:gridCol w:w="1981"/>
        <w:gridCol w:w="631"/>
        <w:gridCol w:w="3061"/>
      </w:tblGrid>
      <w:tr>
        <w:trPr/>
        <w:tc>
          <w:tcPr>
            <w:tcW w:w="19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Henry Ji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w:t>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February 2, 2026</w:t>
      </w:r>
    </w:p>
    <w:p>
      <w:pPr>
        <w:pStyle w:val="TextBody"/>
        <w:bidi w:val="0"/>
        <w:spacing w:before="120" w:after="283"/>
        <w:jc w:val="center"/>
        <w:rPr>
          <w:rFonts w:ascii="Times New Roman" w:hAnsi="Times New Roman"/>
          <w:sz w:val="20"/>
        </w:rPr>
      </w:pPr>
      <w:r>
        <w:rPr>
          <w:rFonts w:ascii="Times New Roman" w:hAnsi="Times New Roman"/>
          <w:b/>
          <w:color w:val="000000"/>
          <w:sz w:val="48"/>
        </w:rPr>
        <w:t>SCILEX HOLDING COMPANY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92-1062542</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960 San Antonio Road, Palo Alto, California, 94303</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(650) 516-4310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20" w:type="dxa"/>
        <w:jc w:val="left"/>
        <w:tblInd w:w="0" w:type="dxa"/>
        <w:tblLayout w:type="fixed"/>
        <w:tblCellMar>
          <w:top w:w="28" w:type="dxa"/>
          <w:left w:w="28" w:type="dxa"/>
          <w:bottom w:w="28" w:type="dxa"/>
          <w:right w:w="28" w:type="dxa"/>
        </w:tblCellMar>
      </w:tblPr>
      <w:tblGrid>
        <w:gridCol w:w="6331"/>
        <w:gridCol w:w="146"/>
        <w:gridCol w:w="826"/>
        <w:gridCol w:w="146"/>
        <w:gridCol w:w="267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6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6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SCLX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common stock at an exercise price of $402.50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SCLXW</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961"/>
        <w:gridCol w:w="4606"/>
      </w:tblGrid>
      <w:tr>
        <w:trPr/>
        <w:tc>
          <w:tcPr>
            <w:tcW w:w="961"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3.03.</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Material Modification to Rights of Security Holders.</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set forth under Item 1.01 is incorporated by reference into this Item 3.03. </w:t>
      </w:r>
    </w:p>
    <w:tbl>
      <w:tblPr>
        <w:tblW w:w="7622" w:type="dxa"/>
        <w:jc w:val="left"/>
        <w:tblInd w:w="0" w:type="dxa"/>
        <w:tblLayout w:type="fixed"/>
        <w:tblCellMar>
          <w:top w:w="28" w:type="dxa"/>
          <w:left w:w="28" w:type="dxa"/>
          <w:bottom w:w="28" w:type="dxa"/>
          <w:right w:w="28" w:type="dxa"/>
        </w:tblCellMar>
      </w:tblPr>
      <w:tblGrid>
        <w:gridCol w:w="961"/>
        <w:gridCol w:w="6661"/>
      </w:tblGrid>
      <w:tr>
        <w:trPr/>
        <w:tc>
          <w:tcPr>
            <w:tcW w:w="961"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5.03.</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Amendments to Articles of Incorporation or Bylaws; Changes in Fiscal Year.</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previously disclosed, on October 28, 2024, in connection with and in order to consummate the distribution of the previously contemplated dividend described below, Scilex Holding Company (the “Company”) filed a Certificate of Designation of Preferences, Rights and Limitations of Series 1 Mandatory Exchangeable Preferred Stock (the “Certificate of Designation”) with the Secretary of State of the State of Delaware, designating 5,000,000 shares of the Company’s authorized but unissued preferred stock, par value $0.0001 per share, as Series 1 Mandatory Exchangeable Preferred Stock, and issued a press release announcing that the board of directors of the Company (the “Board”) had declared a stock dividend (the “Dividend”) consisting of an aggregate of 5,000,000 shares of Series 1 Mandatory Exchangeable Preferred Stock to be paid to the Company’s stockholders and certain other of its securityholders as of the close of business on November 7, 2024, which date was subsequently changed to January 28, 2025, then to April 11, 2025, then to May 2, 2025, and then to a future date to be determined in the sole discretion of the Board (such future date, the “Record Date”). The Dividend was to be paid on a date to be determined by resolutions of the Board (the “Payment Date”), which was to have been within 60 days following the Record Date (and if such 60th date was not a business day, then the immediately preceding business day). In declaring the Dividend, the Board retained the right to, among other things, revoke the Dividend, and the payment of the Dividend was conditioned upon the Board not having revoked the Dividend prior to the Payment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2, 2026, the Board approved revocation of the declaration of the Dividend (the “Dividend Revocation”). No shares of Series 1 Mandatory Exchangeable Preferred Stock had ever been issued or outstanding as of such date as the Spin-off Dividend (as defined in the Certificate of Designation) did not occur by the Preferred Stock End Date (as defined in the Certificate of Designation).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3, 2026, in connection with the Dividend Revocation, the Company filed a Certificate of Elimination of Series 1 Mandatory Exchangeable Preferred Stock (the “Certificate of Elimination”) with the Secretary of State of the State of Delaware. The Certificate of Elimination, which became effective immediately upon filing, eliminated the previously designated 5,000,000 shares of Series 1 Mandatory Exchangeable Preferred Stock and caused such shares to resume their status as undesignated shares of preferred stock of the Company. No shares of Series 1 Mandatory Exchangeable Preferred Stock were issued or outstanding upon the filing of the Certificate of Elimination.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foregoing is a summary of the terms of the Certificate of Elimination. This summary does not purport to be complete and is qualified in its entirety by reference to the full text of the Certificate of Elimination, a copy of which is attached hereto as Exhibit 3.1 and incorporated herein by reference.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Elimination of Series 1 Mandatory Exchangeable Preferred Stock of Scilex Holding Company, dated February 3, 2026.</w:t>
              </w:r>
            </w:hyperlink>
            <w:hyperlink r:id="rId3">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both"/>
        <w:rPr/>
      </w:pPr>
      <w:r>
        <w:rPr/>
        <w:t> </w:t>
      </w:r>
    </w:p>
    <w:tbl>
      <w:tblPr>
        <w:tblW w:w="5673" w:type="dxa"/>
        <w:jc w:val="left"/>
        <w:tblInd w:w="0" w:type="dxa"/>
        <w:tblLayout w:type="fixed"/>
        <w:tblCellMar>
          <w:top w:w="28" w:type="dxa"/>
          <w:left w:w="28" w:type="dxa"/>
          <w:bottom w:w="28" w:type="dxa"/>
          <w:right w:w="28" w:type="dxa"/>
        </w:tblCellMar>
      </w:tblPr>
      <w:tblGrid>
        <w:gridCol w:w="1981"/>
        <w:gridCol w:w="631"/>
        <w:gridCol w:w="3061"/>
      </w:tblGrid>
      <w:tr>
        <w:trPr/>
        <w:tc>
          <w:tcPr>
            <w:tcW w:w="19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Henry Ji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w:t>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3,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color w:val="000000"/>
          <w:sz w:val="20"/>
        </w:rPr>
        <w:t>Exhibit 3.1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SCILEX HOLDING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ELIMINATION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SERIES 1 MANDATORY EXCHANGEABLE PREFERRED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Pursuant to Section 151 of the </w:t>
      </w:r>
    </w:p>
    <w:p>
      <w:pPr>
        <w:pStyle w:val="TextBody"/>
        <w:bidi w:val="0"/>
        <w:jc w:val="center"/>
        <w:rPr>
          <w:rFonts w:ascii="Times New Roman" w:hAnsi="Times New Roman"/>
          <w:color w:val="000000"/>
          <w:sz w:val="20"/>
        </w:rPr>
      </w:pPr>
      <w:r>
        <w:rPr>
          <w:rFonts w:ascii="Times New Roman" w:hAnsi="Times New Roman"/>
          <w:color w:val="000000"/>
          <w:sz w:val="20"/>
        </w:rPr>
        <w:t xml:space="preserve">General Corporation Law of the State of Delaware </w:t>
      </w:r>
    </w:p>
    <w:p>
      <w:pPr>
        <w:pStyle w:val="TextBody"/>
        <w:bidi w:val="0"/>
        <w:spacing w:before="240" w:after="283"/>
        <w:jc w:val="left"/>
        <w:rPr>
          <w:rFonts w:ascii="Times New Roman" w:hAnsi="Times New Roman"/>
          <w:sz w:val="20"/>
        </w:rPr>
      </w:pPr>
      <w:r>
        <w:rPr>
          <w:rFonts w:ascii="Times New Roman" w:hAnsi="Times New Roman"/>
          <w:color w:val="000000"/>
          <w:sz w:val="20"/>
        </w:rPr>
        <w:t>In accordance with Section 151(g) of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Scilex Holding Company, a corporation organized and existing under the General Corporation Law of the State of Delaware (hereinafter called the “</w:t>
      </w:r>
      <w:r>
        <w:rPr>
          <w:rFonts w:ascii="Times New Roman" w:hAnsi="Times New Roman"/>
          <w:color w:val="000000"/>
          <w:sz w:val="20"/>
          <w:u w:val="single"/>
        </w:rPr>
        <w:t>Corporation</w:t>
      </w:r>
      <w:r>
        <w:rPr>
          <w:rFonts w:ascii="Times New Roman" w:hAnsi="Times New Roman"/>
          <w:color w:val="000000"/>
          <w:sz w:val="20"/>
        </w:rPr>
        <w:t xml:space="preserve">”), hereby certifies as follows: </w:t>
      </w:r>
    </w:p>
    <w:p>
      <w:pPr>
        <w:pStyle w:val="TextBody"/>
        <w:bidi w:val="0"/>
        <w:spacing w:before="240" w:after="283"/>
        <w:jc w:val="left"/>
        <w:rPr>
          <w:rFonts w:ascii="Times New Roman" w:hAnsi="Times New Roman"/>
          <w:sz w:val="20"/>
        </w:rPr>
      </w:pPr>
      <w:r>
        <w:rPr>
          <w:rFonts w:ascii="Times New Roman" w:hAnsi="Times New Roman"/>
          <w:color w:val="000000"/>
          <w:sz w:val="20"/>
        </w:rPr>
        <w:t>FIRST: Pursuant to Section 151 of the DGCL and the authority granted to and vested in the Board of Directors of the Corporation (the “</w:t>
      </w:r>
      <w:r>
        <w:rPr>
          <w:rFonts w:ascii="Times New Roman" w:hAnsi="Times New Roman"/>
          <w:color w:val="000000"/>
          <w:sz w:val="20"/>
          <w:u w:val="single"/>
        </w:rPr>
        <w:t>Board</w:t>
      </w:r>
      <w:r>
        <w:rPr>
          <w:rFonts w:ascii="Times New Roman" w:hAnsi="Times New Roman"/>
          <w:color w:val="000000"/>
          <w:sz w:val="20"/>
        </w:rPr>
        <w:t>”) in accordance with the provisions of the Restated Certificate of Incorporation of the Corporation (as amended and/or restated from time to time, the “</w:t>
      </w:r>
      <w:r>
        <w:rPr>
          <w:rFonts w:ascii="Times New Roman" w:hAnsi="Times New Roman"/>
          <w:color w:val="000000"/>
          <w:sz w:val="20"/>
          <w:u w:val="single"/>
        </w:rPr>
        <w:t>Certificate of Incorporation</w:t>
      </w:r>
      <w:r>
        <w:rPr>
          <w:rFonts w:ascii="Times New Roman" w:hAnsi="Times New Roman"/>
          <w:color w:val="000000"/>
          <w:sz w:val="20"/>
        </w:rPr>
        <w:t>”), the Board previously designated 5,000,000 shares of preferred stock of the Corporation as Series 1 Mandatory Exchangeable Preferred Stock, par value $0.0001 per share (“</w:t>
      </w:r>
      <w:r>
        <w:rPr>
          <w:rFonts w:ascii="Times New Roman" w:hAnsi="Times New Roman"/>
          <w:color w:val="000000"/>
          <w:sz w:val="20"/>
          <w:u w:val="single"/>
        </w:rPr>
        <w:t>Series 1 Mandatory Exchangeable Preferred Stock</w:t>
      </w:r>
      <w:r>
        <w:rPr>
          <w:rFonts w:ascii="Times New Roman" w:hAnsi="Times New Roman"/>
          <w:color w:val="000000"/>
          <w:sz w:val="20"/>
        </w:rPr>
        <w:t>”), and established the powers, preferences and rights of the shares of such series, and the qualifications, limitations or restrictions thereof as set forth in the Certificate of Designation of Preferences, Rights and Limitations of Series 1 Mandatory Exchangeable Preferred Stock of the Corporation (the “</w:t>
      </w:r>
      <w:r>
        <w:rPr>
          <w:rFonts w:ascii="Times New Roman" w:hAnsi="Times New Roman"/>
          <w:color w:val="000000"/>
          <w:sz w:val="20"/>
          <w:u w:val="single"/>
        </w:rPr>
        <w:t>Certificate of Designation</w:t>
      </w:r>
      <w:r>
        <w:rPr>
          <w:rFonts w:ascii="Times New Roman" w:hAnsi="Times New Roman"/>
          <w:color w:val="000000"/>
          <w:sz w:val="20"/>
        </w:rPr>
        <w:t>”), which Certificate of Designation was filed in the Office of the Secretary of State of the State of Delaware and is in full force and effect on the date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SECOND: None of the authorized shares of Series 1 Mandatory Exchangeable Preferred Stock are outstanding and none will be issued subject to the Certificate of Designation.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Pursuant to the authority conferred on the Board by the provisions of Section 151(g) of the DGCL and the authority granted to and vested in the Board in accordance with the provisions of the Certificate of Incorporation, the Board duly adopted the following resolutions: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RESOLVED, that, pursuant to the authority conferred on the Board by the provisions of Section 151(g) of the DGCL and the authority granted to and vested in the Board in accordance with the provisions of the Certificate of Incorporation, the Board hereby eliminates the Series 1 Mandatory Exchangeable Preferred Stock, none of which is currently outstanding and none of which will be issued subject to the Certificate of Designation therefor; </w:t>
      </w:r>
    </w:p>
    <w:p>
      <w:pPr>
        <w:pStyle w:val="TextBody"/>
        <w:bidi w:val="0"/>
        <w:spacing w:before="120" w:after="283"/>
        <w:jc w:val="left"/>
        <w:rPr>
          <w:rFonts w:ascii="Times New Roman" w:hAnsi="Times New Roman"/>
          <w:sz w:val="20"/>
        </w:rPr>
      </w:pPr>
      <w:r>
        <w:rPr>
          <w:rFonts w:ascii="Times New Roman" w:hAnsi="Times New Roman"/>
          <w:color w:val="000000"/>
          <w:sz w:val="20"/>
        </w:rPr>
        <w:t>RESOLVED FURTHER, that the Corporation be, and it hereby is, authorized and directed to file with the Secretary of State of the State of Delaware a Certificate of Elimination of Series 1 Mandatory Exchangeable Preferred Stock (the “</w:t>
      </w:r>
      <w:r>
        <w:rPr>
          <w:rFonts w:ascii="Times New Roman" w:hAnsi="Times New Roman"/>
          <w:color w:val="000000"/>
          <w:sz w:val="20"/>
          <w:u w:val="single"/>
        </w:rPr>
        <w:t>Certificate of Elimination</w:t>
      </w:r>
      <w:r>
        <w:rPr>
          <w:rFonts w:ascii="Times New Roman" w:hAnsi="Times New Roman"/>
          <w:color w:val="000000"/>
          <w:sz w:val="20"/>
        </w:rPr>
        <w:t xml:space="preserve">”) containing these resolutions, which shall have the effect, immediately upon the effectiveness of the filing of the Certificate of Elimination, of eliminating from the Certificate of Incorporation all matters set forth in the Certificate of Designation filed with the Secretary of State of the State of Delaware; and </w:t>
      </w:r>
    </w:p>
    <w:p>
      <w:pPr>
        <w:pStyle w:val="TextBody"/>
        <w:bidi w:val="0"/>
        <w:spacing w:before="120" w:after="283"/>
        <w:jc w:val="left"/>
        <w:rPr>
          <w:rFonts w:ascii="Times New Roman" w:hAnsi="Times New Roman"/>
          <w:sz w:val="20"/>
        </w:rPr>
      </w:pPr>
      <w:r>
        <w:rPr>
          <w:rFonts w:ascii="Times New Roman" w:hAnsi="Times New Roman"/>
          <w:color w:val="000000"/>
          <w:sz w:val="20"/>
        </w:rPr>
        <w:t>RESOLVED FURTHER, that the authorized officers of the Corporation (the “</w:t>
      </w:r>
      <w:r>
        <w:rPr>
          <w:rFonts w:ascii="Times New Roman" w:hAnsi="Times New Roman"/>
          <w:color w:val="000000"/>
          <w:sz w:val="20"/>
          <w:u w:val="single"/>
        </w:rPr>
        <w:t>Authorized Officers</w:t>
      </w:r>
      <w:r>
        <w:rPr>
          <w:rFonts w:ascii="Times New Roman" w:hAnsi="Times New Roman"/>
          <w:color w:val="000000"/>
          <w:sz w:val="20"/>
        </w:rPr>
        <w:t xml:space="preserve">”) and such other officers, employees or agents of the Corporation as may be designated by any of the Authorized Officers be, and each of them hereby is, authorized and directed, for and on behalf of the Corporation, to execute and file the Certificate of Elimination with the Secretary of State of the State of Delaware at such time as such Authorized Officers deem appropriate, and to take such further actions as they may deem necessary or appropriate to carry out the intent of the foregoing resolutions in accordance with the applicable provisions of the DGCL.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FOURTH: Pursuant to the provisions of Section 151(g) of the DGCL, all references to Series 1 Mandatory Exchangeable Preferred Stock in the Certificate of Incorporation shall be eliminated effective immediately upon the filing of this Certificate of Elimination (the “</w:t>
      </w:r>
      <w:r>
        <w:rPr>
          <w:rFonts w:ascii="Times New Roman" w:hAnsi="Times New Roman"/>
          <w:color w:val="000000"/>
          <w:sz w:val="20"/>
          <w:u w:val="single"/>
        </w:rPr>
        <w:t>Effective Time</w:t>
      </w:r>
      <w:r>
        <w:rPr>
          <w:rFonts w:ascii="Times New Roman" w:hAnsi="Times New Roman"/>
          <w:color w:val="000000"/>
          <w:sz w:val="20"/>
        </w:rPr>
        <w:t xml:space="preserve">”), and the shares that were designated to such series are returned to the status of authorized but unissued shares of preferred stock of the Corporation effective as of the Effective Time. </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2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WITNESS WHEREOF, Scilex Holding Company has caused this Certificate of Elimination of Series 1 Mandatory Exchangeable Preferred Stock to be executed by its duly authorized officer on February 3, 2026. </w:t>
      </w:r>
    </w:p>
    <w:tbl>
      <w:tblPr>
        <w:tblW w:w="4003" w:type="dxa"/>
        <w:jc w:val="left"/>
        <w:tblInd w:w="0" w:type="dxa"/>
        <w:tblLayout w:type="fixed"/>
        <w:tblCellMar>
          <w:top w:w="28" w:type="dxa"/>
          <w:left w:w="28" w:type="dxa"/>
          <w:bottom w:w="28" w:type="dxa"/>
          <w:right w:w="28" w:type="dxa"/>
        </w:tblCellMar>
      </w:tblPr>
      <w:tblGrid>
        <w:gridCol w:w="646"/>
        <w:gridCol w:w="1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SCILEX HOLDING COMPANY</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Henry Ji, Ph.D.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4" w:space="1" w:color="000000"/>
        </w:pBdr>
        <w:bidi w:val="0"/>
        <w:spacing w:before="0" w:after="6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Date of Report (Date of earliest event reported): February 19, 2026</w:t>
      </w:r>
    </w:p>
    <w:p>
      <w:pPr>
        <w:pStyle w:val="TextBody"/>
        <w:bidi w:val="0"/>
        <w:spacing w:before="0" w:after="60"/>
        <w:jc w:val="center"/>
        <w:rPr>
          <w:rFonts w:ascii="Times New Roman" w:hAnsi="Times New Roman"/>
          <w:sz w:val="20"/>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Warrant Agreement</w:t>
      </w:r>
    </w:p>
    <w:p>
      <w:pPr>
        <w:pStyle w:val="TextBody"/>
        <w:bidi w:val="0"/>
        <w:spacing w:before="0" w:after="240"/>
        <w:jc w:val="both"/>
        <w:rPr>
          <w:rFonts w:ascii="Times New Roman" w:hAnsi="Times New Roman"/>
          <w:sz w:val="20"/>
        </w:rPr>
      </w:pPr>
      <w:r>
        <w:rPr>
          <w:rFonts w:ascii="Times New Roman" w:hAnsi="Times New Roman"/>
          <w:color w:val="000000"/>
          <w:sz w:val="20"/>
        </w:rPr>
        <w:t>On February 19, 2026, Scilex Holding Company (the “</w:t>
      </w:r>
      <w:r>
        <w:rPr>
          <w:rFonts w:ascii="Times New Roman" w:hAnsi="Times New Roman"/>
          <w:b/>
          <w:color w:val="000000"/>
          <w:sz w:val="20"/>
        </w:rPr>
        <w:t>Company</w:t>
      </w:r>
      <w:r>
        <w:rPr>
          <w:rFonts w:ascii="Times New Roman" w:hAnsi="Times New Roman"/>
          <w:color w:val="000000"/>
          <w:sz w:val="20"/>
        </w:rPr>
        <w:t>”) entered into a Warrant Agreement (the “</w:t>
      </w:r>
      <w:r>
        <w:rPr>
          <w:rFonts w:ascii="Times New Roman" w:hAnsi="Times New Roman"/>
          <w:b/>
          <w:color w:val="000000"/>
          <w:sz w:val="20"/>
        </w:rPr>
        <w:t>Warrant Agreement</w:t>
      </w:r>
      <w:r>
        <w:rPr>
          <w:rFonts w:ascii="Times New Roman" w:hAnsi="Times New Roman"/>
          <w:color w:val="000000"/>
          <w:sz w:val="20"/>
        </w:rPr>
        <w:t>”) with Oramed Pharmaceuticals Inc. (“</w:t>
      </w:r>
      <w:r>
        <w:rPr>
          <w:rFonts w:ascii="Times New Roman" w:hAnsi="Times New Roman"/>
          <w:b/>
          <w:color w:val="000000"/>
          <w:sz w:val="20"/>
        </w:rPr>
        <w:t>Oramed</w:t>
      </w:r>
      <w:r>
        <w:rPr>
          <w:rFonts w:ascii="Times New Roman" w:hAnsi="Times New Roman"/>
          <w:color w:val="000000"/>
          <w:sz w:val="20"/>
        </w:rPr>
        <w:t>”). Pursuant to the Warrant Agreement, Oramed deferred its right to receive an amortization payment scheduled to be paid by the Company on October 1, 2025 as set forth in the amortization schedule included in that certain Senior Secured Convertible Note (the “</w:t>
      </w:r>
      <w:r>
        <w:rPr>
          <w:rFonts w:ascii="Times New Roman" w:hAnsi="Times New Roman"/>
          <w:b/>
          <w:color w:val="000000"/>
          <w:sz w:val="20"/>
        </w:rPr>
        <w:t>Tranche B Notes</w:t>
      </w:r>
      <w:r>
        <w:rPr>
          <w:rFonts w:ascii="Times New Roman" w:hAnsi="Times New Roman"/>
          <w:color w:val="000000"/>
          <w:sz w:val="20"/>
        </w:rPr>
        <w:t>”) issued to Oramed pursuant to that certain Securities Purchase Agreement, dated as of October 7, 2024, by and among the Company and the investors party thereto (including Oramed) in exchange for the Company’s agreement to issue a new warrant to purchase an aggregate of 100,000 shares of the Company’s common stock, par value $0.0001 per share (the “</w:t>
      </w:r>
      <w:r>
        <w:rPr>
          <w:rFonts w:ascii="Times New Roman" w:hAnsi="Times New Roman"/>
          <w:b/>
          <w:color w:val="000000"/>
          <w:sz w:val="20"/>
        </w:rPr>
        <w:t>Common Stock</w:t>
      </w:r>
      <w:r>
        <w:rPr>
          <w:rFonts w:ascii="Times New Roman" w:hAnsi="Times New Roman"/>
          <w:color w:val="000000"/>
          <w:sz w:val="20"/>
        </w:rPr>
        <w:t>”, and such warrants, the “</w:t>
      </w:r>
      <w:r>
        <w:rPr>
          <w:rFonts w:ascii="Times New Roman" w:hAnsi="Times New Roman"/>
          <w:b/>
          <w:color w:val="000000"/>
          <w:sz w:val="20"/>
        </w:rPr>
        <w:t>February 2026 Warrant</w:t>
      </w:r>
      <w:r>
        <w:rPr>
          <w:rFonts w:ascii="Times New Roman" w:hAnsi="Times New Roman"/>
          <w:color w:val="000000"/>
          <w:sz w:val="20"/>
        </w:rPr>
        <w:t>”) at an initial exercise price of $20.00 per share (the “</w:t>
      </w:r>
      <w:r>
        <w:rPr>
          <w:rFonts w:ascii="Times New Roman" w:hAnsi="Times New Roman"/>
          <w:b/>
          <w:color w:val="000000"/>
          <w:sz w:val="20"/>
        </w:rPr>
        <w:t>Exercise Price</w:t>
      </w:r>
      <w:r>
        <w:rPr>
          <w:rFonts w:ascii="Times New Roman" w:hAnsi="Times New Roman"/>
          <w:color w:val="000000"/>
          <w:sz w:val="20"/>
        </w:rPr>
        <w:t>”) as described below. The deferred amortization payment was made to Oramed in November 2025.</w:t>
      </w:r>
    </w:p>
    <w:p>
      <w:pPr>
        <w:pStyle w:val="TextBody"/>
        <w:bidi w:val="0"/>
        <w:spacing w:before="0" w:after="240"/>
        <w:jc w:val="both"/>
        <w:rPr>
          <w:rFonts w:ascii="Times New Roman" w:hAnsi="Times New Roman"/>
          <w:sz w:val="20"/>
        </w:rPr>
      </w:pPr>
      <w:r>
        <w:rPr>
          <w:rFonts w:ascii="Times New Roman" w:hAnsi="Times New Roman"/>
          <w:color w:val="000000"/>
          <w:sz w:val="20"/>
        </w:rPr>
        <w:t>The February 2026 Warrant is immediately exercisable upon issuance. The issuance of the February 2026 Warrant was made pursuant to an exemption from registration provided by Section 4(a)(2) of the Securities Act of 1933, as amended (the “</w:t>
      </w:r>
      <w:r>
        <w:rPr>
          <w:rFonts w:ascii="Times New Roman" w:hAnsi="Times New Roman"/>
          <w:b/>
          <w:color w:val="000000"/>
          <w:sz w:val="20"/>
        </w:rPr>
        <w:t>Securities Act</w:t>
      </w:r>
      <w:r>
        <w:rPr>
          <w:rFonts w:ascii="Times New Roman" w:hAnsi="Times New Roman"/>
          <w:color w:val="000000"/>
          <w:sz w:val="20"/>
        </w:rPr>
        <w:t>”), and Rule 506(b) of Regulation D as promulgated thereunder by the U.S. Securities and Exchange Commission (the “</w:t>
      </w:r>
      <w:r>
        <w:rPr>
          <w:rFonts w:ascii="Times New Roman" w:hAnsi="Times New Roman"/>
          <w:b/>
          <w:color w:val="000000"/>
          <w:sz w:val="20"/>
        </w:rPr>
        <w:t>SEC</w:t>
      </w:r>
      <w:r>
        <w:rPr>
          <w:rFonts w:ascii="Times New Roman" w:hAnsi="Times New Roman"/>
          <w:color w:val="000000"/>
          <w:sz w:val="20"/>
        </w:rPr>
        <w:t xml:space="preserve">”). The Company has agreed to file as soon as practicable (and in any event within the later of (i) 30 calendar days following the date of the Warrant Agreement, (ii) 10 days following the date of the filing with the SEC of the Company’s Annual Report on Form 10-K for the year ended December 31, 2025 and (iii) March 31, 2026) a registration statement on Form S-3 (or Form S-1 if Form S-3 is not available to the Company) registering under the Securities Act the resale by Oramed of the shares of Common Stock of the Company issuable upon exercise of the February 2026 Warrant or to include such shares of Common Stock in any other registration statement on Form S-3 filed by the Company. The February 2026 Warrant shall have an expiration date of December 13, 2029.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Exercise Price is subject to adjustment for any stock split, stock dividend, stock combination, recapitalization or similar event and is also subject to adjustment in connection with certain subsequent offerings at a per share price less than the exercise price of the February 2026 Warrant then in effect, subject to a floor price of $8.22 (as adjusted for stock splits, stock dividends, stock combinations, recapitalizations and similar events). If at the time of exercise of the February 2026 Warrant there is no effective registration statement registering the shares of Common Stock underlying the February 2026 Warrant, such warrant may be exercised on a cashless basis pursuant to their terms.</w:t>
      </w:r>
    </w:p>
    <w:p>
      <w:pPr>
        <w:pStyle w:val="TextBody"/>
        <w:bidi w:val="0"/>
        <w:spacing w:before="0" w:after="240"/>
        <w:jc w:val="both"/>
        <w:rPr>
          <w:rFonts w:ascii="Times New Roman" w:hAnsi="Times New Roman"/>
          <w:sz w:val="20"/>
        </w:rPr>
      </w:pPr>
      <w:r>
        <w:rPr>
          <w:rFonts w:ascii="Times New Roman" w:hAnsi="Times New Roman"/>
          <w:color w:val="000000"/>
          <w:sz w:val="20"/>
        </w:rPr>
        <w:t>A holder of a February 2026 Warrant shall not have the right to exercise any portion of a February 2026 Warrant to the extent that, after giving effect to such exercise, the holder (together with certain related parties) would beneficially own in excess of 4.99% (the “</w:t>
      </w:r>
      <w:r>
        <w:rPr>
          <w:rFonts w:ascii="Times New Roman" w:hAnsi="Times New Roman"/>
          <w:b/>
          <w:color w:val="000000"/>
          <w:sz w:val="20"/>
        </w:rPr>
        <w:t>Maximum Percentage</w:t>
      </w:r>
      <w:r>
        <w:rPr>
          <w:rFonts w:ascii="Times New Roman" w:hAnsi="Times New Roman"/>
          <w:color w:val="000000"/>
          <w:sz w:val="20"/>
        </w:rPr>
        <w:t>”) of the shares of Common Stock outstanding immediately after giving effect to such exercise. The Maximum Percentage may be raised or lowered to any other percentage not in excess of 9.99%, at the option of the holder, except that any increase will only be effective upon 61 days’ prior notice to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February 2026 Warrant prohibits the Company from entering into specified fundamental transactions unless the successor entity (subject to certain exceptions) assumes all of the Company’s obligations under the February 2026 Warrant under a written agreement before the transaction is completed. Upon specified corporate events, a February 2026 Warrant holder will thereafter have the right to receive upon an exercise such shares, securities, cash, assets or any other property whatsoever which the holder would have been entitled to receive upon the happening of the applicable corporate event had the February 2026 Warrant been exercised immediately prior to the applicable corporate event. When there is a transaction involving specified changes of control, the holder of the February 2026 Warrant will have the right to force the Company to repurchase such holder’s February 2026 Warrant for a purchase price in cash equal to the Black Scholes value, as calculated under the February 2026 Warrants, of the then unexercised portion of the February 2026 Warrant.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Warrant Agreement contains other customary provisions including representations and warranties of the Company and Oramed.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Warrant Agreement is filed as Exhibit 10.1 and the form of February 2026 Warrant is filed as Exhibit 10.2, in each case to this Current Report on Form 8-K and are incorporated herein by reference. The foregoing descriptions of the terms of the Warrant Agreement and the form of February 2026 Warrant do not purport to be complete and are qualified in their entirety by reference to such exhibits.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No Solicitation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Current Report on Form 8-K shall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other jurisdiction.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above in Item 1.01 with respect to the issuance of the February 2026 Warrant pursuant to the Warrant Agreement is hereby incorporated by reference into this Item 3.02. The issuance of the February 2026 Warrant was made, and the issuance of the shares of Common Stock underlying the February 2026 Warrants will be made, in reliance on the exemption from registration pursuant to Section 4(a)(2) of the Securities Act and Regulation D promulgated thereunder.</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811"/>
        <w:gridCol w:w="9394"/>
      </w:tblGrid>
      <w:tr>
        <w:trPr/>
        <w:tc>
          <w:tcPr>
            <w:tcW w:w="811" w:type="dxa"/>
            <w:tcBorders/>
            <w:vAlign w:val="center"/>
          </w:tcPr>
          <w:p>
            <w:pPr>
              <w:pStyle w:val="TableContents"/>
              <w:bidi w:val="0"/>
              <w:spacing w:before="0" w:after="283"/>
              <w:jc w:val="left"/>
              <w:rPr>
                <w:sz w:val="4"/>
                <w:szCs w:val="4"/>
              </w:rPr>
            </w:pPr>
            <w:r>
              <w:rPr>
                <w:sz w:val="4"/>
                <w:szCs w:val="4"/>
              </w:rPr>
            </w:r>
          </w:p>
        </w:tc>
        <w:tc>
          <w:tcPr>
            <w:tcW w:w="9394"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w:t>
              <w:br/>
              <w:t>Number</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4.1</w:t>
            </w:r>
          </w:p>
        </w:tc>
        <w:tc>
          <w:tcPr>
            <w:tcW w:w="939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February 2026 Warrant.</w:t>
              </w:r>
            </w:hyperlink>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10.1*</w:t>
            </w:r>
          </w:p>
        </w:tc>
        <w:tc>
          <w:tcPr>
            <w:tcW w:w="939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Warrant Agreement, dated as of February 19, 2026, by and between the Company and Oramed Pharmaceuticals Inc.</w:t>
              </w:r>
            </w:hyperlink>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93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both"/>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Certain of the exhibits and schedules to this Exhibit have been omitted in accordance with Regulation S-K Item 601(a)(5). The Registrant agrees to furnish a copy of all omitted exhibits and schedules to the SEC upon its request.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66" w:type="dxa"/>
        <w:jc w:val="left"/>
        <w:tblInd w:w="0" w:type="dxa"/>
        <w:tblLayout w:type="fixed"/>
        <w:tblCellMar>
          <w:top w:w="28" w:type="dxa"/>
          <w:left w:w="28" w:type="dxa"/>
          <w:bottom w:w="28" w:type="dxa"/>
          <w:right w:w="28" w:type="dxa"/>
        </w:tblCellMar>
      </w:tblPr>
      <w:tblGrid>
        <w:gridCol w:w="2086"/>
        <w:gridCol w:w="688"/>
        <w:gridCol w:w="2192"/>
      </w:tblGrid>
      <w:tr>
        <w:trPr/>
        <w:tc>
          <w:tcPr>
            <w:tcW w:w="20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Stephen Ma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Ma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20, 2026</w:t>
            </w:r>
          </w:p>
        </w:tc>
        <w:tc>
          <w:tcPr>
            <w:tcW w:w="6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4.1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[FORM OF WARRANT]</w:t>
      </w:r>
    </w:p>
    <w:p>
      <w:pPr>
        <w:pStyle w:val="TextBody"/>
        <w:bidi w:val="0"/>
        <w:spacing w:before="0" w:after="240"/>
        <w:jc w:val="both"/>
        <w:rPr>
          <w:rFonts w:ascii="Times New Roman" w:hAnsi="Times New Roman"/>
          <w:sz w:val="20"/>
        </w:rPr>
      </w:pPr>
      <w:r>
        <w:rPr>
          <w:rFonts w:ascii="Times New Roman" w:hAnsi="Times New Roman"/>
          <w:b/>
          <w:caps/>
          <w:color w:val="000000"/>
          <w:sz w:val="24"/>
        </w:rPr>
        <w:t xml:space="preserve">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w:t>
      </w:r>
      <w:r>
        <w:rPr>
          <w:rFonts w:ascii="Times New Roman" w:hAnsi="Times New Roman"/>
          <w:b/>
          <w:color w:val="000000"/>
          <w:sz w:val="24"/>
        </w:rPr>
        <w:t>1(a)</w:t>
      </w:r>
      <w:r>
        <w:rPr>
          <w:rFonts w:ascii="Times New Roman" w:hAnsi="Times New Roman"/>
          <w:caps/>
          <w:color w:val="000000"/>
          <w:sz w:val="20"/>
        </w:rPr>
        <w:t xml:space="preserve"> </w:t>
      </w:r>
      <w:r>
        <w:rPr>
          <w:rFonts w:ascii="Times New Roman" w:hAnsi="Times New Roman"/>
          <w:b/>
          <w:caps/>
          <w:color w:val="000000"/>
          <w:sz w:val="24"/>
        </w:rPr>
        <w:t>OF THIS WARRANT.</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Scilex Holding Company</w:t>
      </w:r>
      <w:r>
        <w:rPr>
          <w:rFonts w:ascii="Times New Roman" w:hAnsi="Times New Roman"/>
          <w:smallCaps/>
          <w:color w:val="000000"/>
          <w:sz w:val="20"/>
        </w:rPr>
        <w:t xml:space="preserve">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Warrant To Purchase Common Stock</w:t>
      </w:r>
    </w:p>
    <w:p>
      <w:pPr>
        <w:pStyle w:val="TextBody"/>
        <w:bidi w:val="0"/>
        <w:spacing w:before="0" w:after="120"/>
        <w:jc w:val="left"/>
        <w:rPr>
          <w:rFonts w:ascii="Times New Roman" w:hAnsi="Times New Roman"/>
          <w:sz w:val="20"/>
        </w:rPr>
      </w:pPr>
      <w:r>
        <w:rPr>
          <w:rFonts w:ascii="Times New Roman" w:hAnsi="Times New Roman"/>
          <w:color w:val="000000"/>
          <w:sz w:val="24"/>
        </w:rPr>
        <w:t>Warrant No.: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Date of Issuance: February 19, 2026 (“</w:t>
      </w:r>
      <w:r>
        <w:rPr>
          <w:rFonts w:ascii="Times New Roman" w:hAnsi="Times New Roman"/>
          <w:b/>
          <w:color w:val="000000"/>
          <w:sz w:val="24"/>
        </w:rPr>
        <w:t>Issuance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Scilex Holding Company,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xml:space="preserve">), hereby certifies that, for good and valuable consideration, the receipt and sufficiency of which are hereby acknowledged, </w:t>
      </w:r>
      <w:r>
        <w:rPr>
          <w:rFonts w:ascii="Times New Roman" w:hAnsi="Times New Roman"/>
          <w:caps/>
          <w:color w:val="000000"/>
          <w:sz w:val="24"/>
        </w:rPr>
        <w:t>Oramed Pharmaceuticals inc.</w:t>
      </w:r>
      <w:r>
        <w:rPr>
          <w:rFonts w:ascii="Times New Roman" w:hAnsi="Times New Roman"/>
          <w:color w:val="000000"/>
          <w:sz w:val="24"/>
        </w:rPr>
        <w:t>, the registered holder hereof or its permitted assigns (the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hAnsi="Times New Roman"/>
          <w:b/>
          <w:color w:val="000000"/>
          <w:sz w:val="24"/>
        </w:rPr>
        <w:t>Warrant</w:t>
      </w:r>
      <w:r>
        <w:rPr>
          <w:rFonts w:ascii="Times New Roman" w:hAnsi="Times New Roman"/>
          <w:color w:val="000000"/>
          <w:sz w:val="20"/>
        </w:rPr>
        <w:t>”</w:t>
      </w:r>
      <w:r>
        <w:rPr>
          <w:rFonts w:ascii="Times New Roman" w:hAnsi="Times New Roman"/>
          <w:color w:val="000000"/>
          <w:sz w:val="24"/>
        </w:rPr>
        <w:t>), at any time or times on or after the Issuance Date, but not after 11:59 p.m., New York time, on the Expiration Date (as defined below), 100,000 (subject to adjustment as provided herein) fully paid and non-assessable shares of Common Stock (as defined below)</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Warrant Shares</w:t>
      </w:r>
      <w:r>
        <w:rPr>
          <w:rFonts w:ascii="Times New Roman" w:hAnsi="Times New Roman"/>
          <w:color w:val="000000"/>
          <w:sz w:val="20"/>
        </w:rPr>
        <w:t>”</w:t>
      </w:r>
      <w:r>
        <w:rPr>
          <w:rFonts w:ascii="Times New Roman" w:hAnsi="Times New Roman"/>
          <w:color w:val="000000"/>
          <w:sz w:val="24"/>
        </w:rPr>
        <w:t>, and such number of Warrant Shares, the “</w:t>
      </w:r>
      <w:r>
        <w:rPr>
          <w:rFonts w:ascii="Times New Roman" w:hAnsi="Times New Roman"/>
          <w:b/>
          <w:color w:val="000000"/>
          <w:sz w:val="24"/>
        </w:rPr>
        <w:t>Warrant Number</w:t>
      </w:r>
      <w:r>
        <w:rPr>
          <w:rFonts w:ascii="Times New Roman" w:hAnsi="Times New Roman"/>
          <w:color w:val="000000"/>
          <w:sz w:val="20"/>
        </w:rPr>
        <w:t>”</w:t>
      </w:r>
      <w:r>
        <w:rPr>
          <w:rFonts w:ascii="Times New Roman" w:hAnsi="Times New Roman"/>
          <w:color w:val="000000"/>
          <w:sz w:val="24"/>
        </w:rPr>
        <w:t>). Except as otherwise defined herein, capitalized terms in this Warrant shall have the meanings set forth in Section 19. This Warrant is issued pursuant to Section 1 of that certain Warrant Agreement, dated as of February 19, 2026, by and between the Company and the Holder, as amended from time to time (the “</w:t>
      </w:r>
      <w:r>
        <w:rPr>
          <w:rFonts w:ascii="Times New Roman" w:hAnsi="Times New Roman"/>
          <w:b/>
          <w:color w:val="000000"/>
          <w:sz w:val="24"/>
        </w:rPr>
        <w:t>Warrant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EXERCISE OF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Mechanics of Exercise</w:t>
      </w:r>
      <w:r>
        <w:rPr>
          <w:rFonts w:ascii="Times New Roman" w:hAnsi="Times New Roman"/>
          <w:color w:val="000000"/>
          <w:sz w:val="24"/>
        </w:rPr>
        <w:t>. Subject to the terms and conditions hereof (including, without limitation, the limitations set forth in Section 1(f)), this Warrant may be exercised by the Holder on any day on or after the Issuance Date (an “</w:t>
      </w:r>
      <w:r>
        <w:rPr>
          <w:rFonts w:ascii="Times New Roman" w:hAnsi="Times New Roman"/>
          <w:b/>
          <w:color w:val="000000"/>
          <w:sz w:val="24"/>
        </w:rPr>
        <w:t>Exercise Date</w:t>
      </w:r>
      <w:r>
        <w:rPr>
          <w:color w:val="000000"/>
        </w:rPr>
        <w:t>”</w:t>
      </w:r>
      <w:r>
        <w:rPr>
          <w:rFonts w:ascii="Times New Roman" w:hAnsi="Times New Roman"/>
          <w:color w:val="000000"/>
          <w:sz w:val="24"/>
        </w:rPr>
        <w:t xml:space="preserve">), in whole or in part, by </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 xml:space="preserve">delivery (whether via facsimile or otherwise) of a written notice, in the form attached hereto as </w:t>
      </w: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(the “</w:t>
      </w:r>
      <w:r>
        <w:rPr>
          <w:rFonts w:ascii="Times New Roman" w:hAnsi="Times New Roman"/>
          <w:b/>
          <w:color w:val="000000"/>
          <w:sz w:val="24"/>
        </w:rPr>
        <w:t>Exercise Notice</w:t>
      </w:r>
      <w:r>
        <w:rPr>
          <w:color w:val="000000"/>
        </w:rPr>
        <w:t>”</w:t>
      </w:r>
      <w:r>
        <w:rPr>
          <w:rFonts w:ascii="Times New Roman" w:hAnsi="Times New Roman"/>
          <w:color w:val="000000"/>
          <w:sz w:val="24"/>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Times New Roman" w:hAnsi="Times New Roman"/>
          <w:b/>
          <w:color w:val="000000"/>
          <w:sz w:val="24"/>
        </w:rPr>
        <w:t>Aggregate Exercise Price</w:t>
      </w:r>
      <w:r>
        <w:rPr>
          <w:color w:val="000000"/>
        </w:rPr>
        <w:t>”</w:t>
      </w:r>
      <w:r>
        <w:rPr>
          <w:rFonts w:ascii="Times New Roman" w:hAnsi="Times New Roman"/>
          <w:color w:val="000000"/>
          <w:sz w:val="24"/>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w:t>
      </w:r>
      <w:bookmarkStart w:id="4" w:name="ole_link15"/>
      <w:bookmarkEnd w:id="4"/>
      <w:r>
        <w:rPr>
          <w:rFonts w:ascii="Times New Roman" w:hAnsi="Times New Roman"/>
          <w:color w:val="000000"/>
          <w:sz w:val="24"/>
        </w:rPr>
        <w:t xml:space="preserve">On the date on which the Company has received an Exercise Notice (if received prior to 4:00 pm New York City time, otherwise on the next day), the Company shall transmit by electronic mail an acknowledgment of confirmation of receipt of such Exercise Notice, in the form attached hereto as </w:t>
      </w:r>
      <w:r>
        <w:rPr>
          <w:rFonts w:ascii="Times New Roman" w:hAnsi="Times New Roman"/>
          <w:b/>
          <w:color w:val="000000"/>
          <w:sz w:val="24"/>
          <w:u w:val="single"/>
        </w:rPr>
        <w:t>Exhibit B</w:t>
      </w:r>
      <w:r>
        <w:rPr>
          <w:rFonts w:ascii="Times New Roman" w:hAnsi="Times New Roman"/>
          <w:color w:val="000000"/>
          <w:sz w:val="24"/>
        </w:rPr>
        <w:t>, to the Holder and the Company’s transfer agent (the “</w:t>
      </w:r>
      <w:r>
        <w:rPr>
          <w:rFonts w:ascii="Times New Roman" w:hAnsi="Times New Roman"/>
          <w:b/>
          <w:color w:val="000000"/>
          <w:sz w:val="24"/>
        </w:rPr>
        <w:t>Transfer Agent</w:t>
      </w:r>
      <w:r>
        <w:rPr>
          <w:color w:val="000000"/>
        </w:rPr>
        <w:t>”</w:t>
      </w:r>
      <w:r>
        <w:rPr>
          <w:rFonts w:ascii="Times New Roman" w:hAnsi="Times New Roman"/>
          <w:color w:val="000000"/>
          <w:sz w:val="24"/>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hAnsi="Times New Roman"/>
          <w:b/>
          <w:color w:val="000000"/>
          <w:sz w:val="24"/>
        </w:rPr>
        <w:t>DTC</w:t>
      </w:r>
      <w:r>
        <w:rPr>
          <w:color w:val="000000"/>
        </w:rPr>
        <w:t>”</w:t>
      </w:r>
      <w:r>
        <w:rPr>
          <w:rFonts w:ascii="Times New Roman" w:hAnsi="Times New Roman"/>
          <w:color w:val="000000"/>
          <w:sz w:val="24"/>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Automated Securities Transfer Program (“</w:t>
      </w:r>
      <w:r>
        <w:rPr>
          <w:rFonts w:ascii="Times New Roman" w:hAnsi="Times New Roman"/>
          <w:b/>
          <w:color w:val="000000"/>
          <w:sz w:val="24"/>
        </w:rPr>
        <w:t>FAST</w:t>
      </w:r>
      <w:r>
        <w:rPr>
          <w:color w:val="000000"/>
        </w:rPr>
        <w:t>”</w:t>
      </w:r>
      <w:r>
        <w:rPr>
          <w:rFonts w:ascii="Times New Roman" w:hAnsi="Times New Roman"/>
          <w:color w:val="000000"/>
          <w:sz w:val="24"/>
        </w:rPr>
        <w: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that may arise with respect to the period commencing on such Exercise Date, through, and including, such applicable Share Delivery Date (as defined below) (each, an “</w:t>
      </w:r>
      <w:r>
        <w:rPr>
          <w:rFonts w:ascii="Times New Roman" w:hAnsi="Times New Roman"/>
          <w:b/>
          <w:color w:val="000000"/>
          <w:sz w:val="24"/>
        </w:rPr>
        <w:t>Exercise Period</w:t>
      </w:r>
      <w:r>
        <w:rPr>
          <w:color w:val="000000"/>
        </w:rPr>
        <w:t>”</w:t>
      </w:r>
      <w:r>
        <w:rPr>
          <w:rFonts w:ascii="Times New Roman" w:hAnsi="Times New Roman"/>
          <w:color w:val="000000"/>
          <w:sz w:val="24"/>
        </w:rPr>
        <w:t>), as necessary, such that the aggregate voting rights of any shares of Common Stock (including such Warrant Shares) beneficially owned by the Holder and/or any Attribution Parties, collectively, on any such date of determination shall not exceed the Maximum Percentage (as defined below) as a result of any such exercise of this Warrant; provided, further that, for the avoidance of doubt, the Holder shall have no voting rights with respect to any Warrant Shares issuable with respect to any cash exercise of this Warrant until the Company shall have received the Aggregate Exercise Price with respect thereto. If this Warrant is submitted in connection with any exercise pursuant to this Section 1(a) and the number of</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Company shall pay cash in lieu of any fraction of a share, as provided in Section 1(h).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one (1) Trading Day after receipt of the applicable Exercise Notice (or such earlier date as required pursuant to the 1934 Act or other applicable law, rule or regulation for the settlement of a trade of such Warrant Shares initiated on the applicable Exercise Date) and (ii) the date of the Company’s receipt of the Aggregate Exercise Price (or valid notice of a Cashless Exercise) (such later date, the “</w:t>
      </w:r>
      <w:r>
        <w:rPr>
          <w:rFonts w:ascii="Times New Roman" w:hAnsi="Times New Roman"/>
          <w:b/>
          <w:color w:val="000000"/>
          <w:sz w:val="24"/>
        </w:rPr>
        <w:t>Share Delivery Date</w:t>
      </w:r>
      <w:r>
        <w:rPr>
          <w:color w:val="000000"/>
        </w:rPr>
        <w:t>”</w:t>
      </w:r>
      <w:r>
        <w:rPr>
          <w:rFonts w:ascii="Times New Roman" w:hAnsi="Times New Roman"/>
          <w:color w:val="000000"/>
          <w:sz w:val="24"/>
        </w:rPr>
        <w:t>) shall not be deemed to be a breach of this Warrant. From the Issuance Date through and including the Expiration Date, the Company shall maintain a transfer agent that participates in FAST.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For purposes of this Warrant, “</w:t>
      </w:r>
      <w:r>
        <w:rPr>
          <w:rFonts w:ascii="Times New Roman" w:hAnsi="Times New Roman"/>
          <w:b/>
          <w:color w:val="000000"/>
          <w:sz w:val="24"/>
        </w:rPr>
        <w:t>Exercise Price</w:t>
      </w:r>
      <w:r>
        <w:rPr>
          <w:color w:val="000000"/>
        </w:rPr>
        <w:t xml:space="preserve">” </w:t>
      </w:r>
      <w:r>
        <w:rPr>
          <w:rFonts w:ascii="Times New Roman" w:hAnsi="Times New Roman"/>
          <w:color w:val="000000"/>
          <w:sz w:val="24"/>
        </w:rPr>
        <w:t>means $20.00, subject to adjustment as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Company’s Failure to Timely Deliver Securities</w:t>
      </w:r>
      <w:r>
        <w:rPr>
          <w:rFonts w:ascii="Times New Roman" w:hAnsi="Times New Roman"/>
          <w:color w:val="000000"/>
          <w:sz w:val="24"/>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to credit the balance account of the Holder or the Holder’s designee with DTC for such number of Warrant Shares to which the Holder is entitled upon the Holder’s exercise of this Warrant (as the case may be) or (II) if (i) a registration statement (or prospectus contained therein) covering the resale of the Warrant Shares that are the subject of the Exercise Notice is not available (the “</w:t>
      </w:r>
      <w:r>
        <w:rPr>
          <w:rFonts w:ascii="Times New Roman" w:hAnsi="Times New Roman"/>
          <w:b/>
          <w:color w:val="000000"/>
          <w:sz w:val="24"/>
        </w:rPr>
        <w:t>Unavailable Registration Statement</w:t>
      </w:r>
      <w:r>
        <w:rPr>
          <w:color w:val="000000"/>
        </w:rPr>
        <w:t>”</w:t>
      </w:r>
      <w:r>
        <w:rPr>
          <w:rFonts w:ascii="Times New Roman" w:hAnsi="Times New Roman"/>
          <w:color w:val="000000"/>
          <w:sz w:val="24"/>
        </w:rPr>
        <w:t>) for the resale of such Warrant Shares, (ii) the Company fails to promptly notify Holder of the Unavailable Registration Statement and (iii) the Company fails to promptly deliver the Warrant Shares electronically without any restrictive legend by crediting such aggregate number of Warrant Shares to which the Holder is entitled pursuant to Cashless Exercise to the Holder’s or its designee’s balance account with DTC through its Deposit/Withdrawal At Custodian system (the event described in the immediately foregoing clause (II) is hereinafter referred to as a “</w:t>
      </w:r>
      <w:r>
        <w:rPr>
          <w:rFonts w:ascii="Times New Roman" w:hAnsi="Times New Roman"/>
          <w:b/>
          <w:color w:val="000000"/>
          <w:sz w:val="24"/>
        </w:rPr>
        <w:t>Notice Failure</w:t>
      </w:r>
      <w:r>
        <w:rPr>
          <w:color w:val="000000"/>
        </w:rPr>
        <w:t xml:space="preserve">” </w:t>
      </w:r>
      <w:r>
        <w:rPr>
          <w:rFonts w:ascii="Times New Roman" w:hAnsi="Times New Roman"/>
          <w:color w:val="000000"/>
          <w:sz w:val="24"/>
        </w:rPr>
        <w:t>and together with the event described in clause (I) above, a “</w:t>
      </w:r>
      <w:r>
        <w:rPr>
          <w:rFonts w:ascii="Times New Roman" w:hAnsi="Times New Roman"/>
          <w:b/>
          <w:color w:val="000000"/>
          <w:sz w:val="24"/>
        </w:rPr>
        <w:t>Delivery Failure</w:t>
      </w:r>
      <w:r>
        <w:rPr>
          <w:color w:val="000000"/>
        </w:rPr>
        <w:t>”</w:t>
      </w:r>
      <w:r>
        <w:rPr>
          <w:rFonts w:ascii="Times New Roman" w:hAnsi="Times New Roman"/>
          <w:color w:val="000000"/>
          <w:sz w:val="24"/>
        </w:rPr>
        <w:t xml:space="preserve">), then, in addition to all other remedies available to the Holder, (X) the Company shall pay in cash to the Holder on each day after the Share Delivery Date and during such Delivery Failure an amount equal to 1.5%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a Delivery Failure occurs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hAnsi="Times New Roman"/>
          <w:b/>
          <w:color w:val="000000"/>
          <w:sz w:val="24"/>
        </w:rPr>
        <w:t>Buy-In</w:t>
      </w:r>
      <w:r>
        <w:rPr>
          <w:color w:val="000000"/>
        </w:rPr>
        <w:t>”</w:t>
      </w:r>
      <w:r>
        <w:rPr>
          <w:rFonts w:ascii="Times New Roman" w:hAnsi="Times New Roman"/>
          <w:color w:val="000000"/>
          <w:sz w:val="24"/>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hAnsi="Times New Roman"/>
          <w:b/>
          <w:color w:val="000000"/>
          <w:sz w:val="24"/>
        </w:rPr>
        <w:t>Buy-In Price</w:t>
      </w:r>
      <w:r>
        <w:rPr>
          <w:color w:val="000000"/>
        </w:rPr>
        <w:t>”</w:t>
      </w:r>
      <w:r>
        <w:rPr>
          <w:rFonts w:ascii="Times New Roman" w:hAnsi="Times New Roman"/>
          <w:color w:val="000000"/>
          <w:sz w:val="24"/>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hAnsi="Times New Roman"/>
          <w:b/>
          <w:color w:val="000000"/>
          <w:sz w:val="24"/>
        </w:rPr>
        <w:t>Buy-In Payment Amount</w:t>
      </w:r>
      <w:r>
        <w:rPr>
          <w:color w:val="000000"/>
        </w:rPr>
        <w:t>”</w:t>
      </w:r>
      <w:r>
        <w:rPr>
          <w:rFonts w:ascii="Times New Roman" w:hAnsi="Times New Roman"/>
          <w:color w:val="000000"/>
          <w:sz w:val="24"/>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Cashless Exercise</w:t>
      </w:r>
      <w:r>
        <w:rPr>
          <w:rFonts w:ascii="Times New Roman" w:hAnsi="Times New Roman"/>
          <w:color w:val="000000"/>
          <w:sz w:val="24"/>
        </w:rPr>
        <w:t>. Notwithstanding anything contained herein to the contrary (other than Section 1(f) below), at any time after the six-month anniversary of the Issuance Date, if at the time of exercise hereof a registration statement is not effective (or the prospectus contained therein is not available for use) for the resale by the Holder (or issuance to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hAnsi="Times New Roman"/>
          <w:b/>
          <w:color w:val="000000"/>
          <w:sz w:val="24"/>
        </w:rPr>
        <w:t>Cashless Exercise</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Net Number = </w:t>
      </w:r>
      <w:r>
        <w:rPr>
          <w:rFonts w:ascii="Times New Roman" w:hAnsi="Times New Roman"/>
          <w:color w:val="000000"/>
          <w:sz w:val="24"/>
          <w:u w:val="single"/>
        </w:rPr>
        <w:t>(A x B) - (A x C)</w:t>
        <w:br/>
      </w: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the foregoing formula: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total number of shares with respect to which this Warrant is then being exercised.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 as elected by the Holder: (i) the VWAP of the shares of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600(b)(88) of Regulation NMS promulgated under the federal securities laws) on such Trading Day, (ii) 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 the Exercise Price then in effect for the applicable Warrant Shares at the time of such exercise.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Issuance Date, it is intended that the Warrant Shares issued in a Cashless Exercise shall be deemed to have been acquired by the Holder, and the holding period for the Warrant Shares shall be deemed to have commenced, on the date this Warrant was originally issued pursuant to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Disputes</w:t>
      </w:r>
      <w:r>
        <w:rPr>
          <w:rFonts w:ascii="Times New Roman" w:hAnsi="Times New Roman"/>
          <w:color w:val="000000"/>
          <w:sz w:val="24"/>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Limitations on Exercises</w:t>
      </w:r>
      <w:r>
        <w:rPr>
          <w:rFonts w:ascii="Times New Roman" w:hAnsi="Times New Roman"/>
          <w:color w:val="000000"/>
          <w:sz w:val="24"/>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hAnsi="Times New Roman"/>
          <w:b/>
          <w:color w:val="000000"/>
          <w:sz w:val="24"/>
        </w:rPr>
        <w:t>Maximum Percentage</w:t>
      </w:r>
      <w:r>
        <w:rPr>
          <w:color w:val="000000"/>
        </w:rPr>
        <w:t>”</w:t>
      </w:r>
      <w:r>
        <w:rPr>
          <w:rFonts w:ascii="Times New Roman" w:hAnsi="Times New Roman"/>
          <w:color w:val="000000"/>
          <w:sz w:val="24"/>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hAnsi="Times New Roman"/>
          <w:b/>
          <w:color w:val="000000"/>
          <w:sz w:val="24"/>
        </w:rPr>
        <w:t>Reported Outstanding Share Number</w:t>
      </w:r>
      <w:r>
        <w:rPr>
          <w:color w:val="000000"/>
        </w:rPr>
        <w:t>”</w:t>
      </w:r>
      <w:r>
        <w:rPr>
          <w:rFonts w:ascii="Times New Roman" w:hAnsi="Times New Roman"/>
          <w:color w:val="000000"/>
          <w:sz w:val="24"/>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acquired pursuant to such Exercise Notice (the number of shares by which such purchase is reduced, the “</w:t>
      </w:r>
      <w:r>
        <w:rPr>
          <w:rFonts w:ascii="Times New Roman" w:hAnsi="Times New Roman"/>
          <w:b/>
          <w:color w:val="000000"/>
          <w:sz w:val="24"/>
        </w:rPr>
        <w:t>Reduction Shares</w:t>
      </w:r>
      <w:r>
        <w:rPr>
          <w:color w:val="000000"/>
        </w:rPr>
        <w:t>”</w:t>
      </w:r>
      <w:r>
        <w:rPr>
          <w:rFonts w:ascii="Times New Roman" w:hAnsi="Times New Roman"/>
          <w:color w:val="000000"/>
          <w:sz w:val="24"/>
        </w:rPr>
        <w:t xml:space="preserve">) and (ii) as soon as reasonably practicable, the Company shall return to the Holder any exercise price paid by the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hAnsi="Times New Roman"/>
          <w:b/>
          <w:color w:val="000000"/>
          <w:sz w:val="24"/>
        </w:rPr>
        <w:t>Excess Shares</w:t>
      </w:r>
      <w:r>
        <w:rPr>
          <w:color w:val="000000"/>
        </w:rPr>
        <w:t>”</w:t>
      </w:r>
      <w:r>
        <w:rPr>
          <w:rFonts w:ascii="Times New Roman" w:hAnsi="Times New Roman"/>
          <w:color w:val="000000"/>
          <w:sz w:val="24"/>
        </w:rPr>
        <w:t xml:space="preserve">) shall be deemed null and void and shall be cancelled </w:t>
      </w:r>
      <w:r>
        <w:rPr>
          <w:rFonts w:ascii="Times New Roman" w:hAnsi="Times New Roman"/>
          <w:i/>
          <w:color w:val="000000"/>
          <w:sz w:val="24"/>
        </w:rPr>
        <w:t>ab initio</w:t>
      </w:r>
      <w:r>
        <w:rPr>
          <w:rFonts w:ascii="Times New Roman" w:hAnsi="Times New Roman"/>
          <w:color w:val="000000"/>
          <w:sz w:val="24"/>
        </w:rPr>
        <w:t>,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Times New Roman" w:hAnsi="Times New Roman"/>
          <w:color w:val="000000"/>
          <w:sz w:val="16"/>
        </w:rPr>
        <w:t>st</w:t>
      </w:r>
      <w:r>
        <w:rPr>
          <w:rFonts w:ascii="Times New Roman" w:hAnsi="Times New Roman"/>
          <w:color w:val="000000"/>
          <w:sz w:val="24"/>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 w:hAnsi="Times New Roman"/>
          <w:color w:val="000000"/>
          <w:sz w:val="16"/>
        </w:rPr>
        <w:t>st</w:t>
      </w:r>
      <w:r>
        <w:rPr>
          <w:rFonts w:ascii="Times New Roman" w:hAnsi="Times New Roman"/>
          <w:color w:val="000000"/>
          <w:sz w:val="24"/>
        </w:rPr>
        <w:t>) day after such notice is delivered to the Company and (ii) any such increase or decrease will apply only to the Holder and the other Attribution Parties.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modified or amended and shall apply to a successor holder of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Reservation of Shares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Required Reserve Amount</w:t>
      </w:r>
      <w:r>
        <w:rPr>
          <w:rFonts w:ascii="Times New Roman" w:hAnsi="Times New Roman"/>
          <w:color w:val="000000"/>
          <w:sz w:val="24"/>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this Warrant (without regard to any limitations on exercise) (the “</w:t>
      </w:r>
      <w:r>
        <w:rPr>
          <w:rFonts w:ascii="Times New Roman" w:hAnsi="Times New Roman"/>
          <w:b/>
          <w:color w:val="000000"/>
          <w:sz w:val="24"/>
        </w:rPr>
        <w:t>Required Reserve Amount</w:t>
      </w:r>
      <w:r>
        <w:rPr>
          <w:color w:val="000000"/>
        </w:rPr>
        <w:t>”</w:t>
      </w:r>
      <w:r>
        <w:rPr>
          <w:rFonts w:ascii="Times New Roman" w:hAnsi="Times New Roman"/>
          <w:color w:val="000000"/>
          <w:sz w:val="24"/>
        </w:rPr>
        <w:t xml:space="preserve">); provided that at no time shall the number of shares of Common Stock reserved pursuant to this Section 1(g)(i) be reduced other than in connection with any exercise or redemption of the Warrant or such other event covered by Section 2(a) below. In the event that the Holder shall sell or otherwise transfer any portion of the Warrant, each transferee shall be allocated a pro rata portion of the Required Reserve Amount. Any shares of Common Stock reserved and allocated to any Person which ceases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hold a portion of the Warrant shall be allocated to the remaining holders, pro rata based on the number of shares of Common Stock issuable upon exercise of such portion of the Warrant then held by such holders (without regard to any limitations on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Insufficient Authorized Shares</w:t>
      </w:r>
      <w:r>
        <w:rPr>
          <w:rFonts w:ascii="Times New Roman" w:hAnsi="Times New Roman"/>
          <w:color w:val="000000"/>
          <w:sz w:val="24"/>
        </w:rPr>
        <w:t>. If, notwithstanding Section 1(g)(i) above, and not in limitation thereof, at any time while the Warrant remains outstanding, the Company does not have a sufficient number of authorized and unreserved shares of Common Stock to satisfy its obligation to reserve the Required Reserve Amount (an “</w:t>
      </w:r>
      <w:r>
        <w:rPr>
          <w:rFonts w:ascii="Times New Roman" w:hAnsi="Times New Roman"/>
          <w:b/>
          <w:color w:val="000000"/>
          <w:sz w:val="24"/>
        </w:rPr>
        <w:t>Authorized Share Failure</w:t>
      </w:r>
      <w:r>
        <w:rPr>
          <w:color w:val="000000"/>
        </w:rPr>
        <w:t>”</w:t>
      </w:r>
      <w:r>
        <w:rPr>
          <w:rFonts w:ascii="Times New Roman" w:hAnsi="Times New Roman"/>
          <w:color w:val="000000"/>
          <w:sz w:val="24"/>
        </w:rPr>
        <w:t>), then the Company shall promptly take all action reasonably necessary to increase the Company’s authorized shares of Common Stock to an amount sufficient to allow the Company to reserve the Required Reserve Amount for the outstanding Warrant. Without limiting the generality of the foregoing sentence, as soon as practicable after the date of the occurrence of an Authorized Share Failure, but in no event later than sixty (60) days after the occurrence of such Authorized Share Failure, the Company shall file a preliminary proxy statement on Schedule 14A noticing a meeting of its stockholders to be held no later than the sixtieth (60</w:t>
      </w:r>
      <w:r>
        <w:rPr>
          <w:rFonts w:ascii="Times New Roman" w:hAnsi="Times New Roman"/>
          <w:color w:val="000000"/>
          <w:sz w:val="16"/>
        </w:rPr>
        <w:t>th</w:t>
      </w:r>
      <w:r>
        <w:rPr>
          <w:rFonts w:ascii="Times New Roman" w:hAnsi="Times New Roman"/>
          <w:color w:val="000000"/>
          <w:sz w:val="24"/>
        </w:rPr>
        <w:t>) calendar day after the filing of such proxy statement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hAnsi="Times New Roman"/>
          <w:b/>
          <w:color w:val="000000"/>
          <w:sz w:val="24"/>
        </w:rPr>
        <w:t>Authorization Failure Shares</w:t>
      </w:r>
      <w:r>
        <w:rPr>
          <w:color w:val="000000"/>
        </w:rPr>
        <w:t>”</w:t>
      </w:r>
      <w:r>
        <w:rPr>
          <w:rFonts w:ascii="Times New Roman" w:hAnsi="Times New Roman"/>
          <w:color w:val="000000"/>
          <w:sz w:val="24"/>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Fractional Shares</w:t>
      </w:r>
      <w:r>
        <w:rPr>
          <w:rFonts w:ascii="Times New Roman" w:hAnsi="Times New Roman"/>
          <w:color w:val="000000"/>
          <w:sz w:val="24"/>
        </w:rPr>
        <w:t xml:space="preserve">. The Company shall not be required to issue a fractional Warrant Share upon exercise of any Warrant. As to any fraction of a Warrant Share that the Holder would otherwise be entitled to purchase upon such exercise or otherwise, the Company shall pay to such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Holder an amount in cash (by delivery of a certified or official bank check or by wire transfer of immediately available funds) equal to the product of (i) such fraction multiplied by (ii) the Market Price of one Warrant Share on the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aps/>
          <w:color w:val="000000"/>
          <w:sz w:val="22"/>
          <w:u w:val="single"/>
        </w:rPr>
        <w:t>ADJUSTMENT OF EXERCISE PRICE AND NUMBER OF WARRANT SHARES</w:t>
      </w:r>
      <w:r>
        <w:rPr>
          <w:rFonts w:ascii="Times New Roman" w:hAnsi="Times New Roman"/>
          <w:color w:val="000000"/>
          <w:sz w:val="22"/>
        </w:rPr>
        <w:t xml:space="preserve">. </w:t>
      </w:r>
      <w:r>
        <w:rPr>
          <w:rFonts w:ascii="Times New Roman" w:hAnsi="Times New Roman"/>
          <w:color w:val="000000"/>
          <w:sz w:val="24"/>
        </w:rPr>
        <w:t>The Exercise Price and number of Warrant Shares issuable upon exercise of this Warrant are subject to adjustment from time to time as set forth in this Section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Stock Dividends and Splits</w:t>
      </w:r>
      <w:r>
        <w:rPr>
          <w:rFonts w:ascii="Times New Roman" w:hAnsi="Times New Roman"/>
          <w:color w:val="000000"/>
          <w:sz w:val="24"/>
        </w:rPr>
        <w:t>. Without limiting any provision of Section 3 or Section 4, if the Company, at any time on or after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Adjustment Upon Issuance of Shares of Common Stock</w:t>
      </w:r>
      <w:r>
        <w:rPr>
          <w:rFonts w:ascii="Times New Roman" w:hAnsi="Times New Roman"/>
          <w:color w:val="000000"/>
          <w:sz w:val="24"/>
        </w:rPr>
        <w:t>. If and whenever on or after the Issuance Date, the Company grants, issues or sells (or enters into any agreement to grant, issue or sell), or in accordance with this Section 2 is deemed to have granted, issued or sold, any shares of Common Stock (including the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hAnsi="Times New Roman"/>
          <w:b/>
          <w:color w:val="000000"/>
          <w:sz w:val="24"/>
        </w:rPr>
        <w:t>New Issuance Price</w:t>
      </w:r>
      <w:r>
        <w:rPr>
          <w:color w:val="000000"/>
        </w:rPr>
        <w:t>”</w:t>
      </w:r>
      <w:r>
        <w:rPr>
          <w:rFonts w:ascii="Times New Roman" w:hAnsi="Times New Roman"/>
          <w:color w:val="000000"/>
          <w:sz w:val="24"/>
        </w:rPr>
        <w:t>) less than a price equal to the Exercise Price in effect immediately prior to such granting, issuance or sale or deemed granting, issuance or sale (such Exercise Price then in effect is referred to herein as the “</w:t>
      </w:r>
      <w:r>
        <w:rPr>
          <w:rFonts w:ascii="Times New Roman" w:hAnsi="Times New Roman"/>
          <w:b/>
          <w:color w:val="000000"/>
          <w:sz w:val="24"/>
        </w:rPr>
        <w:t>Applicable Price</w:t>
      </w:r>
      <w:r>
        <w:rPr>
          <w:color w:val="000000"/>
        </w:rPr>
        <w:t>”</w:t>
      </w:r>
      <w:r>
        <w:rPr>
          <w:rFonts w:ascii="Times New Roman" w:hAnsi="Times New Roman"/>
          <w:color w:val="000000"/>
          <w:sz w:val="24"/>
        </w:rPr>
        <w:t>) (the foregoing a “</w:t>
      </w:r>
      <w:r>
        <w:rPr>
          <w:rFonts w:ascii="Times New Roman" w:hAnsi="Times New Roman"/>
          <w:b/>
          <w:color w:val="000000"/>
          <w:sz w:val="24"/>
        </w:rPr>
        <w:t>Dilutive Issuance</w:t>
      </w:r>
      <w:r>
        <w:rPr>
          <w:color w:val="000000"/>
        </w:rPr>
        <w:t>”</w:t>
      </w:r>
      <w:r>
        <w:rPr>
          <w:rFonts w:ascii="Times New Roman" w:hAnsi="Times New Roman"/>
          <w:color w:val="000000"/>
          <w:sz w:val="24"/>
        </w:rPr>
        <w:t>), then immediately after such Dilutive Issuance, the Exercise Price then in effect shall be reduced to an amount equal to the greater of (x) the Floor Price and (y) the New Issuance Price. For all purposes of the foregoing (including, without limitation, determining the adjusted Exercise Price and the New Issuance Price under this Section 2(b)), the following shall be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Issuance of Options</w:t>
      </w:r>
      <w:r>
        <w:rPr>
          <w:rFonts w:ascii="Times New Roman" w:hAnsi="Times New Roman"/>
          <w:color w:val="000000"/>
          <w:sz w:val="24"/>
        </w:rPr>
        <w:t xml:space="preserve">.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Issuance of Convertible Securities</w:t>
      </w:r>
      <w:r>
        <w:rPr>
          <w:rFonts w:ascii="Times New Roman" w:hAnsi="Times New Roman"/>
          <w:color w:val="000000"/>
          <w:sz w:val="24"/>
        </w:rPr>
        <w:t xml:space="preserve">.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Change in Option Price or Rate of Conversion</w:t>
      </w:r>
      <w:r>
        <w:rPr>
          <w:rFonts w:ascii="Times New Roman" w:hAnsi="Times New Roman"/>
          <w:color w:val="000000"/>
          <w:sz w:val="24"/>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2(a)),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(including, without limitation,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Calculation of Consideration Received</w:t>
      </w:r>
      <w:r>
        <w:rPr>
          <w:rFonts w:ascii="Times New Roman" w:hAnsi="Times New Roman"/>
          <w:color w:val="000000"/>
          <w:sz w:val="24"/>
        </w:rPr>
        <w:t>. If any Option and/or Convertible Security is issued in connection with the issuance or sale or deemed issuance or sale of any other securities of the Company (as determined by the Holder, the “</w:t>
      </w:r>
      <w:r>
        <w:rPr>
          <w:rFonts w:ascii="Times New Roman" w:hAnsi="Times New Roman"/>
          <w:b/>
          <w:color w:val="000000"/>
          <w:sz w:val="24"/>
        </w:rPr>
        <w:t>Primary Security</w:t>
      </w:r>
      <w:r>
        <w:rPr>
          <w:color w:val="000000"/>
        </w:rPr>
        <w:t>”</w:t>
      </w:r>
      <w:r>
        <w:rPr>
          <w:rFonts w:ascii="Times New Roman" w:hAnsi="Times New Roman"/>
          <w:color w:val="000000"/>
          <w:sz w:val="24"/>
        </w:rPr>
        <w:t>, and such Option and/or Convertible Security, the “</w:t>
      </w:r>
      <w:r>
        <w:rPr>
          <w:rFonts w:ascii="Times New Roman" w:hAnsi="Times New Roman"/>
          <w:b/>
          <w:color w:val="000000"/>
          <w:sz w:val="24"/>
        </w:rPr>
        <w:t>Secondary Securities</w:t>
      </w:r>
      <w:r>
        <w:rPr>
          <w:color w:val="000000"/>
        </w:rPr>
        <w:t>”</w:t>
      </w:r>
      <w:r>
        <w:rPr>
          <w:rFonts w:ascii="Times New Roman" w:hAnsi="Times New Roman"/>
          <w:color w:val="000000"/>
          <w:sz w:val="24"/>
        </w:rPr>
        <w:t xml:space="preserve">),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2(b)(i) or 2(b)(ii) above, as applicable) in such integrated transaction solely with respect to such Primary Security, minus (y) with respect to such Secondary Securities, the sum of (I) the Black Scholes Consideration Value of each such Option, if any, and (II) the fair market value (as determined by the Holder) of such Convertible Security, if any, in each case, as determined on a per share basis in accordance with this Section 2(b)(iv). If any shares of Common Stock, Options or Convertible Securities are issued or sold or deemed to have been issued or sold for cash, the consideration received therefor (for the purpose of determining the consideration paid for such Common Stock, Option or Convertible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hAnsi="Times New Roman"/>
          <w:b/>
          <w:color w:val="000000"/>
          <w:sz w:val="24"/>
        </w:rPr>
        <w:t>Valuation Event</w:t>
      </w:r>
      <w:r>
        <w:rPr>
          <w:color w:val="000000"/>
        </w:rPr>
        <w:t>”</w:t>
      </w:r>
      <w:r>
        <w:rPr>
          <w:rFonts w:ascii="Times New Roman" w:hAnsi="Times New Roman"/>
          <w:color w:val="000000"/>
          <w:sz w:val="24"/>
        </w:rPr>
        <w: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Record Date</w:t>
      </w:r>
      <w:r>
        <w:rPr>
          <w:rFonts w:ascii="Times New Roman" w:hAnsi="Times New Roman"/>
          <w:color w:val="000000"/>
          <w:sz w:val="24"/>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Number of Warrant Shares</w:t>
      </w:r>
      <w:r>
        <w:rPr>
          <w:rFonts w:ascii="Times New Roman" w:hAnsi="Times New Roman"/>
          <w:color w:val="000000"/>
          <w:sz w:val="24"/>
        </w:rPr>
        <w:t>. Simultaneously with any adjustment to the Exercise Price pursuant to Section 2(a) above,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Calculations</w:t>
      </w:r>
      <w:r>
        <w:rPr>
          <w:rFonts w:ascii="Times New Roman" w:hAnsi="Times New Roman"/>
          <w:color w:val="000000"/>
          <w:sz w:val="24"/>
        </w:rPr>
        <w:t>. All calculations under this Section 2 shall be made by rounding to the nearest cent or the nearest 1/100</w:t>
      </w:r>
      <w:r>
        <w:rPr>
          <w:rFonts w:ascii="Times New Roman" w:hAnsi="Times New Roman"/>
          <w:color w:val="000000"/>
          <w:sz w:val="16"/>
        </w:rPr>
        <w:t>th</w:t>
      </w:r>
      <w:r>
        <w:rPr>
          <w:color w:val="000000"/>
        </w:rPr>
        <w:t xml:space="preserve"> </w:t>
      </w:r>
      <w:r>
        <w:rPr>
          <w:rFonts w:ascii="Times New Roman" w:hAnsi="Times New Roman"/>
          <w:color w:val="000000"/>
          <w:sz w:val="24"/>
        </w:rPr>
        <w:t>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Voluntary Adjustment By Company</w:t>
      </w:r>
      <w:r>
        <w:rPr>
          <w:rFonts w:ascii="Times New Roman" w:hAnsi="Times New Roman"/>
          <w:color w:val="000000"/>
          <w:sz w:val="24"/>
        </w:rPr>
        <w:t xml:space="preserve">. Subject to the rules and regulations of the Principal Market, the Company may at any time during the term of this Warrant, with the prior written consent of the Holder, reduce the then current Exercise Price to any amount and for any period of time deemed appropriate by the board of directors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aps/>
          <w:color w:val="000000"/>
          <w:sz w:val="24"/>
          <w:u w:val="single"/>
        </w:rPr>
        <w:t>RIGHTS UPON DISTRIBUTION OF ASSETS</w:t>
      </w:r>
      <w:r>
        <w:rPr>
          <w:rFonts w:ascii="Times New Roman" w:hAnsi="Times New Roman"/>
          <w:color w:val="000000"/>
          <w:sz w:val="24"/>
        </w:rPr>
        <w:t>. In addition to any adjustments pursuant to Section 2 above or Section 4(a)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hAnsi="Times New Roman"/>
          <w:b/>
          <w:color w:val="000000"/>
          <w:sz w:val="24"/>
        </w:rPr>
        <w:t>Distribution</w:t>
      </w:r>
      <w:r>
        <w:rPr>
          <w:color w:val="000000"/>
        </w:rPr>
        <w:t>”</w:t>
      </w:r>
      <w:r>
        <w:rPr>
          <w:rFonts w:ascii="Times New Roman" w:hAnsi="Times New Roman"/>
          <w:color w:val="000000"/>
          <w:sz w:val="24"/>
        </w:rPr>
        <w:t>), at any time after the issuance of this Warrant, then, in each such case, the Holder shall, upon each exercise of this Warrant be entitled to participate in such Distribution to the same extent that the Holder would have participated therein if the Holder had held the number of shares of Common Stock the Holder acquired upon each such exercise of this Warrant (or, if elected in writing by the Company, the Holder shall be entitled to such Distributions which the Holder could have acquired if the Holder had held the number of shares of Common Stock acquirable upon complete such exercise of this Warrant without taking into account any limitations or restrictions on the exercisability of this Warrant and assuming for such purpose that this Warrant was exercised at the Exercise Price as of the applicable record date)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in excess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PURCHASE RIGHTS; FUNDAMENTAL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Purchase Rights</w:t>
      </w:r>
      <w:r>
        <w:rPr>
          <w:rFonts w:ascii="Times New Roman" w:hAnsi="Times New Roman"/>
          <w:color w:val="000000"/>
          <w:sz w:val="24"/>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hAnsi="Times New Roman"/>
          <w:b/>
          <w:color w:val="000000"/>
          <w:sz w:val="24"/>
        </w:rPr>
        <w:t>Purchase Rights</w:t>
      </w:r>
      <w:r>
        <w:rPr>
          <w:color w:val="000000"/>
        </w:rPr>
        <w:t>”</w:t>
      </w:r>
      <w:r>
        <w:rPr>
          <w:rFonts w:ascii="Times New Roman" w:hAnsi="Times New Roman"/>
          <w:color w:val="000000"/>
          <w:sz w:val="24"/>
        </w:rPr>
        <w:t xml:space="preserve">), then, upon each exercise of the Warrant, the Holder will be entitled to acquire, upon the terms applicable to such Purchase Rights, the aggregate Purchase Rights which the Holder could have acquired if the Holder had held the number of shares of Common Stock the Holder acquired upon each such exercise of this Warrant (or, if elected in writing by the Company, the Holder shall be entitled to acquire, upon the terms applicable to such Purchase Rights, the aggregate Purchase Rights which the Holder could have acquired if the Holder had held the number of Warrant Shares acquirable upon a complete exercise of this Warrant without taking into account any limitations or restrictions on the exercisability of this Warrant and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assuming for such purpose that this Warrant was converted at the Exercise Price as of the applicable record date)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Fundamental Transactions</w:t>
      </w:r>
      <w:r>
        <w:rPr>
          <w:rFonts w:ascii="Times New Roman" w:hAnsi="Times New Roman"/>
          <w:color w:val="000000"/>
          <w:sz w:val="24"/>
        </w:rPr>
        <w:t xml:space="preserve">. The Company shall not enter into or be party to a Fundamental Transaction unless the Successor Entity assumes in writing all of the obligations of the Company under this Warrant and the other Transaction Documents (as defined in the Warrant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expressly assume in writing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hAnsi="Times New Roman"/>
          <w:b/>
          <w:color w:val="000000"/>
          <w:sz w:val="24"/>
        </w:rPr>
        <w:t>Corporate Event</w:t>
      </w:r>
      <w:r>
        <w:rPr>
          <w:color w:val="000000"/>
        </w:rPr>
        <w:t>”</w:t>
      </w:r>
      <w:r>
        <w:rPr>
          <w:rFonts w:ascii="Times New Roman" w:hAnsi="Times New Roman"/>
          <w:color w:val="000000"/>
          <w:sz w:val="24"/>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Black Scholes Value</w:t>
      </w:r>
      <w:r>
        <w:rPr>
          <w:rFonts w:ascii="Times New Roman" w:hAnsi="Times New Roman"/>
          <w:color w:val="000000"/>
          <w:sz w:val="24"/>
        </w:rPr>
        <w:t>. Notwithstanding the foregoing and the provisions of Section 4(b) above, at the request of the Holder delivered at any time commencing on the earliest to occur of (x) the public disclosure of any Change of Control (as defined in the Notes), (y) the consummation of any Change of Control and (z)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w:t>
      </w:r>
      <w:r>
        <w:rPr>
          <w:rFonts w:ascii="Times New Roman" w:hAnsi="Times New Roman"/>
          <w:color w:val="000000"/>
          <w:sz w:val="16"/>
        </w:rPr>
        <w:t>nd</w:t>
      </w:r>
      <w:r>
        <w:rPr>
          <w:rFonts w:ascii="Times New Roman" w:hAnsi="Times New Roman"/>
          <w:color w:val="000000"/>
          <w:sz w:val="24"/>
        </w:rPr>
        <w:t>) Trading Day after the date of such request and (y) the date of consummation of such Change of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Application</w:t>
      </w:r>
      <w:r>
        <w:rPr>
          <w:rFonts w:ascii="Times New Roman" w:hAnsi="Times New Roman"/>
          <w:color w:val="000000"/>
          <w:sz w:val="24"/>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aps/>
          <w:color w:val="000000"/>
          <w:sz w:val="24"/>
          <w:u w:val="single"/>
        </w:rPr>
        <w:t>NONCIRCUMVENTION</w:t>
      </w:r>
      <w:r>
        <w:rPr>
          <w:rFonts w:ascii="Times New Roman" w:hAnsi="Times New Roman"/>
          <w:color w:val="000000"/>
          <w:sz w:val="24"/>
        </w:rPr>
        <w:t xml:space="preserve">. The Company hereby covenants and agrees that the Company will not, by amendment of its Certificate of Incorporation (as defined in the Warrant Agreement), Bylaws (as defined in the Warrant Agreement) or through any reorganization, transfer of assets, consolidation, merger, scheme of arrangement, dissolution, issuance or sale of securities, or any other voluntary action, avoid or seek to avoid the observance or performance of any of the terms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aps/>
          <w:color w:val="000000"/>
          <w:sz w:val="24"/>
          <w:u w:val="single"/>
        </w:rPr>
        <w:t>WARRANT HOLDER NOT DEEMED A STOCKHOLDER</w:t>
      </w:r>
      <w:r>
        <w:rPr>
          <w:rFonts w:ascii="Times New Roman" w:hAnsi="Times New Roman"/>
          <w:color w:val="000000"/>
          <w:sz w:val="24"/>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however, that the Company shall not be obligated to provide such notice or information if it is filed with the SEC through EDGAR and available to the public through the EDGAR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aps/>
          <w:color w:val="000000"/>
          <w:sz w:val="24"/>
          <w:u w:val="single"/>
        </w:rPr>
      </w:pPr>
      <w:r>
        <w:rPr>
          <w:rFonts w:ascii="Times New Roman" w:hAnsi="Times New Roman"/>
          <w:caps/>
          <w:color w:val="000000"/>
          <w:sz w:val="24"/>
          <w:u w:val="single"/>
        </w:rPr>
        <w:t>REISSUANCE OF WARRANTS.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 of Warrant</w:t>
      </w:r>
      <w:r>
        <w:rPr>
          <w:rFonts w:ascii="Times New Roman" w:hAnsi="Times New Roman"/>
          <w:color w:val="000000"/>
          <w:sz w:val="24"/>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The Company shall not be obligated to pay any income tax of the Holder which may be payable with respect to any transfer (or deemed transfer) arising in connection with the registration of any certificates for Warrant Shares or Warrants in the name of any Person other than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Lost, Stolen or Mutilated Warrant</w:t>
      </w:r>
      <w:r>
        <w:rPr>
          <w:rFonts w:ascii="Times New Roman" w:hAnsi="Times New Roman"/>
          <w:color w:val="000000"/>
          <w:sz w:val="24"/>
        </w:rPr>
        <w:t xml:space="preserve">. Upon receipt by the Company of evidence reasonably satisfactory to the Company of the loss, theft, destruction or mutilation of this Warrant (as to which a written certification and the indemnification contemplated below shall suffice as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Exchangeable for Multiple Warrants</w:t>
      </w:r>
      <w:r>
        <w:rPr>
          <w:rFonts w:ascii="Times New Roman" w:hAnsi="Times New Roman"/>
          <w:color w:val="000000"/>
          <w:sz w:val="24"/>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Issuance of New Warrants</w:t>
      </w:r>
      <w:r>
        <w:rPr>
          <w:rFonts w:ascii="Times New Roman" w:hAnsi="Times New Roman"/>
          <w:color w:val="000000"/>
          <w:sz w:val="24"/>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terms, rights and conditions as this Warrant.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aps/>
          <w:color w:val="000000"/>
          <w:sz w:val="24"/>
          <w:u w:val="single"/>
        </w:rPr>
        <w:t>NOTICES</w:t>
      </w:r>
      <w:r>
        <w:rPr>
          <w:rFonts w:ascii="Times New Roman" w:hAnsi="Times New Roman"/>
          <w:color w:val="000000"/>
          <w:sz w:val="24"/>
        </w:rPr>
        <w:t xml:space="preserve">. Whenever notice is required to be given under this Warrant, unless otherwise provided herein, such notice shall be given in accordance with Section 9(f) of the Warrant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ten (10)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(other than Excluded Securities)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setting forth in reasonable detail any material events with respect to such Fundamental Transaction (unless, solely with respect to the Designated Transactions (as defined in the Notes), such reasonable detail is otherwise previously disclosed in the SEC Documents (as defined in the Warrant Agreement)). To the extent that any notice provided hereunder constitutes, or contains, material, non-public information regarding the Company or any of its Subsidiaries, the Company shall simultaneously file such notice with the SEC (as defined in the Warrant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aps/>
          <w:color w:val="000000"/>
          <w:sz w:val="24"/>
          <w:u w:val="single"/>
        </w:rPr>
        <w:t>DISCLOSURE</w:t>
      </w:r>
      <w:r>
        <w:rPr>
          <w:rFonts w:ascii="Times New Roman" w:hAnsi="Times New Roman"/>
          <w:color w:val="000000"/>
          <w:sz w:val="24"/>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ABSENCE OF TRADING AND DISCLOSURE RESTRICTIONS</w:t>
      </w:r>
      <w:r>
        <w:rPr>
          <w:rFonts w:ascii="Times New Roman" w:hAnsi="Times New Roman"/>
          <w:color w:val="000000"/>
          <w:sz w:val="24"/>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aps/>
          <w:color w:val="000000"/>
          <w:sz w:val="24"/>
          <w:u w:val="single"/>
        </w:rPr>
        <w:t>AMENDMENT AND WAIVER</w:t>
      </w:r>
      <w:r>
        <w:rPr>
          <w:rFonts w:ascii="Times New Roman" w:hAnsi="Times New Roman"/>
          <w:color w:val="000000"/>
          <w:sz w:val="24"/>
        </w:rPr>
        <w:t>. Except as otherwise provided herein, the provisions of this Warrant (other than Section 1(f) and this Section 11, which may not be amended, modified or waived)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aps/>
          <w:color w:val="000000"/>
          <w:sz w:val="24"/>
          <w:u w:val="single"/>
        </w:rPr>
        <w:t>SEVERABILITY</w:t>
      </w:r>
      <w:r>
        <w:rPr>
          <w:rFonts w:ascii="Times New Roman" w:hAnsi="Times New Roman"/>
          <w:color w:val="000000"/>
          <w:sz w:val="24"/>
        </w:rPr>
        <w:t xml:space="preserve">. If any provision of this Warrant is prohibited by law or otherwise determined to be invalid or unenforceable by a court of competent jurisdiction, the provision that would otherwise be prohibited, invalid or unenforceable shall be deemed amended to apply to the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aps/>
          <w:color w:val="000000"/>
          <w:sz w:val="24"/>
          <w:u w:val="single"/>
        </w:rPr>
        <w:t>GOVERNING LAW</w:t>
      </w:r>
      <w:r>
        <w:rPr>
          <w:rFonts w:ascii="Times New Roman" w:hAnsi="Times New Roman"/>
          <w:color w:val="000000"/>
          <w:sz w:val="24"/>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3(f) of the Warrant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hAnsi="Times New Roman"/>
          <w:b/>
          <w:color w:val="000000"/>
          <w:sz w:val="24"/>
        </w:rPr>
        <w:t>EACH PARTY HERETO HEREBY IRREVOCABLY WAIVES ANY RIGHT IT MAY HAVE TO, AND AGREES NOT TO REQUEST, A JURY TRIAL FOR THE ADJUDICATION OF ANY DISPUTE HEREUNDER OR IN CONNECTION WITH OR ARISING OUT OF THIS WARRANT OR ANY TRANSACTION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aps/>
          <w:color w:val="000000"/>
          <w:sz w:val="24"/>
          <w:u w:val="single"/>
        </w:rPr>
        <w:t>CONSTRUCTION; HEADINGS</w:t>
      </w:r>
      <w:r>
        <w:rPr>
          <w:rFonts w:ascii="Times New Roman" w:hAnsi="Times New Roman"/>
          <w:color w:val="000000"/>
          <w:sz w:val="24"/>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Warrant Agreement) in such other Transaction Documents unless otherwise consented to in writing by the 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aps/>
          <w:color w:val="000000"/>
          <w:sz w:val="24"/>
          <w:u w:val="single"/>
        </w:rPr>
        <w:t>DISPUTE RESOLUTION</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Submission to Dispute Resolution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 dispute relating to the Exercise Price, the Closing Sale Price, the Bid Price, Black Scholes Consideration Value,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Consideration Value,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select an independent, reputable investment bank to resolve such dispute, provided such investment bank is reasonably acceptable to the Company (such approval not to be unreasonably withheld, conditioned or delayed).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and notified the Company of such selection and provided the Company with necessary contact information for such investment bank (the “</w:t>
      </w:r>
      <w:r>
        <w:rPr>
          <w:rFonts w:ascii="Times New Roman" w:hAnsi="Times New Roman"/>
          <w:b/>
          <w:color w:val="000000"/>
          <w:sz w:val="24"/>
        </w:rPr>
        <w:t>Dispute</w:t>
      </w:r>
      <w:r>
        <w:rPr>
          <w:color w:val="000000"/>
        </w:rPr>
        <w:t xml:space="preserve"> </w:t>
      </w:r>
      <w:r>
        <w:rPr>
          <w:rFonts w:ascii="Times New Roman" w:hAnsi="Times New Roman"/>
          <w:b/>
          <w:color w:val="000000"/>
          <w:sz w:val="24"/>
        </w:rPr>
        <w:t>Submission Deadline</w:t>
      </w:r>
      <w:r>
        <w:rPr>
          <w:color w:val="000000"/>
        </w:rPr>
        <w:t>”</w:t>
      </w:r>
      <w:r>
        <w:rPr>
          <w:rFonts w:ascii="Times New Roman" w:hAnsi="Times New Roman"/>
          <w:color w:val="000000"/>
          <w:sz w:val="24"/>
        </w:rPr>
        <w:t>) (the documents referred to in the immediately preceding clauses (A) and (B) are collectively referred to herein as the “</w:t>
      </w:r>
      <w:r>
        <w:rPr>
          <w:rFonts w:ascii="Times New Roman" w:hAnsi="Times New Roman"/>
          <w:b/>
          <w:color w:val="000000"/>
          <w:sz w:val="24"/>
        </w:rPr>
        <w:t>Required</w:t>
      </w:r>
      <w:r>
        <w:rPr>
          <w:color w:val="000000"/>
        </w:rPr>
        <w:t xml:space="preserve"> </w:t>
      </w:r>
      <w:r>
        <w:rPr>
          <w:rFonts w:ascii="Times New Roman" w:hAnsi="Times New Roman"/>
          <w:b/>
          <w:color w:val="000000"/>
          <w:sz w:val="24"/>
        </w:rPr>
        <w:t>Dispute Documentation</w:t>
      </w:r>
      <w:r>
        <w:rPr>
          <w:color w:val="000000"/>
        </w:rPr>
        <w:t>”</w:t>
      </w:r>
      <w:r>
        <w:rPr>
          <w:rFonts w:ascii="Times New Roman" w:hAnsi="Times New Roman"/>
          <w:color w:val="000000"/>
          <w:sz w:val="24"/>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Miscellaneous</w:t>
      </w:r>
      <w:r>
        <w:rPr>
          <w:rFonts w:ascii="Times New Roman" w:hAnsi="Times New Roman"/>
          <w:color w:val="000000"/>
          <w:sz w:val="24"/>
        </w:rPr>
        <w:t>. Each of the Company and the Holder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hAnsi="Times New Roman"/>
          <w:b/>
          <w:color w:val="000000"/>
          <w:sz w:val="24"/>
        </w:rPr>
        <w:t>CPLR</w:t>
      </w:r>
      <w:r>
        <w:rPr>
          <w:color w:val="000000"/>
        </w:rPr>
        <w:t>”</w:t>
      </w:r>
      <w:r>
        <w:rPr>
          <w:rFonts w:ascii="Times New Roman" w:hAnsi="Times New Roman"/>
          <w:color w:val="000000"/>
          <w:sz w:val="24"/>
        </w:rPr>
        <w:t>) and that each of the Holder and the Company is authorized to apply for an order to compel arbitration pursuant to CPLR § 7503(a) in order to compel compliance with this Section 15, (ii) a dispute relating to the Exercise Price includes, without limitation, disputes as to whether an agreement, instrument, security or the like constitutes and Option or Convertible Security ,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 whether an agreement, instrument, security or the like constitutes and Option or Convertible Security and in resolving such dispute such investment bank shall apply such findings, determinations and the like to the terms of this Warrant and any other applicable Transaction Documents, (iv) each of the Company and the Holder shall have the right to submit any dispute described in this Section 15 to any state or federal court sitting in The City of New York, Borough of Manhattan in lieu of utilizing the procedures set forth in this Section 15 and (v) nothing in this Section 15 shall limit the Holder from obtaining any injunctive relief or other equitable remedies (including, without limitation, with respect to any matters described in this Section 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aps/>
          <w:color w:val="000000"/>
          <w:sz w:val="24"/>
          <w:u w:val="single"/>
        </w:rPr>
        <w:t>REMEDIES, CHARACTERIZATION, OTHER OBLIGATIONS, BREACHES AND INJUNCTIVE RELIEF</w:t>
      </w:r>
      <w:r>
        <w:rPr>
          <w:rFonts w:ascii="Times New Roman" w:hAnsi="Times New Roman"/>
          <w:color w:val="000000"/>
          <w:sz w:val="24"/>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aps/>
          <w:color w:val="000000"/>
          <w:sz w:val="24"/>
          <w:u w:val="single"/>
        </w:rPr>
        <w:t>PAYMENT OF COLLECTION, ENFORCEMENT AND OTHER COSTS</w:t>
      </w:r>
      <w:r>
        <w:rPr>
          <w:rFonts w:ascii="Times New Roman" w:hAnsi="Times New Roman"/>
          <w:color w:val="000000"/>
          <w:sz w:val="24"/>
        </w:rPr>
        <w:t xml:space="preserve">.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aps/>
          <w:color w:val="000000"/>
          <w:sz w:val="24"/>
          <w:u w:val="single"/>
        </w:rPr>
        <w:t>TRANSFER</w:t>
      </w:r>
      <w:r>
        <w:rPr>
          <w:rFonts w:ascii="Times New Roman" w:hAnsi="Times New Roman"/>
          <w:color w:val="000000"/>
          <w:sz w:val="24"/>
        </w:rPr>
        <w:t>. This Warrant may be offered for sale, sold, transferred or assigned without the consent of the Company, except as may otherwise be required by the Warrant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aps/>
          <w:color w:val="000000"/>
          <w:sz w:val="24"/>
          <w:u w:val="single"/>
        </w:rPr>
        <w:t>CERTAIN DEFINITIONS</w:t>
      </w:r>
      <w:r>
        <w:rPr>
          <w:rFonts w:ascii="Times New Roman" w:hAnsi="Times New Roman"/>
          <w:color w:val="000000"/>
          <w:sz w:val="24"/>
        </w:rPr>
        <w:t>. For purposes of this Warrant, the following terms shall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color w:val="000000"/>
          <w:sz w:val="24"/>
        </w:rPr>
        <w:t>1933 Act</w:t>
      </w:r>
      <w:r>
        <w:rPr>
          <w:color w:val="000000"/>
        </w:rPr>
        <w:t xml:space="preserve">” </w:t>
      </w:r>
      <w:r>
        <w:rPr>
          <w:rFonts w:ascii="Times New Roman" w:hAnsi="Times New Roman"/>
          <w:color w:val="000000"/>
          <w:sz w:val="24"/>
        </w:rPr>
        <w:t>means the Securities Act of 1933, as amended, and the rules and regulations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color w:val="000000"/>
          <w:sz w:val="24"/>
        </w:rPr>
        <w:t>1934 Act</w:t>
      </w:r>
      <w:r>
        <w:rPr>
          <w:color w:val="000000"/>
        </w:rPr>
        <w:t xml:space="preserve">” </w:t>
      </w:r>
      <w:r>
        <w:rPr>
          <w:rFonts w:ascii="Times New Roman" w:hAnsi="Times New Roman"/>
          <w:color w:val="000000"/>
          <w:sz w:val="24"/>
        </w:rPr>
        <w:t>means the Securities Exchange Act of 1934, as amended, and the rules and regulations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color w:val="000000"/>
          <w:sz w:val="24"/>
        </w:rPr>
        <w:t>Approved Stock Plan</w:t>
      </w:r>
      <w:r>
        <w:rPr>
          <w:color w:val="000000"/>
        </w:rPr>
        <w:t xml:space="preserve">” </w:t>
      </w:r>
      <w:r>
        <w:rPr>
          <w:rFonts w:ascii="Times New Roman" w:hAnsi="Times New Roman"/>
          <w:color w:val="000000"/>
          <w:sz w:val="24"/>
        </w:rPr>
        <w:t>means any stock, equity or option plan or agreement which has been approved by the board of directors of the Company prior to or subsequent to the Issuance Date pursuant to which shares of Common Stock, restricted stock units, stock options to purchase Common Stock and other equity awards may be issued to any employee, officer, director or consultant for services provided to the Company in their capacity as such.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color w:val="000000"/>
          <w:sz w:val="24"/>
        </w:rPr>
        <w:t>Attribution Parties</w:t>
      </w:r>
      <w:r>
        <w:rPr>
          <w:color w:val="000000"/>
        </w:rPr>
        <w:t xml:space="preserve">” </w:t>
      </w:r>
      <w:r>
        <w:rPr>
          <w:rFonts w:ascii="Times New Roman" w:hAnsi="Times New Roman"/>
          <w:color w:val="000000"/>
          <w:sz w:val="24"/>
        </w:rPr>
        <w:t xml:space="preserve">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color w:val="000000"/>
          <w:sz w:val="24"/>
        </w:rPr>
        <w:t>Bid Price</w:t>
      </w:r>
      <w:r>
        <w:rPr>
          <w:color w:val="000000"/>
        </w:rPr>
        <w:t xml:space="preserve">” </w:t>
      </w:r>
      <w:r>
        <w:rPr>
          <w:rFonts w:ascii="Times New Roman" w:hAnsi="Times New Roman"/>
          <w:color w:val="000000"/>
          <w:sz w:val="24"/>
        </w:rPr>
        <w:t xml:space="preserve">means, for any security as of the particular time of determination, the bid price for such security on the Principal Market as reported by Bloomberg as of such time of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5" w:name="ole_link7"/>
      <w:bookmarkEnd w:id="5"/>
      <w:r>
        <w:rPr>
          <w:color w:val="000000"/>
        </w:rPr>
        <w:t>“</w:t>
      </w:r>
      <w:r>
        <w:rPr>
          <w:rFonts w:ascii="Times New Roman" w:hAnsi="Times New Roman"/>
          <w:b/>
          <w:color w:val="000000"/>
          <w:sz w:val="24"/>
        </w:rPr>
        <w:t>Black Scholes Consideration Value</w:t>
      </w:r>
      <w:r>
        <w:rPr>
          <w:color w:val="000000"/>
        </w:rPr>
        <w:t xml:space="preserve">” </w:t>
      </w:r>
      <w:r>
        <w:rPr>
          <w:rFonts w:ascii="Times New Roman" w:hAnsi="Times New Roman"/>
          <w:color w:val="000000"/>
          <w:sz w:val="24"/>
        </w:rPr>
        <w:t>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bookmarkStart w:id="6" w:name="ole_link9"/>
      <w:bookmarkStart w:id="7" w:name="ole_link10"/>
      <w:bookmarkEnd w:id="6"/>
      <w:bookmarkEnd w:id="7"/>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Black Scholes Value</w:t>
      </w:r>
      <w:r>
        <w:rPr>
          <w:color w:val="000000"/>
        </w:rPr>
        <w:t xml:space="preserve">” </w:t>
      </w:r>
      <w:r>
        <w:rPr>
          <w:rFonts w:ascii="Times New Roman" w:hAnsi="Times New Roman"/>
          <w:color w:val="000000"/>
          <w:sz w:val="24"/>
        </w:rPr>
        <w:t xml:space="preserve">means the value of the unexercised portion of this Warrant remaining on the date of the Holder’s request pursuant to Section 4(d),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Change of Control (or the consummation of the applicable Change of Control, if earlier) and ending on the Trading Day </w:t>
      </w:r>
      <w:bookmarkStart w:id="8" w:name="ole_link14"/>
      <w:bookmarkEnd w:id="8"/>
      <w:r>
        <w:rPr>
          <w:rFonts w:ascii="Times New Roman" w:hAnsi="Times New Roman"/>
          <w:color w:val="000000"/>
          <w:sz w:val="24"/>
        </w:rPr>
        <w:t xml:space="preserve">of the Holder’s request pursuant to Section 4(d) and (2)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4(d), (iii) a risk-free interest rate corresponding to the U.S. Treasury rate for a period equal to the greater of (1) the remaining term of this Warrant as of the date of the Holder’s request pursuant to Section 4(d) and (2) the remaining term of this Warrant as of the date of consummation of the applicable Change of Control or as of the date of the Holder’s request pursuant to Section 4(d) if such request is prior to the date of the consummation of the applicable Change of Control, (iv) a zero cost of borrow and (v) an expected volatility equal to the greater 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 and the 30 day volatility obtained from the “HVT” function on Bloomberg (determined utilizing a 365 day annualization factor) as of the Trading Day immediately following the earliest to occur of (A) the public disclosure of the applicable Change of Control and (B) the date of the Holder’s request pursuant to Section 4(d).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color w:val="000000"/>
          <w:sz w:val="24"/>
        </w:rPr>
        <w:t>Bloomberg</w:t>
      </w:r>
      <w:r>
        <w:rPr>
          <w:color w:val="000000"/>
        </w:rPr>
        <w:t xml:space="preserve">” </w:t>
      </w:r>
      <w:r>
        <w:rPr>
          <w:rFonts w:ascii="Times New Roman" w:hAnsi="Times New Roman"/>
          <w:color w:val="000000"/>
          <w:sz w:val="24"/>
        </w:rPr>
        <w:t>means Bloomberg, L.P.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 xml:space="preserve">means any day other than Saturday, Sunday or other day on which commercial banks in The City of New York are authorized or required by law to remain closed;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color w:val="000000"/>
          <w:sz w:val="24"/>
        </w:rPr>
        <w:t>Closing Sale Price</w:t>
      </w:r>
      <w:r>
        <w:rPr>
          <w:color w:val="000000"/>
        </w:rPr>
        <w:t xml:space="preserve">” </w:t>
      </w:r>
      <w:r>
        <w:rPr>
          <w:rFonts w:ascii="Times New Roman" w:hAnsi="Times New Roman"/>
          <w:color w:val="000000"/>
          <w:sz w:val="24"/>
        </w:rPr>
        <w:t>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color w:val="000000"/>
        </w:rPr>
        <w:t>“</w:t>
      </w:r>
      <w:r>
        <w:rPr>
          <w:rFonts w:ascii="Times New Roman" w:hAnsi="Times New Roman"/>
          <w:b/>
          <w:color w:val="000000"/>
          <w:sz w:val="24"/>
        </w:rPr>
        <w:t>Common Stock</w:t>
      </w:r>
      <w:r>
        <w:rPr>
          <w:color w:val="000000"/>
        </w:rPr>
        <w:t xml:space="preserve">” </w:t>
      </w:r>
      <w:r>
        <w:rPr>
          <w:rFonts w:ascii="Times New Roman" w:hAnsi="Times New Roman"/>
          <w:color w:val="000000"/>
          <w:sz w:val="24"/>
        </w:rPr>
        <w:t>means (i) the Company’s shares of common stock, $0.0001 par value per share, and (ii) any capital stock into which such common stock shall have been changed or any share capital resulting from a reclassification of such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color w:val="000000"/>
          <w:sz w:val="24"/>
        </w:rPr>
        <w:t>Convertible Securities</w:t>
      </w:r>
      <w:r>
        <w:rPr>
          <w:color w:val="000000"/>
        </w:rPr>
        <w:t xml:space="preserve">” </w:t>
      </w:r>
      <w:r>
        <w:rPr>
          <w:rFonts w:ascii="Times New Roman" w:hAnsi="Times New Roman"/>
          <w:color w:val="000000"/>
          <w:sz w:val="24"/>
        </w:rPr>
        <w:t>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color w:val="000000"/>
        </w:rPr>
        <w:t>“</w:t>
      </w:r>
      <w:r>
        <w:rPr>
          <w:rFonts w:ascii="Times New Roman" w:hAnsi="Times New Roman"/>
          <w:b/>
          <w:color w:val="000000"/>
          <w:sz w:val="24"/>
        </w:rPr>
        <w:t>Eligible Market</w:t>
      </w:r>
      <w:r>
        <w:rPr>
          <w:color w:val="000000"/>
        </w:rPr>
        <w:t xml:space="preserve">” </w:t>
      </w:r>
      <w:r>
        <w:rPr>
          <w:rFonts w:ascii="Times New Roman" w:hAnsi="Times New Roman"/>
          <w:color w:val="000000"/>
          <w:sz w:val="24"/>
        </w:rPr>
        <w:t xml:space="preserve">means </w:t>
      </w:r>
      <w:bookmarkStart w:id="9" w:name="ole_link6"/>
      <w:bookmarkEnd w:id="9"/>
      <w:r>
        <w:rPr>
          <w:rFonts w:ascii="Times New Roman" w:hAnsi="Times New Roman"/>
          <w:color w:val="000000"/>
          <w:sz w:val="24"/>
        </w:rPr>
        <w:t>The New York Stock Exchange, the NYSE American, the Nasdaq Global Select Market, the Nasdaq Global Market, the Nasdaq Capital Market or the Principal Market.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color w:val="000000"/>
          <w:sz w:val="24"/>
        </w:rPr>
        <w:t>Excluded Securities</w:t>
      </w:r>
      <w:r>
        <w:rPr>
          <w:color w:val="000000"/>
        </w:rPr>
        <w:t xml:space="preserve">” </w:t>
      </w:r>
      <w:r>
        <w:rPr>
          <w:rFonts w:ascii="Times New Roman" w:hAnsi="Times New Roman"/>
          <w:color w:val="000000"/>
          <w:sz w:val="24"/>
        </w:rPr>
        <w:t xml:space="preserve">means (i) shares of Common Stock, or options or other equity awards issued to directors, officers, employees or consultants of the Company for services rendered to the Company in their capacity as such pursuant to an Approved Stock Plan (as defined above), provided that (A) all such issuances to directors, officers, employees or consultants (taking into account the shares of Common Stock issuable upon exercise of such Common Stock, or options or other equity awards) after the Issuance Date pursuant to this clause (i) do not, in the aggregate, exceed more than 15% of the Common Stock issued and outstanding immediately prior to the Issuance Date and (B) the exercise price of any such securities is not lowered, none of such securities are amended to increase the number of shares issuable thereunder and none of the terms or conditions of any such securities are otherwise changed in any manner that adversely affects the Holder; (ii) shares of Common Stock issued upon the conversion or exercise of Convertible Securities or Options (other than securities issued pursuant to an Approved Stock Plan that are covered by clause (i) above) issued prior to the Issuance Date, provided that the conversion price of any such Convertible Securities or Options (other than securities issued pursuant to an Approved Stock Plan that are covered by clause (i) above) is not lowered, none of such Convertible Securities or Options (other than securities issued pursuant to an Approved Stock Plan that are covered by clause (i) above) are amended to increase the number of shares issuable thereunder and none of the terms or conditions of any such Convertible Securities or Options (other than securities issued pursuant to an Approved Stock Plan that are covered by clause (i) above) are otherwise changed in any manner that adversely affects the Holder; (iii) the shares of Common Stock issuable upon conversion of the Notes or otherwise pursuant to the terms of the Notes; provided, that the terms of the Notes are not amended, modified or changed on or after the Issuance Date (other than antidilution adjustments pursuant to the terms thereof in effect as of the Issuance Date), (iv) the shares of Common Stock issuable upon exercise of the Warrant; provided, that the terms of the Warrant are not amended, modified or changed on or after the Issuance Date (other than antidilution adjustments pursuant to the terms thereof in effect as of the Issuance Date), (v) any Subsequent Placement (as defined in the Notes) in which at least 80% of the gross cash proceeds are used to effect a Company Optional Redemption (as such term is defined in the Notes) under the Notes; (vi) shares of Common Stock issued pursuant to any at-the-market offering transaction that the Company may enter into from time to time after the Issuance Date, and (vii) securities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Person’s actual participation in (or fair market value of the contribution to) such strategic or commercial alliance or strategic or commercial partnership or ownership of such assets or securities to be acquired by the Company,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color w:val="000000"/>
          <w:sz w:val="24"/>
        </w:rPr>
        <w:t>Expiration Date</w:t>
      </w:r>
      <w:r>
        <w:rPr>
          <w:color w:val="000000"/>
        </w:rPr>
        <w:t xml:space="preserve">” </w:t>
      </w:r>
      <w:r>
        <w:rPr>
          <w:rFonts w:ascii="Times New Roman" w:hAnsi="Times New Roman"/>
          <w:color w:val="000000"/>
          <w:sz w:val="24"/>
        </w:rPr>
        <w:t>means December 13, 2029 or, if such date falls on a day other than a Trading Day or on which trading does not take place on the Principal Market (a “</w:t>
      </w:r>
      <w:r>
        <w:rPr>
          <w:rFonts w:ascii="Times New Roman" w:hAnsi="Times New Roman"/>
          <w:b/>
          <w:color w:val="000000"/>
          <w:sz w:val="24"/>
        </w:rPr>
        <w:t>Holiday</w:t>
      </w:r>
      <w:r>
        <w:rPr>
          <w:color w:val="000000"/>
        </w:rPr>
        <w:t>”</w:t>
      </w:r>
      <w:r>
        <w:rPr>
          <w:rFonts w:ascii="Times New Roman" w:hAnsi="Times New Roman"/>
          <w:color w:val="000000"/>
          <w:sz w:val="24"/>
        </w:rPr>
        <w:t>), the next date that is not a Holiday.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color w:val="000000"/>
          <w:sz w:val="24"/>
        </w:rPr>
        <w:t>Floor Price</w:t>
      </w:r>
      <w:r>
        <w:rPr>
          <w:color w:val="000000"/>
        </w:rPr>
        <w:t xml:space="preserve">” </w:t>
      </w:r>
      <w:r>
        <w:rPr>
          <w:rFonts w:ascii="Times New Roman" w:hAnsi="Times New Roman"/>
          <w:color w:val="000000"/>
          <w:sz w:val="24"/>
        </w:rPr>
        <w:t>means $8.22 (as adjusted for stock splits, stock dividends, stock combinations, recapitalizations and similar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color w:val="000000"/>
          <w:sz w:val="24"/>
        </w:rPr>
        <w:t>Fundamental Transaction</w:t>
      </w:r>
      <w:r>
        <w:rPr>
          <w:color w:val="000000"/>
        </w:rPr>
        <w:t xml:space="preserve">” </w:t>
      </w:r>
      <w:r>
        <w:rPr>
          <w:rFonts w:ascii="Times New Roman" w:hAnsi="Times New Roman"/>
          <w:color w:val="000000"/>
          <w:sz w:val="24"/>
        </w:rPr>
        <w:t xml:space="preserve">means any of the following transactions involving a Successor Entity (A) that the Company shall, directly or indirectly, including through subsidiaries, Affiliates or otherwise, in one or more related transactions, (i) consolidate or merge with or into another Subject Entity, in which the Company is not the surviving entity or in which the stockholders of the Company immediately prior to such consolidation or merger do not own, directly or indirectly, at least 50% of the voting power of the surviving entity immediately after such consolidation or merger, or (ii) sell, assign, transfer, convey or otherwise dispose of all or substantially all of the properties or assets of the Company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color w:val="000000"/>
          <w:sz w:val="24"/>
        </w:rPr>
        <w:t>Group</w:t>
      </w:r>
      <w:r>
        <w:rPr>
          <w:color w:val="000000"/>
        </w:rPr>
        <w:t xml:space="preserve">” </w:t>
      </w:r>
      <w:r>
        <w:rPr>
          <w:rFonts w:ascii="Times New Roman" w:hAnsi="Times New Roman"/>
          <w:color w:val="000000"/>
          <w:sz w:val="24"/>
        </w:rPr>
        <w:t>means a “group” as that term is used in Section 13(d) of the 1934 Act and as defined in Rule 13d-5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color w:val="000000"/>
          <w:sz w:val="24"/>
        </w:rPr>
        <w:t>Market Price</w:t>
      </w:r>
      <w:r>
        <w:rPr>
          <w:color w:val="000000"/>
        </w:rPr>
        <w:t xml:space="preserve">” </w:t>
      </w:r>
      <w:r>
        <w:rPr>
          <w:rFonts w:ascii="Times New Roman" w:hAnsi="Times New Roman"/>
          <w:color w:val="000000"/>
          <w:sz w:val="24"/>
        </w:rPr>
        <w:t>means, as of any given date, the VWAP of the Common Stock as of Trading Day ended immediately prior to such given date (as adjusted for stock splits, stock dividends, stock combinations, recapitalizations and similar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color w:val="000000"/>
          <w:sz w:val="24"/>
        </w:rPr>
        <w:t>Notes</w:t>
      </w:r>
      <w:r>
        <w:rPr>
          <w:color w:val="000000"/>
        </w:rPr>
        <w:t xml:space="preserve">” </w:t>
      </w:r>
      <w:r>
        <w:rPr>
          <w:rFonts w:ascii="Times New Roman" w:hAnsi="Times New Roman"/>
          <w:color w:val="000000"/>
          <w:sz w:val="24"/>
        </w:rPr>
        <w:t>shall mean the Tranche B Notes (as defined in the Warrant Agreement) and shall include all notes issued in exchange therefor or replacement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color w:val="000000"/>
          <w:sz w:val="24"/>
        </w:rPr>
        <w:t>Options</w:t>
      </w:r>
      <w:r>
        <w:rPr>
          <w:color w:val="000000"/>
        </w:rPr>
        <w:t xml:space="preserve">” </w:t>
      </w:r>
      <w:r>
        <w:rPr>
          <w:rFonts w:ascii="Times New Roman" w:hAnsi="Times New Roman"/>
          <w:color w:val="000000"/>
          <w:sz w:val="24"/>
        </w:rPr>
        <w:t>means any rights, warrants or options to subscribe for or purchase shares of Common Stock or Convertible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color w:val="000000"/>
          <w:sz w:val="24"/>
        </w:rPr>
        <w:t>Parent Entity</w:t>
      </w:r>
      <w:r>
        <w:rPr>
          <w:color w:val="000000"/>
        </w:rPr>
        <w:t xml:space="preserve">” </w:t>
      </w:r>
      <w:r>
        <w:rPr>
          <w:rFonts w:ascii="Times New Roman" w:hAnsi="Times New Roman"/>
          <w:color w:val="000000"/>
          <w:sz w:val="24"/>
        </w:rPr>
        <w:t>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 provided, that in connection with the consummation of the Semnur Merger (as defined in the Notes), neither Denali (as defined in the Notes), Denali Merger Sub Inc. nor Semnur (as defined in the Notes) shall be a Successor Entity and/or a Parent Entity, as applicable,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 individual, a limited liability company, a partnership, a joint venture, a corporation, a trust, an unincorporated organization, any other entity or a government or any department or agency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color w:val="000000"/>
          <w:sz w:val="24"/>
        </w:rPr>
        <w:t>Principal Market</w:t>
      </w:r>
      <w:r>
        <w:rPr>
          <w:color w:val="000000"/>
        </w:rPr>
        <w:t xml:space="preserve">” </w:t>
      </w:r>
      <w:r>
        <w:rPr>
          <w:rFonts w:ascii="Times New Roman" w:hAnsi="Times New Roman"/>
          <w:color w:val="000000"/>
          <w:sz w:val="24"/>
        </w:rPr>
        <w:t>means the Nasdaq Capital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color w:val="000000"/>
          <w:sz w:val="24"/>
        </w:rPr>
        <w:t>SEC</w:t>
      </w:r>
      <w:r>
        <w:rPr>
          <w:color w:val="000000"/>
        </w:rPr>
        <w:t xml:space="preserve">” </w:t>
      </w:r>
      <w:r>
        <w:rPr>
          <w:rFonts w:ascii="Times New Roman" w:hAnsi="Times New Roman"/>
          <w:color w:val="000000"/>
          <w:sz w:val="24"/>
        </w:rPr>
        <w:t>means the United States Securities and Exchange Commission or the successor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color w:val="000000"/>
          <w:sz w:val="24"/>
        </w:rPr>
        <w:t>Subject Entity</w:t>
      </w:r>
      <w:r>
        <w:rPr>
          <w:color w:val="000000"/>
        </w:rPr>
        <w:t xml:space="preserve">” </w:t>
      </w:r>
      <w:r>
        <w:rPr>
          <w:rFonts w:ascii="Times New Roman" w:hAnsi="Times New Roman"/>
          <w:color w:val="000000"/>
          <w:sz w:val="24"/>
        </w:rPr>
        <w:t>means any Person, Persons or Group or any Affiliate or associate of any such Person, Persons or Group.</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color w:val="000000"/>
        </w:rPr>
        <w:t>“</w:t>
      </w:r>
      <w:r>
        <w:rPr>
          <w:rFonts w:ascii="Times New Roman" w:hAnsi="Times New Roman"/>
          <w:b/>
          <w:color w:val="000000"/>
          <w:sz w:val="24"/>
        </w:rPr>
        <w:t>Successor Entity</w:t>
      </w:r>
      <w:r>
        <w:rPr>
          <w:color w:val="000000"/>
        </w:rPr>
        <w:t xml:space="preserve">” </w:t>
      </w:r>
      <w:r>
        <w:rPr>
          <w:rFonts w:ascii="Times New Roman" w:hAnsi="Times New Roman"/>
          <w:color w:val="000000"/>
          <w:sz w:val="24"/>
        </w:rPr>
        <w:t>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color w:val="000000"/>
        </w:rPr>
        <w:t>“</w:t>
      </w:r>
      <w:r>
        <w:rPr>
          <w:rFonts w:ascii="Times New Roman" w:hAnsi="Times New Roman"/>
          <w:b/>
          <w:color w:val="000000"/>
          <w:sz w:val="24"/>
        </w:rPr>
        <w:t>Trading Day</w:t>
      </w:r>
      <w:r>
        <w:rPr>
          <w:color w:val="000000"/>
        </w:rPr>
        <w:t xml:space="preserve">” </w:t>
      </w:r>
      <w:r>
        <w:rPr>
          <w:rFonts w:ascii="Times New Roman" w:hAnsi="Times New Roman"/>
          <w:color w:val="000000"/>
          <w:sz w:val="24"/>
        </w:rPr>
        <w:t xml:space="preserve">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color w:val="000000"/>
        </w:rPr>
        <w:t>“</w:t>
      </w:r>
      <w:r>
        <w:rPr>
          <w:rFonts w:ascii="Times New Roman" w:hAnsi="Times New Roman"/>
          <w:b/>
          <w:color w:val="000000"/>
          <w:sz w:val="24"/>
        </w:rPr>
        <w:t>VWAP</w:t>
      </w:r>
      <w:r>
        <w:rPr>
          <w:color w:val="000000"/>
        </w:rPr>
        <w:t xml:space="preserve">” </w:t>
      </w:r>
      <w:r>
        <w:rPr>
          <w:rFonts w:ascii="Times New Roman" w:hAnsi="Times New Roman"/>
          <w:color w:val="000000"/>
          <w:sz w:val="24"/>
        </w:rPr>
        <w:t>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Company has caused this Warrant to Purchase Common Stock to be duly executed as of the Issuance Date set out above.</w:t>
      </w:r>
    </w:p>
    <w:tbl>
      <w:tblPr>
        <w:tblW w:w="3776" w:type="dxa"/>
        <w:jc w:val="left"/>
        <w:tblInd w:w="0" w:type="dxa"/>
        <w:tblLayout w:type="fixed"/>
        <w:tblCellMar>
          <w:top w:w="28" w:type="dxa"/>
          <w:left w:w="28" w:type="dxa"/>
          <w:bottom w:w="28" w:type="dxa"/>
          <w:right w:w="28" w:type="dxa"/>
        </w:tblCellMar>
      </w:tblPr>
      <w:tblGrid>
        <w:gridCol w:w="161"/>
        <w:gridCol w:w="2817"/>
        <w:gridCol w:w="798"/>
      </w:tblGrid>
      <w:tr>
        <w:trPr/>
        <w:tc>
          <w:tcPr>
            <w:tcW w:w="161"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SCILEX HOLDING COMPANY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EXERCISE NOTICE</w:t>
      </w:r>
    </w:p>
    <w:p>
      <w:pPr>
        <w:pStyle w:val="TextBody"/>
        <w:bidi w:val="0"/>
        <w:spacing w:before="0" w:after="240"/>
        <w:jc w:val="center"/>
        <w:rPr>
          <w:rFonts w:ascii="Times New Roman" w:hAnsi="Times New Roman"/>
          <w:sz w:val="20"/>
        </w:rPr>
      </w:pPr>
      <w:r>
        <w:rPr>
          <w:rFonts w:ascii="Times New Roman" w:hAnsi="Times New Roman"/>
          <w:b/>
          <w:caps/>
          <w:color w:val="000000"/>
          <w:sz w:val="24"/>
        </w:rPr>
        <w:t>TO BE EXECUTED BY THE REGISTERED HOLDER TO EXERCISE THIS</w:t>
        <w:br/>
      </w:r>
      <w:r>
        <w:rPr>
          <w:rFonts w:ascii="Times New Roman" w:hAnsi="Times New Roman"/>
          <w:b/>
          <w:caps/>
          <w:color w:val="000000"/>
          <w:sz w:val="23"/>
        </w:rPr>
        <w:t>WARRANT TO PURCHASE COMMON STOCK</w:t>
      </w:r>
    </w:p>
    <w:p>
      <w:pPr>
        <w:pStyle w:val="TextBody"/>
        <w:bidi w:val="0"/>
        <w:spacing w:before="0" w:after="240"/>
        <w:jc w:val="center"/>
        <w:rPr>
          <w:rFonts w:ascii="Times New Roman" w:hAnsi="Times New Roman"/>
          <w:sz w:val="20"/>
        </w:rPr>
      </w:pPr>
      <w:r>
        <w:rPr>
          <w:rFonts w:ascii="Times New Roman" w:hAnsi="Times New Roman"/>
          <w:b/>
          <w:color w:val="000000"/>
          <w:sz w:val="24"/>
        </w:rPr>
        <w:t>SCILEX HOLDING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undersigned holder hereby elects to exercise the Warrant to Purchase Common Stock No. _______ (the “</w:t>
      </w:r>
      <w:r>
        <w:rPr>
          <w:rFonts w:ascii="Times New Roman" w:hAnsi="Times New Roman"/>
          <w:b/>
          <w:color w:val="000000"/>
          <w:sz w:val="24"/>
        </w:rPr>
        <w:t>Warrant</w:t>
      </w:r>
      <w:r>
        <w:rPr>
          <w:rFonts w:ascii="Times New Roman" w:hAnsi="Times New Roman"/>
          <w:color w:val="000000"/>
          <w:sz w:val="20"/>
        </w:rPr>
        <w:t>”</w:t>
      </w:r>
      <w:r>
        <w:rPr>
          <w:rFonts w:ascii="Times New Roman" w:hAnsi="Times New Roman"/>
          <w:color w:val="000000"/>
          <w:sz w:val="24"/>
        </w:rPr>
        <w:t>) of Scilex Holding Company,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as specified below. Capitalized terms used herein and not otherwise defined shall have the respective meanings set forth in the Warrant.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Form of Exercise Price</w:t>
      </w:r>
      <w:r>
        <w:rPr>
          <w:rFonts w:ascii="Times New Roman" w:hAnsi="Times New Roman"/>
          <w:color w:val="000000"/>
          <w:sz w:val="24"/>
        </w:rPr>
        <w:t>. The Holder intends that payment of the Aggregate Exercise Price shall be made as:</w:t>
      </w:r>
    </w:p>
    <w:p>
      <w:pPr>
        <w:pStyle w:val="TextBody"/>
        <w:bidi w:val="0"/>
        <w:spacing w:before="0" w:after="240"/>
        <w:jc w:val="both"/>
        <w:rPr/>
      </w:pPr>
      <w:r>
        <w:rPr>
          <w:color w:val="000000"/>
        </w:rPr>
        <w:t xml:space="preserve">☐ </w:t>
      </w:r>
      <w:r>
        <w:rPr>
          <w:rFonts w:ascii="Times New Roman" w:hAnsi="Times New Roman"/>
          <w:color w:val="000000"/>
          <w:sz w:val="23"/>
        </w:rPr>
        <w:t>a “</w:t>
      </w:r>
      <w:r>
        <w:rPr>
          <w:rFonts w:ascii="Times New Roman" w:hAnsi="Times New Roman"/>
          <w:color w:val="000000"/>
          <w:sz w:val="23"/>
          <w:u w:val="single"/>
        </w:rPr>
        <w:t>Cash Exercise</w:t>
      </w:r>
      <w:r>
        <w:rPr>
          <w:rFonts w:ascii="Times New Roman" w:hAnsi="Times New Roman"/>
          <w:color w:val="000000"/>
          <w:sz w:val="20"/>
        </w:rPr>
        <w:t xml:space="preserve">” </w:t>
      </w:r>
      <w:r>
        <w:rPr>
          <w:rFonts w:ascii="Times New Roman" w:hAnsi="Times New Roman"/>
          <w:color w:val="000000"/>
          <w:sz w:val="23"/>
        </w:rPr>
        <w:t>with respect to _________________ Warrant Shares; and/or</w:t>
      </w:r>
    </w:p>
    <w:p>
      <w:pPr>
        <w:pStyle w:val="TextBody"/>
        <w:bidi w:val="0"/>
        <w:spacing w:before="0" w:after="240"/>
        <w:jc w:val="both"/>
        <w:rPr/>
      </w:pPr>
      <w:r>
        <w:rPr>
          <w:color w:val="000000"/>
        </w:rPr>
        <w:t xml:space="preserve">☐ </w:t>
      </w:r>
      <w:r>
        <w:rPr>
          <w:rFonts w:ascii="Times New Roman" w:hAnsi="Times New Roman"/>
          <w:color w:val="000000"/>
          <w:sz w:val="23"/>
        </w:rPr>
        <w:t>a “</w:t>
      </w:r>
      <w:r>
        <w:rPr>
          <w:rFonts w:ascii="Times New Roman" w:hAnsi="Times New Roman"/>
          <w:color w:val="000000"/>
          <w:sz w:val="23"/>
          <w:u w:val="single"/>
        </w:rPr>
        <w:t>Cashless Exercise</w:t>
      </w:r>
      <w:r>
        <w:rPr>
          <w:rFonts w:ascii="Times New Roman" w:hAnsi="Times New Roman"/>
          <w:color w:val="000000"/>
          <w:sz w:val="20"/>
        </w:rPr>
        <w:t xml:space="preserve">” </w:t>
      </w:r>
      <w:r>
        <w:rPr>
          <w:rFonts w:ascii="Times New Roman" w:hAnsi="Times New Roman"/>
          <w:color w:val="000000"/>
          <w:sz w:val="23"/>
        </w:rPr>
        <w:t>with respect to _______________ Warrant Shares.</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 applicable, the Bid Price as of such time of execution of this Exercise Notice was $________.</w:t>
      </w:r>
    </w:p>
    <w:p>
      <w:pPr>
        <w:pStyle w:val="TextBody"/>
        <w:bidi w:val="0"/>
        <w:spacing w:before="0" w:after="240"/>
        <w:jc w:val="both"/>
        <w:rPr>
          <w:rFonts w:ascii="Times New Roman" w:hAnsi="Times New Roman"/>
          <w:sz w:val="20"/>
        </w:rPr>
      </w:pPr>
      <w:r>
        <w:rPr>
          <w:rFonts w:ascii="Times New Roman" w:hAnsi="Times New Roman"/>
          <w:color w:val="000000"/>
          <w:sz w:val="23"/>
        </w:rPr>
        <w:t xml:space="preserve">2. </w:t>
      </w:r>
      <w:r>
        <w:rPr>
          <w:rFonts w:ascii="Times New Roman" w:hAnsi="Times New Roman"/>
          <w:color w:val="000000"/>
          <w:sz w:val="23"/>
          <w:u w:val="single"/>
        </w:rPr>
        <w:t>Payment of Exercise Price</w:t>
      </w:r>
      <w:r>
        <w:rPr>
          <w:rFonts w:ascii="Times New Roman" w:hAnsi="Times New Roman"/>
          <w:color w:val="000000"/>
          <w:sz w:val="23"/>
        </w:rPr>
        <w:t xml:space="preserve">. In the event that the Holder has elected a Cash Exercise with respect to some or all of the Warrant Shares to be issued pursuant hereto, the Holder shall pay the Aggregate Exercise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3"/>
        </w:rPr>
        <w:t>in the sum of $___________________ to the Company in accordance with the terms of the Warrant.</w:t>
      </w:r>
    </w:p>
    <w:p>
      <w:pPr>
        <w:pStyle w:val="TextBody"/>
        <w:bidi w:val="0"/>
        <w:spacing w:before="0" w:after="240"/>
        <w:jc w:val="both"/>
        <w:rPr>
          <w:rFonts w:ascii="Times New Roman" w:hAnsi="Times New Roman"/>
          <w:sz w:val="20"/>
        </w:rPr>
      </w:pPr>
      <w:r>
        <w:rPr>
          <w:rFonts w:ascii="Times New Roman" w:hAnsi="Times New Roman"/>
          <w:color w:val="000000"/>
          <w:sz w:val="23"/>
        </w:rPr>
        <w:t xml:space="preserve">3. </w:t>
      </w:r>
      <w:r>
        <w:rPr>
          <w:rFonts w:ascii="Times New Roman" w:hAnsi="Times New Roman"/>
          <w:color w:val="000000"/>
          <w:sz w:val="23"/>
          <w:u w:val="single"/>
        </w:rPr>
        <w:t>Delivery of Warrant Shares</w:t>
      </w:r>
      <w:r>
        <w:rPr>
          <w:rFonts w:ascii="Times New Roman" w:hAnsi="Times New Roman"/>
          <w:color w:val="000000"/>
          <w:sz w:val="23"/>
        </w:rPr>
        <w:t xml:space="preserve">. The Company shall deliver to Holder, or its designee or agent as specified below, __________ </w:t>
      </w:r>
      <w:r>
        <w:rPr>
          <w:rFonts w:ascii="Times New Roman" w:hAnsi="Times New Roman"/>
          <w:color w:val="000000"/>
          <w:sz w:val="24"/>
        </w:rPr>
        <w:t>shares of Common Stock</w:t>
      </w:r>
      <w:r>
        <w:rPr>
          <w:rFonts w:ascii="Times New Roman" w:hAnsi="Times New Roman"/>
          <w:color w:val="000000"/>
          <w:sz w:val="20"/>
        </w:rPr>
        <w:t xml:space="preserve"> </w:t>
      </w:r>
      <w:r>
        <w:rPr>
          <w:rFonts w:ascii="Times New Roman" w:hAnsi="Times New Roman"/>
          <w:color w:val="000000"/>
          <w:sz w:val="23"/>
        </w:rPr>
        <w:t>in accordance with the terms of the Warrant. Delivery shall be made to Holder, or for its benefit, as follows:</w:t>
      </w:r>
    </w:p>
    <w:p>
      <w:pPr>
        <w:pStyle w:val="TextBody"/>
        <w:bidi w:val="0"/>
        <w:spacing w:before="0" w:after="240"/>
        <w:jc w:val="both"/>
        <w:rPr>
          <w:color w:val="000000"/>
        </w:rPr>
      </w:pPr>
      <w:r>
        <w:rPr>
          <w:color w:val="000000"/>
        </w:rPr>
        <w:t xml:space="preserve">☐ </w:t>
      </w:r>
      <w:r>
        <w:rPr>
          <w:rFonts w:ascii="Times New Roman" w:hAnsi="Times New Roman"/>
          <w:color w:val="000000"/>
          <w:sz w:val="24"/>
        </w:rPr>
        <w:t>Check here if requesting delivery as a certificate to the following name and to the following address:</w:t>
      </w:r>
    </w:p>
    <w:tbl>
      <w:tblPr>
        <w:tblW w:w="2532" w:type="dxa"/>
        <w:jc w:val="left"/>
        <w:tblInd w:w="0" w:type="dxa"/>
        <w:tblLayout w:type="fixed"/>
        <w:tblCellMar>
          <w:top w:w="28" w:type="dxa"/>
          <w:left w:w="28" w:type="dxa"/>
          <w:bottom w:w="28" w:type="dxa"/>
          <w:right w:w="28" w:type="dxa"/>
        </w:tblCellMar>
      </w:tblPr>
      <w:tblGrid>
        <w:gridCol w:w="1621"/>
        <w:gridCol w:w="911"/>
      </w:tblGrid>
      <w:tr>
        <w:trPr/>
        <w:tc>
          <w:tcPr>
            <w:tcW w:w="16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Issue to:</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ind w:left="0" w:right="0" w:firstLine="720"/>
              <w:jc w:val="both"/>
              <w:rPr/>
            </w:pPr>
            <w:r>
              <w:rPr/>
              <w:t> </w:t>
            </w:r>
          </w:p>
        </w:tc>
      </w:tr>
      <w:tr>
        <w:trPr/>
        <w:tc>
          <w:tcPr>
            <w:tcW w:w="162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120" w:after="283"/>
              <w:ind w:left="0" w:right="0" w:firstLine="720"/>
              <w:jc w:val="both"/>
              <w:rPr/>
            </w:pPr>
            <w:r>
              <w:rPr/>
              <w:t> </w:t>
            </w:r>
          </w:p>
        </w:tc>
      </w:tr>
      <w:tr>
        <w:trPr/>
        <w:tc>
          <w:tcPr>
            <w:tcW w:w="162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120" w:after="283"/>
              <w:jc w:val="both"/>
              <w:rPr/>
            </w:pPr>
            <w:r>
              <w:rPr/>
              <w:t> </w:t>
            </w:r>
          </w:p>
        </w:tc>
      </w:tr>
    </w:tbl>
    <w:p>
      <w:pPr>
        <w:pStyle w:val="TextBody"/>
        <w:bidi w:val="0"/>
        <w:spacing w:before="0" w:after="240"/>
        <w:jc w:val="both"/>
        <w:rPr/>
      </w:pPr>
      <w:r>
        <w:rPr/>
        <w:t> </w:t>
      </w:r>
    </w:p>
    <w:p>
      <w:pPr>
        <w:pStyle w:val="TextBody"/>
        <w:bidi w:val="0"/>
        <w:jc w:val="left"/>
        <w:rPr/>
      </w:pPr>
      <w:r>
        <w:rPr>
          <w:color w:val="000000"/>
        </w:rPr>
        <w:t xml:space="preserve">☐ </w:t>
      </w:r>
      <w:r>
        <w:rPr>
          <w:rFonts w:ascii="Times New Roman" w:hAnsi="Times New Roman"/>
          <w:color w:val="000000"/>
          <w:sz w:val="24"/>
        </w:rPr>
        <w:t>Check here if requesting delivery by Deposit/Withdrawal at Custodian as follows:</w:t>
      </w:r>
      <w:r>
        <w:rPr>
          <w:rFonts w:ascii="Times New Roman" w:hAnsi="Times New Roman"/>
          <w:color w:val="000000"/>
          <w:sz w:val="20"/>
        </w:rPr>
        <w:t xml:space="preserve"> </w:t>
      </w:r>
    </w:p>
    <w:tbl>
      <w:tblPr>
        <w:tblW w:w="3372" w:type="dxa"/>
        <w:jc w:val="left"/>
        <w:tblInd w:w="0" w:type="dxa"/>
        <w:tblLayout w:type="fixed"/>
        <w:tblCellMar>
          <w:top w:w="28" w:type="dxa"/>
          <w:left w:w="28" w:type="dxa"/>
          <w:bottom w:w="28" w:type="dxa"/>
          <w:right w:w="28" w:type="dxa"/>
        </w:tblCellMar>
      </w:tblPr>
      <w:tblGrid>
        <w:gridCol w:w="2461"/>
        <w:gridCol w:w="911"/>
      </w:tblGrid>
      <w:tr>
        <w:trPr/>
        <w:tc>
          <w:tcPr>
            <w:tcW w:w="24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DTC Participant:</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ind w:left="0" w:right="0" w:firstLine="720"/>
              <w:jc w:val="both"/>
              <w:rPr/>
            </w:pPr>
            <w:r>
              <w:rPr/>
              <w:t> </w:t>
            </w:r>
          </w:p>
        </w:tc>
      </w:tr>
      <w:tr>
        <w:trPr/>
        <w:tc>
          <w:tcPr>
            <w:tcW w:w="246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DTC Number:</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462" w:type="dxa"/>
        <w:jc w:val="left"/>
        <w:tblInd w:w="0" w:type="dxa"/>
        <w:tblLayout w:type="fixed"/>
        <w:tblCellMar>
          <w:top w:w="28" w:type="dxa"/>
          <w:left w:w="28" w:type="dxa"/>
          <w:bottom w:w="28" w:type="dxa"/>
          <w:right w:w="28" w:type="dxa"/>
        </w:tblCellMar>
      </w:tblPr>
      <w:tblGrid>
        <w:gridCol w:w="2551"/>
        <w:gridCol w:w="911"/>
      </w:tblGrid>
      <w:tr>
        <w:trPr/>
        <w:tc>
          <w:tcPr>
            <w:tcW w:w="25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Account Number:</w:t>
            </w:r>
          </w:p>
        </w:tc>
        <w:tc>
          <w:tcPr>
            <w:tcW w:w="911" w:type="dxa"/>
            <w:tcBorders>
              <w:bottom w:val="single" w:sz="4" w:space="0" w:color="000000"/>
            </w:tcBorders>
            <w:tcMar>
              <w:top w:w="0" w:type="dxa"/>
              <w:left w:w="0" w:type="dxa"/>
              <w:right w:w="0" w:type="dxa"/>
            </w:tcMar>
            <w:vAlign w:val="center"/>
          </w:tcPr>
          <w:p>
            <w:pPr>
              <w:pStyle w:val="TableContents"/>
              <w:bidi w:val="0"/>
              <w:spacing w:before="240" w:after="283"/>
              <w:ind w:left="0" w:right="0" w:firstLine="720"/>
              <w:jc w:val="both"/>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ind w:left="0" w:right="0" w:firstLine="720"/>
              <w:jc w:val="both"/>
              <w:rPr/>
            </w:pPr>
            <w:r>
              <w:rPr/>
              <w:t> </w:t>
            </w:r>
          </w:p>
        </w:tc>
        <w:tc>
          <w:tcPr>
            <w:tcW w:w="91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tbl>
      <w:tblPr>
        <w:tblW w:w="4705" w:type="dxa"/>
        <w:jc w:val="left"/>
        <w:tblInd w:w="0" w:type="dxa"/>
        <w:tblLayout w:type="fixed"/>
        <w:tblCellMar>
          <w:top w:w="28" w:type="dxa"/>
          <w:left w:w="28" w:type="dxa"/>
          <w:bottom w:w="28" w:type="dxa"/>
          <w:right w:w="28" w:type="dxa"/>
        </w:tblCellMar>
      </w:tblPr>
      <w:tblGrid>
        <w:gridCol w:w="4705"/>
      </w:tblGrid>
      <w:tr>
        <w:trPr/>
        <w:tc>
          <w:tcPr>
            <w:tcW w:w="4705" w:type="dxa"/>
            <w:tcBorders/>
            <w:vAlign w:val="center"/>
          </w:tcPr>
          <w:p>
            <w:pPr>
              <w:pStyle w:val="TableContents"/>
              <w:bidi w:val="0"/>
              <w:spacing w:before="0" w:after="283"/>
              <w:jc w:val="left"/>
              <w:rPr>
                <w:sz w:val="4"/>
                <w:szCs w:val="4"/>
              </w:rPr>
            </w:pPr>
            <w:r>
              <w:rPr>
                <w:sz w:val="4"/>
                <w:szCs w:val="4"/>
              </w:rPr>
            </w:r>
          </w:p>
        </w:tc>
      </w:tr>
      <w:tr>
        <w:trPr/>
        <w:tc>
          <w:tcPr>
            <w:tcW w:w="470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Date: _____________ __, </w:t>
            </w:r>
          </w:p>
          <w:p>
            <w:pPr>
              <w:pStyle w:val="TableContents"/>
              <w:bidi w:val="0"/>
              <w:spacing w:before="0" w:after="120"/>
              <w:jc w:val="left"/>
              <w:rPr>
                <w:rFonts w:ascii="Times New Roman" w:hAnsi="Times New Roman"/>
                <w:sz w:val="24"/>
              </w:rPr>
            </w:pPr>
            <w:r>
              <w:rPr>
                <w:rFonts w:ascii="Times New Roman" w:hAnsi="Times New Roman"/>
                <w:color w:val="000000"/>
                <w:sz w:val="24"/>
                <w:u w:val="single"/>
              </w:rPr>
              <w:br/>
            </w:r>
            <w:r>
              <w:rPr>
                <w:rFonts w:ascii="Times New Roman" w:hAnsi="Times New Roman"/>
                <w:color w:val="000000"/>
                <w:sz w:val="24"/>
              </w:rPr>
              <w:t>Name of Registered Holder</w:t>
            </w:r>
          </w:p>
          <w:p>
            <w:pPr>
              <w:pStyle w:val="TableContents"/>
              <w:bidi w:val="0"/>
              <w:spacing w:before="0" w:after="120"/>
              <w:ind w:left="0" w:right="0" w:firstLine="369"/>
              <w:jc w:val="left"/>
              <w:rPr/>
            </w:pPr>
            <w:r>
              <w:rPr/>
              <w:t> </w:t>
            </w:r>
          </w:p>
        </w:tc>
      </w:tr>
      <w:tr>
        <w:trPr/>
        <w:tc>
          <w:tcPr>
            <w:tcW w:w="4705" w:type="dxa"/>
            <w:tcBorders/>
            <w:tcMar>
              <w:top w:w="0" w:type="dxa"/>
              <w:left w:w="0" w:type="dxa"/>
              <w:bottom w:w="0" w:type="dxa"/>
              <w:right w:w="0" w:type="dxa"/>
            </w:tcMar>
            <w:vAlign w:val="center"/>
          </w:tcPr>
          <w:p>
            <w:pPr>
              <w:pStyle w:val="TableContents"/>
              <w:bidi w:val="0"/>
              <w:spacing w:before="0" w:after="240"/>
              <w:ind w:left="0" w:right="0" w:firstLine="369"/>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 xml:space="preserve">Name: </w:t>
              <w:br/>
              <w:t>Title:</w:t>
              <w:br/>
              <w:t> </w:t>
            </w:r>
          </w:p>
          <w:p>
            <w:pPr>
              <w:pStyle w:val="TableContents"/>
              <w:bidi w:val="0"/>
              <w:spacing w:before="0" w:after="240"/>
              <w:ind w:left="0" w:right="0" w:firstLine="369"/>
              <w:jc w:val="left"/>
              <w:rPr>
                <w:color w:val="000000"/>
              </w:rPr>
            </w:pPr>
            <w:r>
              <w:rPr>
                <w:color w:val="000000"/>
              </w:rPr>
              <w:t> </w:t>
            </w:r>
            <w:r>
              <w:rPr>
                <w:rFonts w:ascii="Times New Roman" w:hAnsi="Times New Roman"/>
                <w:color w:val="000000"/>
                <w:sz w:val="24"/>
              </w:rPr>
              <w:t>Tax ID:____________________________</w:t>
            </w:r>
          </w:p>
          <w:p>
            <w:pPr>
              <w:pStyle w:val="TableContents"/>
              <w:bidi w:val="0"/>
              <w:spacing w:before="0" w:after="240"/>
              <w:ind w:left="0" w:right="0" w:firstLine="369"/>
              <w:jc w:val="left"/>
              <w:rPr/>
            </w:pPr>
            <w:r>
              <w:rPr/>
              <w:t> </w:t>
            </w:r>
          </w:p>
          <w:p>
            <w:pPr>
              <w:pStyle w:val="TableContents"/>
              <w:bidi w:val="0"/>
              <w:spacing w:before="0" w:after="240"/>
              <w:ind w:left="0" w:right="0" w:firstLine="369"/>
              <w:jc w:val="left"/>
              <w:rPr>
                <w:color w:val="000000"/>
              </w:rPr>
            </w:pPr>
            <w:r>
              <w:rPr>
                <w:color w:val="000000"/>
              </w:rPr>
              <w:t> </w:t>
            </w:r>
            <w:r>
              <w:rPr>
                <w:rFonts w:ascii="Times New Roman" w:hAnsi="Times New Roman"/>
                <w:color w:val="000000"/>
                <w:sz w:val="24"/>
              </w:rPr>
              <w:t>E-mail Address:_____________________</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ACKNOWLEDGMENT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3"/>
        </w:rPr>
        <w:t xml:space="preserve">The Company hereby acknowledges this Exercise Notice and hereby directs ______________ to issue the above </w:t>
      </w:r>
      <w:r>
        <w:rPr>
          <w:rFonts w:ascii="Times New Roman" w:hAnsi="Times New Roman"/>
          <w:color w:val="000000"/>
          <w:sz w:val="24"/>
        </w:rPr>
        <w:t>indicated</w:t>
      </w:r>
      <w:r>
        <w:rPr>
          <w:rFonts w:ascii="Times New Roman" w:hAnsi="Times New Roman"/>
          <w:color w:val="000000"/>
          <w:sz w:val="20"/>
        </w:rPr>
        <w:t xml:space="preserve"> </w:t>
      </w:r>
      <w:r>
        <w:rPr>
          <w:rFonts w:ascii="Times New Roman" w:hAnsi="Times New Roman"/>
          <w:color w:val="000000"/>
          <w:sz w:val="23"/>
        </w:rPr>
        <w:t>number of shares of Common Stock in accordance with the Transfer Agent Instructions dated _________, 20__, from the Company and acknowledged and agreed to by _______________.</w:t>
      </w:r>
    </w:p>
    <w:p>
      <w:pPr>
        <w:pStyle w:val="TextBody"/>
        <w:bidi w:val="0"/>
        <w:jc w:val="left"/>
        <w:rPr/>
      </w:pPr>
      <w:r>
        <w:rPr/>
        <w:t> </w:t>
      </w:r>
    </w:p>
    <w:p>
      <w:pPr>
        <w:pStyle w:val="TextBody"/>
        <w:pBdr/>
        <w:bidi w:val="0"/>
        <w:spacing w:before="0" w:after="720"/>
        <w:ind w:left="4320" w:right="0" w:hanging="360"/>
        <w:jc w:val="left"/>
        <w:rPr>
          <w:rFonts w:ascii="Times New Roman" w:hAnsi="Times New Roman"/>
          <w:sz w:val="20"/>
        </w:rPr>
      </w:pPr>
      <w:r>
        <w:rPr>
          <w:rFonts w:ascii="Times New Roman" w:hAnsi="Times New Roman"/>
          <w:b/>
          <w:caps/>
          <w:color w:val="000000"/>
          <w:sz w:val="24"/>
        </w:rPr>
        <w:t>Scilex Holding Company</w:t>
      </w:r>
      <w:r>
        <w:rPr>
          <w:rFonts w:ascii="Times New Roman" w:hAnsi="Times New Roman"/>
          <w:caps/>
          <w:color w:val="000000"/>
          <w:sz w:val="20"/>
        </w:rPr>
        <w:t xml:space="preserve"> </w:t>
      </w:r>
    </w:p>
    <w:p>
      <w:pPr>
        <w:pStyle w:val="TextBody"/>
        <w:bidi w:val="0"/>
        <w:ind w:left="4680" w:right="0" w:hanging="0"/>
        <w:jc w:val="left"/>
        <w:rPr>
          <w:rFonts w:ascii="Times New Roman" w:hAnsi="Times New Roman"/>
          <w:sz w:val="20"/>
        </w:rPr>
      </w:pPr>
      <w:r>
        <w:rPr>
          <w:rFonts w:ascii="Times New Roman" w:hAnsi="Times New Roman"/>
          <w:color w:val="000000"/>
          <w:sz w:val="23"/>
        </w:rPr>
        <w:t xml:space="preserve">By: </w:t>
      </w:r>
      <w:r>
        <w:rPr>
          <w:rFonts w:ascii="Times New Roman" w:hAnsi="Times New Roman"/>
          <w:color w:val="000000"/>
          <w:sz w:val="23"/>
          <w:u w:val="single"/>
        </w:rPr>
        <w:br/>
      </w:r>
      <w:r>
        <w:rPr>
          <w:rFonts w:ascii="Times New Roman" w:hAnsi="Times New Roman"/>
          <w:color w:val="000000"/>
          <w:sz w:val="23"/>
        </w:rPr>
        <w:t xml:space="preserve">Name: </w:t>
        <w:b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WARRANT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Warrant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dated as of February 19, 2026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between Scilex Holding Company, a Delaware corporation with offices located at 960 San Antonio Road, Palo Alto, CA 94303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and Oramed Pharmaceuticals Inc. (the “</w:t>
      </w:r>
      <w:r>
        <w:rPr>
          <w:rFonts w:ascii="Times New Roman" w:hAnsi="Times New Roman"/>
          <w:b/>
          <w:color w:val="000000"/>
          <w:sz w:val="22"/>
        </w:rPr>
        <w:t>Holder</w:t>
      </w:r>
      <w:r>
        <w:rPr>
          <w:rFonts w:ascii="Times New Roman" w:hAnsi="Times New Roman"/>
          <w:color w:val="000000"/>
          <w:sz w:val="20"/>
        </w:rPr>
        <w:t>”</w:t>
      </w:r>
      <w:r>
        <w:rPr>
          <w:rFonts w:ascii="Times New Roman" w:hAnsi="Times New Roman"/>
          <w:color w:val="000000"/>
          <w:sz w:val="22"/>
        </w:rPr>
        <w:t>). Capitalized terms not defined herein shall have the meaning as set forth in the Warrant (as defined below).</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prior to the date hereof, the Company issued a Senior Secured Convertible Note (as amended, the “</w:t>
      </w:r>
      <w:r>
        <w:rPr>
          <w:rFonts w:ascii="Times New Roman" w:hAnsi="Times New Roman"/>
          <w:b/>
          <w:color w:val="000000"/>
          <w:sz w:val="22"/>
        </w:rPr>
        <w:t>Tranche B Note</w:t>
      </w:r>
      <w:r>
        <w:rPr>
          <w:rFonts w:ascii="Times New Roman" w:hAnsi="Times New Roman"/>
          <w:color w:val="000000"/>
          <w:sz w:val="20"/>
        </w:rPr>
        <w:t>”</w:t>
      </w:r>
      <w:r>
        <w:rPr>
          <w:rFonts w:ascii="Times New Roman" w:hAnsi="Times New Roman"/>
          <w:color w:val="000000"/>
          <w:sz w:val="22"/>
        </w:rPr>
        <w:t>) to the Holder pursuant to that certain Securities Purchase Agreement, dated as of October 7, 2024 (the “</w:t>
      </w:r>
      <w:r>
        <w:rPr>
          <w:rFonts w:ascii="Times New Roman" w:hAnsi="Times New Roman"/>
          <w:b/>
          <w:color w:val="000000"/>
          <w:sz w:val="22"/>
        </w:rPr>
        <w:t>October 2024 Securities Purchase Agreement</w:t>
      </w:r>
      <w:r>
        <w:rPr>
          <w:rFonts w:ascii="Times New Roman" w:hAnsi="Times New Roman"/>
          <w:color w:val="000000"/>
          <w:sz w:val="20"/>
        </w:rPr>
        <w:t>”</w:t>
      </w:r>
      <w:r>
        <w:rPr>
          <w:rFonts w:ascii="Times New Roman" w:hAnsi="Times New Roman"/>
          <w:color w:val="000000"/>
          <w:sz w:val="22"/>
        </w:rPr>
        <w:t>), by and among the Company and the investors party thereto (including the Holder); and</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pursuant to the amortization schedule included in the Tranche B Note, the Company was required to pay an amortization payment to the Holder on October 1, 2025 (the “</w:t>
      </w:r>
      <w:r>
        <w:rPr>
          <w:rFonts w:ascii="Times New Roman" w:hAnsi="Times New Roman"/>
          <w:b/>
          <w:color w:val="000000"/>
          <w:sz w:val="22"/>
        </w:rPr>
        <w:t>Amortization Payment</w:t>
      </w:r>
      <w:r>
        <w:rPr>
          <w:rFonts w:ascii="Times New Roman" w:hAnsi="Times New Roman"/>
          <w:color w:val="000000"/>
          <w:sz w:val="20"/>
        </w:rPr>
        <w:t>”</w:t>
      </w:r>
      <w:r>
        <w:rPr>
          <w:rFonts w:ascii="Times New Roman" w:hAnsi="Times New Roman"/>
          <w:color w:val="000000"/>
          <w:sz w:val="22"/>
        </w:rPr>
        <w:t>) and the Company and the Holder desired to defer such Amortization Payment until January 1, 2026</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Deferral</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contained in this Agreement, and for other good and valuable consideration the receipt and adequacy of which are hereby acknowledged, the Company and the Holder agree as follows:</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Issuance of Warrant</w:t>
      </w:r>
      <w:r>
        <w:rPr>
          <w:rFonts w:ascii="Times New Roman" w:hAnsi="Times New Roman"/>
          <w:color w:val="000000"/>
          <w:sz w:val="22"/>
        </w:rPr>
        <w:t>. In consideration of the Deferral and the mutual covenants, representations and warranties herein, the Company will issue to the Holder a Warrant (“</w:t>
      </w:r>
      <w:r>
        <w:rPr>
          <w:rFonts w:ascii="Times New Roman" w:hAnsi="Times New Roman"/>
          <w:b/>
          <w:color w:val="000000"/>
          <w:sz w:val="22"/>
        </w:rPr>
        <w:t>Warrant</w:t>
      </w:r>
      <w:r>
        <w:rPr>
          <w:rFonts w:ascii="Times New Roman" w:hAnsi="Times New Roman"/>
          <w:color w:val="000000"/>
          <w:sz w:val="20"/>
        </w:rPr>
        <w:t>”</w:t>
      </w:r>
      <w:r>
        <w:rPr>
          <w:rFonts w:ascii="Times New Roman" w:hAnsi="Times New Roman"/>
          <w:color w:val="000000"/>
          <w:sz w:val="22"/>
        </w:rPr>
        <w:t>) to purchase shares of common stock of the Company, par value $0.0001 per share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pursuant to Section 4(a)(2) of the Securities Act of 1933, as amended (the “</w:t>
      </w:r>
      <w:r>
        <w:rPr>
          <w:rFonts w:ascii="Times New Roman" w:hAnsi="Times New Roman"/>
          <w:b/>
          <w:color w:val="000000"/>
          <w:sz w:val="22"/>
        </w:rPr>
        <w:t>1933 Act</w:t>
      </w:r>
      <w:r>
        <w:rPr>
          <w:rFonts w:ascii="Times New Roman" w:hAnsi="Times New Roman"/>
          <w:color w:val="000000"/>
          <w:sz w:val="20"/>
        </w:rPr>
        <w:t>”</w:t>
      </w:r>
      <w:r>
        <w:rPr>
          <w:rFonts w:ascii="Times New Roman" w:hAnsi="Times New Roman"/>
          <w:color w:val="000000"/>
          <w:sz w:val="22"/>
        </w:rPr>
        <w:t>), and Rule 506(b) of Regulation D (“</w:t>
      </w:r>
      <w:r>
        <w:rPr>
          <w:rFonts w:ascii="Times New Roman" w:hAnsi="Times New Roman"/>
          <w:b/>
          <w:color w:val="000000"/>
          <w:sz w:val="22"/>
        </w:rPr>
        <w:t>Regulation D</w:t>
      </w:r>
      <w:r>
        <w:rPr>
          <w:rFonts w:ascii="Times New Roman" w:hAnsi="Times New Roman"/>
          <w:color w:val="000000"/>
          <w:sz w:val="20"/>
        </w:rPr>
        <w:t>”</w:t>
      </w:r>
      <w:r>
        <w:rPr>
          <w:rFonts w:ascii="Times New Roman" w:hAnsi="Times New Roman"/>
          <w:color w:val="000000"/>
          <w:sz w:val="22"/>
        </w:rPr>
        <w:t>) as promulgated by the United States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 under the 1933 Act, to purchase up to 100,000 shares of Common Stock (the “</w:t>
      </w:r>
      <w:r>
        <w:rPr>
          <w:rFonts w:ascii="Times New Roman" w:hAnsi="Times New Roman"/>
          <w:b/>
          <w:color w:val="000000"/>
          <w:sz w:val="22"/>
        </w:rPr>
        <w:t>Warrant Shares</w:t>
      </w:r>
      <w:r>
        <w:rPr>
          <w:rFonts w:ascii="Times New Roman" w:hAnsi="Times New Roman"/>
          <w:color w:val="000000"/>
          <w:sz w:val="20"/>
        </w:rPr>
        <w:t>”</w:t>
      </w:r>
      <w:r>
        <w:rPr>
          <w:rFonts w:ascii="Times New Roman" w:hAnsi="Times New Roman"/>
          <w:color w:val="000000"/>
          <w:sz w:val="22"/>
        </w:rPr>
        <w:t>, and together with the Warrant, the “</w:t>
      </w:r>
      <w:r>
        <w:rPr>
          <w:rFonts w:ascii="Times New Roman" w:hAnsi="Times New Roman"/>
          <w:b/>
          <w:color w:val="000000"/>
          <w:sz w:val="22"/>
        </w:rPr>
        <w:t>Securities</w:t>
      </w:r>
      <w:r>
        <w:rPr>
          <w:rFonts w:ascii="Times New Roman" w:hAnsi="Times New Roman"/>
          <w:color w:val="000000"/>
          <w:sz w:val="20"/>
        </w:rPr>
        <w:t>”</w:t>
      </w:r>
      <w:r>
        <w:rPr>
          <w:rFonts w:ascii="Times New Roman" w:hAnsi="Times New Roman"/>
          <w:color w:val="000000"/>
          <w:sz w:val="22"/>
        </w:rPr>
        <w:t xml:space="preserve">) at an exercise price of $20.00 per share (which Warrant will be in the form attached hereto as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Transaction</w:t>
      </w:r>
      <w:r>
        <w:rPr>
          <w:rFonts w:ascii="Times New Roman" w:hAnsi="Times New Roman"/>
          <w:color w:val="000000"/>
          <w:sz w:val="20"/>
        </w:rPr>
        <w:t>”</w:t>
      </w:r>
      <w:r>
        <w:rPr>
          <w:rFonts w:ascii="Times New Roman" w:hAnsi="Times New Roman"/>
          <w:color w:val="000000"/>
          <w:sz w:val="22"/>
        </w:rPr>
        <w:t>). The closing (the “</w:t>
      </w:r>
      <w:r>
        <w:rPr>
          <w:rFonts w:ascii="Times New Roman" w:hAnsi="Times New Roman"/>
          <w:b/>
          <w:color w:val="000000"/>
          <w:sz w:val="22"/>
        </w:rPr>
        <w:t>Closing</w:t>
      </w:r>
      <w:r>
        <w:rPr>
          <w:rFonts w:ascii="Times New Roman" w:hAnsi="Times New Roman"/>
          <w:color w:val="000000"/>
          <w:sz w:val="20"/>
        </w:rPr>
        <w:t>”</w:t>
      </w:r>
      <w:r>
        <w:rPr>
          <w:rFonts w:ascii="Times New Roman" w:hAnsi="Times New Roman"/>
          <w:color w:val="000000"/>
          <w:sz w:val="22"/>
        </w:rPr>
        <w:t>) of the Transaction shall take place by electronic exchange of executed documents. The date and time of the Closing (the “</w:t>
      </w:r>
      <w:r>
        <w:rPr>
          <w:rFonts w:ascii="Times New Roman" w:hAnsi="Times New Roman"/>
          <w:b/>
          <w:color w:val="000000"/>
          <w:sz w:val="22"/>
        </w:rPr>
        <w:t>Closing Date</w:t>
      </w:r>
      <w:r>
        <w:rPr>
          <w:rFonts w:ascii="Times New Roman" w:hAnsi="Times New Roman"/>
          <w:color w:val="000000"/>
          <w:sz w:val="20"/>
        </w:rPr>
        <w:t>”</w:t>
      </w:r>
      <w:r>
        <w:rPr>
          <w:rFonts w:ascii="Times New Roman" w:hAnsi="Times New Roman"/>
          <w:color w:val="000000"/>
          <w:sz w:val="22"/>
        </w:rPr>
        <w:t>) shall be on such date as is mutually agreed to by the Company and Holder. Effective as of October 1, 2025, the Holder hereby grants the Company the Deferral.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Representations, Warranties and Covenants</w:t>
      </w:r>
      <w:r>
        <w:rPr>
          <w:rFonts w:ascii="Times New Roman" w:hAnsi="Times New Roman"/>
          <w:color w:val="000000"/>
          <w:sz w:val="22"/>
        </w:rPr>
        <w:t xml:space="preserve">. The parties hereby make their respective representations and warranties set forth on </w:t>
      </w:r>
      <w:r>
        <w:rPr>
          <w:rFonts w:ascii="Times New Roman" w:hAnsi="Times New Roman"/>
          <w:color w:val="000000"/>
          <w:sz w:val="22"/>
          <w:u w:val="single"/>
        </w:rPr>
        <w:t>Annex 1</w:t>
      </w:r>
      <w:r>
        <w:rPr>
          <w:rFonts w:ascii="Times New Roman" w:hAnsi="Times New Roman"/>
          <w:color w:val="000000"/>
          <w:sz w:val="20"/>
        </w:rPr>
        <w:t xml:space="preserve"> </w:t>
      </w:r>
      <w:r>
        <w:rPr>
          <w:rFonts w:ascii="Times New Roman" w:hAnsi="Times New Roman"/>
          <w:color w:val="000000"/>
          <w:sz w:val="22"/>
        </w:rPr>
        <w:t xml:space="preserve">attached hereto. The parties hereby agree to the covenants set forth on </w:t>
      </w:r>
      <w:r>
        <w:rPr>
          <w:rFonts w:ascii="Times New Roman" w:hAnsi="Times New Roman"/>
          <w:color w:val="000000"/>
          <w:sz w:val="22"/>
          <w:u w:val="single"/>
        </w:rPr>
        <w:t>Annex 2</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Miscellaneous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Further Assurances</w:t>
      </w:r>
      <w:r>
        <w:rPr>
          <w:rFonts w:ascii="Times New Roman" w:hAnsi="Times New Roman"/>
          <w:color w:val="000000"/>
          <w:sz w:val="22"/>
        </w:rPr>
        <w:t>. Each party hereto shall promptly execute and deliver such further agreements and instruments, and take such further actions, as the other party may reasonably request in order to carry out the purpose and intent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Governing Law; Jurisdiction; Jury Trial</w:t>
      </w:r>
      <w:r>
        <w:rPr>
          <w:rFonts w:ascii="Times New Roman" w:hAnsi="Times New Roman"/>
          <w:color w:val="000000"/>
          <w:sz w:val="22"/>
        </w:rPr>
        <w:t>. This Agreement shall be governed by and construed and enforced in accordance with, and all questions concerning the construction, validity, interpretation and performance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waives personal service of process and consents to process being served in any such suit, action or proceeding by mailing a copy thereof to the Company at the address for such notices to it under this Agreement and agrees that such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service shall constitute good and sufficient service of process and notice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w:t>
      </w:r>
      <w:r>
        <w:rPr>
          <w:rFonts w:ascii="Times New Roman" w:hAnsi="Times New Roman"/>
          <w:b/>
          <w:color w:val="000000"/>
          <w:sz w:val="22"/>
        </w:rPr>
        <w:t>EACH PARTY HEREBY IRREVOCABLY WAIVES ANY RIGHT IT MAY HAVE TO, AND AGREES NOT TO REQUEST, A JURY TRIAL FOR THE ADJUDICATION OF ANY DISPUTE HEREUNDER OR IN CONNECTION WITH OR ARISING OUT OF THIS AGREEMENT OR ANY TRANSACTION CONTEMPLATED HEREBY.</w:t>
      </w:r>
      <w:r>
        <w:rPr>
          <w:rFonts w:ascii="Times New Roman" w:hAnsi="Times New Roman"/>
          <w:color w:val="000000"/>
          <w:sz w:val="20"/>
        </w:rPr>
        <w:t xml:space="preserve"> </w:t>
      </w:r>
      <w:r>
        <w:rPr>
          <w:rFonts w:ascii="Times New Roman" w:hAnsi="Times New Roman"/>
          <w:color w:val="000000"/>
          <w:sz w:val="22"/>
        </w:rPr>
        <w:t>The Company hereby agrees to pay all costs incurred by the Holder for any enforcement or other action related to this Agreement or any of the Transaction Documents (as defined below) or in connection with any bankruptcy, reorganization, receivership or other proceeding of the Company or any of its Subsidiaries (as defined below), including, without limitation, attorneys’ fees and disbursements.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Counterparts</w:t>
      </w:r>
      <w:r>
        <w:rPr>
          <w:rFonts w:ascii="Times New Roman" w:hAnsi="Times New Roman"/>
          <w:color w:val="000000"/>
          <w:sz w:val="22"/>
        </w:rPr>
        <w:t>. This Agreement may be executed in several counterparts, each of which shall be deemed an original, but all of which shall constitute one and the same instrument.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Successors and Assigns</w:t>
      </w:r>
      <w:r>
        <w:rPr>
          <w:rFonts w:ascii="Times New Roman" w:hAnsi="Times New Roman"/>
          <w:color w:val="000000"/>
          <w:sz w:val="22"/>
        </w:rPr>
        <w:t>. Except as otherwise provided herein, the terms and conditions of this Agreement shall inure to the benefit of and be binding upon the parties hereto and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Finder’s Fees</w:t>
      </w:r>
      <w:r>
        <w:rPr>
          <w:rFonts w:ascii="Times New Roman" w:hAnsi="Times New Roman"/>
          <w:color w:val="000000"/>
          <w:sz w:val="22"/>
        </w:rPr>
        <w:t>. Each party represents that it neither is nor will be obligated for any broker’s, placement agent’s, finder’s fee or commission in connection with this transaction. The Company shall indemnify and hold harmless the Holder from any liability for any such fee, commission or compensation (and the reasonable costs and expenses of defending against such liability or asserted liability) for which the Company or any of its officers, employees or representatives is responsible.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Notices</w:t>
      </w:r>
      <w:r>
        <w:rPr>
          <w:rFonts w:ascii="Times New Roman" w:hAnsi="Times New Roman"/>
          <w:color w:val="000000"/>
          <w:sz w:val="22"/>
        </w:rPr>
        <w:t>. Any notices, consents, waivers or other communications required or permitted to be given under the terms of this Agreement must be in writing and will be deemed to have been delivered: (i) upon receipt, when delivered personally; (ii) upon delivery, when sent electronically and kept on file by the sending party) or by electronic mail; or (iii) one Business Day after deposit with an overnight courier service, in each case properly addressed to the party to receive the same. The addresses and e-mail addresses for such communications shall be as set forth below or to such other address and/or e-mail address and/or to the attention of such other individual, a limited liability company, a partnership, a joint venture, a corporation, a trust, an unincorporated organization, any other entity and any governmental entity or any department or agency thereof (each, a “</w:t>
      </w:r>
      <w:r>
        <w:rPr>
          <w:rFonts w:ascii="Times New Roman" w:hAnsi="Times New Roman"/>
          <w:b/>
          <w:color w:val="000000"/>
          <w:sz w:val="22"/>
        </w:rPr>
        <w:t>Person</w:t>
      </w:r>
      <w:r>
        <w:rPr>
          <w:rFonts w:ascii="Times New Roman" w:hAnsi="Times New Roman"/>
          <w:color w:val="000000"/>
          <w:sz w:val="20"/>
        </w:rPr>
        <w:t>”</w:t>
      </w:r>
      <w:r>
        <w:rPr>
          <w:rFonts w:ascii="Times New Roman" w:hAnsi="Times New Roman"/>
          <w:color w:val="000000"/>
          <w:sz w:val="22"/>
        </w:rPr>
        <w:t>)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or receipt from an overnight courier service in accordance with clause (i), (ii) or (iii) above,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Company:</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960 San Antonio Rd.,</w:t>
      </w:r>
    </w:p>
    <w:p>
      <w:pPr>
        <w:pStyle w:val="TextBody"/>
        <w:bidi w:val="0"/>
        <w:jc w:val="both"/>
        <w:rPr>
          <w:rFonts w:ascii="Times New Roman" w:hAnsi="Times New Roman"/>
          <w:color w:val="000000"/>
          <w:sz w:val="22"/>
        </w:rPr>
      </w:pPr>
      <w:r>
        <w:rPr>
          <w:rFonts w:ascii="Times New Roman" w:hAnsi="Times New Roman"/>
          <w:color w:val="000000"/>
          <w:sz w:val="22"/>
        </w:rPr>
        <w:t>Palo Alto, CA 94303</w:t>
      </w:r>
    </w:p>
    <w:p>
      <w:pPr>
        <w:pStyle w:val="TextBody"/>
        <w:bidi w:val="0"/>
        <w:jc w:val="both"/>
        <w:rPr>
          <w:rFonts w:ascii="Times New Roman" w:hAnsi="Times New Roman"/>
          <w:color w:val="000000"/>
          <w:sz w:val="22"/>
        </w:rPr>
      </w:pPr>
      <w:r>
        <w:rPr>
          <w:rFonts w:ascii="Times New Roman" w:hAnsi="Times New Roman"/>
          <w:color w:val="000000"/>
          <w:sz w:val="22"/>
        </w:rPr>
        <w:t>Attention: Stephen Ma</w:t>
      </w:r>
    </w:p>
    <w:p>
      <w:pPr>
        <w:pStyle w:val="TextBody"/>
        <w:bidi w:val="0"/>
        <w:jc w:val="both"/>
        <w:rPr>
          <w:rFonts w:ascii="Times New Roman" w:hAnsi="Times New Roman"/>
          <w:color w:val="000000"/>
          <w:sz w:val="22"/>
        </w:rPr>
      </w:pPr>
      <w:r>
        <w:rPr>
          <w:rFonts w:ascii="Times New Roman" w:hAnsi="Times New Roman"/>
          <w:color w:val="000000"/>
          <w:sz w:val="22"/>
        </w:rPr>
        <w:t>Telephone: (650) 516-4310</w:t>
      </w:r>
    </w:p>
    <w:p>
      <w:pPr>
        <w:pStyle w:val="TextBody"/>
        <w:bidi w:val="0"/>
        <w:jc w:val="both"/>
        <w:rPr>
          <w:rFonts w:ascii="Times New Roman" w:hAnsi="Times New Roman"/>
          <w:color w:val="000000"/>
          <w:sz w:val="22"/>
        </w:rPr>
      </w:pPr>
      <w:r>
        <w:rPr>
          <w:rFonts w:ascii="Times New Roman" w:hAnsi="Times New Roman"/>
          <w:color w:val="000000"/>
          <w:sz w:val="22"/>
        </w:rPr>
        <w:t>Email: sma@scilexholding.com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jc w:val="both"/>
        <w:rPr>
          <w:rFonts w:ascii="Times New Roman" w:hAnsi="Times New Roman"/>
          <w:color w:val="000000"/>
          <w:sz w:val="22"/>
        </w:rPr>
      </w:pPr>
      <w:r>
        <w:rPr>
          <w:rFonts w:ascii="Times New Roman" w:hAnsi="Times New Roman"/>
          <w:color w:val="000000"/>
          <w:sz w:val="22"/>
        </w:rPr>
        <w:t>Paul Hastings LLP</w:t>
      </w:r>
    </w:p>
    <w:p>
      <w:pPr>
        <w:pStyle w:val="TextBody"/>
        <w:bidi w:val="0"/>
        <w:jc w:val="both"/>
        <w:rPr>
          <w:rFonts w:ascii="Times New Roman" w:hAnsi="Times New Roman"/>
          <w:color w:val="000000"/>
          <w:sz w:val="22"/>
        </w:rPr>
      </w:pPr>
      <w:r>
        <w:rPr>
          <w:rFonts w:ascii="Times New Roman" w:hAnsi="Times New Roman"/>
          <w:color w:val="000000"/>
          <w:sz w:val="22"/>
        </w:rPr>
        <w:t>1117 S. California Avenue</w:t>
      </w:r>
    </w:p>
    <w:p>
      <w:pPr>
        <w:pStyle w:val="TextBody"/>
        <w:bidi w:val="0"/>
        <w:jc w:val="both"/>
        <w:rPr>
          <w:rFonts w:ascii="Times New Roman" w:hAnsi="Times New Roman"/>
          <w:color w:val="000000"/>
          <w:sz w:val="22"/>
        </w:rPr>
      </w:pPr>
      <w:r>
        <w:rPr>
          <w:rFonts w:ascii="Times New Roman" w:hAnsi="Times New Roman"/>
          <w:color w:val="000000"/>
          <w:sz w:val="22"/>
        </w:rPr>
        <w:t>Palo Alto, CA 94304</w:t>
      </w:r>
    </w:p>
    <w:p>
      <w:pPr>
        <w:pStyle w:val="TextBody"/>
        <w:bidi w:val="0"/>
        <w:jc w:val="both"/>
        <w:rPr>
          <w:rFonts w:ascii="Times New Roman" w:hAnsi="Times New Roman"/>
          <w:color w:val="000000"/>
          <w:sz w:val="22"/>
        </w:rPr>
      </w:pPr>
      <w:r>
        <w:rPr>
          <w:rFonts w:ascii="Times New Roman" w:hAnsi="Times New Roman"/>
          <w:color w:val="000000"/>
          <w:sz w:val="22"/>
        </w:rPr>
        <w:t>Attention: Elizabeth Razzano</w:t>
      </w:r>
    </w:p>
    <w:p>
      <w:pPr>
        <w:pStyle w:val="TextBody"/>
        <w:bidi w:val="0"/>
        <w:jc w:val="both"/>
        <w:rPr>
          <w:rFonts w:ascii="Times New Roman" w:hAnsi="Times New Roman"/>
          <w:color w:val="000000"/>
          <w:sz w:val="22"/>
        </w:rPr>
      </w:pPr>
      <w:r>
        <w:rPr>
          <w:rFonts w:ascii="Times New Roman" w:hAnsi="Times New Roman"/>
          <w:color w:val="000000"/>
          <w:sz w:val="22"/>
        </w:rPr>
        <w:t>Telephone: (650) 320-1895</w:t>
      </w:r>
    </w:p>
    <w:p>
      <w:pPr>
        <w:pStyle w:val="TextBody"/>
        <w:bidi w:val="0"/>
        <w:jc w:val="both"/>
        <w:rPr>
          <w:rFonts w:ascii="Times New Roman" w:hAnsi="Times New Roman"/>
          <w:color w:val="000000"/>
          <w:sz w:val="22"/>
        </w:rPr>
      </w:pPr>
      <w:r>
        <w:rPr>
          <w:rFonts w:ascii="Times New Roman" w:hAnsi="Times New Roman"/>
          <w:color w:val="000000"/>
          <w:sz w:val="22"/>
        </w:rPr>
        <w:t>E-mail: elizabethrazzano@paulhastings.com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Holder:</w:t>
      </w:r>
    </w:p>
    <w:p>
      <w:pPr>
        <w:pStyle w:val="TextBody"/>
        <w:bidi w:val="0"/>
        <w:jc w:val="both"/>
        <w:rPr>
          <w:rFonts w:ascii="Times New Roman" w:hAnsi="Times New Roman"/>
          <w:color w:val="000000"/>
          <w:sz w:val="22"/>
        </w:rPr>
      </w:pPr>
      <w:r>
        <w:rPr>
          <w:rFonts w:ascii="Times New Roman" w:hAnsi="Times New Roman"/>
          <w:color w:val="000000"/>
          <w:sz w:val="22"/>
        </w:rPr>
        <w:t>Oramed Pharmaceuticals Inc.</w:t>
      </w:r>
    </w:p>
    <w:p>
      <w:pPr>
        <w:pStyle w:val="TextBody"/>
        <w:bidi w:val="0"/>
        <w:jc w:val="both"/>
        <w:rPr>
          <w:rFonts w:ascii="Times New Roman" w:hAnsi="Times New Roman"/>
          <w:color w:val="000000"/>
          <w:sz w:val="22"/>
        </w:rPr>
      </w:pPr>
      <w:r>
        <w:rPr>
          <w:rFonts w:ascii="Times New Roman" w:hAnsi="Times New Roman"/>
          <w:color w:val="000000"/>
          <w:sz w:val="22"/>
        </w:rPr>
        <w:t>1185 Avenue of the Americas</w:t>
      </w:r>
    </w:p>
    <w:p>
      <w:pPr>
        <w:pStyle w:val="TextBody"/>
        <w:bidi w:val="0"/>
        <w:jc w:val="both"/>
        <w:rPr>
          <w:rFonts w:ascii="Times New Roman" w:hAnsi="Times New Roman"/>
          <w:color w:val="000000"/>
          <w:sz w:val="22"/>
        </w:rPr>
      </w:pPr>
      <w:r>
        <w:rPr>
          <w:rFonts w:ascii="Times New Roman" w:hAnsi="Times New Roman"/>
          <w:color w:val="000000"/>
          <w:sz w:val="22"/>
        </w:rPr>
        <w:t>New York, NY 10036</w:t>
      </w:r>
    </w:p>
    <w:p>
      <w:pPr>
        <w:pStyle w:val="TextBody"/>
        <w:bidi w:val="0"/>
        <w:jc w:val="both"/>
        <w:rPr>
          <w:rFonts w:ascii="Times New Roman" w:hAnsi="Times New Roman"/>
          <w:color w:val="000000"/>
          <w:sz w:val="22"/>
        </w:rPr>
      </w:pPr>
      <w:r>
        <w:rPr>
          <w:rFonts w:ascii="Times New Roman" w:hAnsi="Times New Roman"/>
          <w:color w:val="000000"/>
          <w:sz w:val="22"/>
        </w:rPr>
        <w:t>Attention: Nadav Kidron; Avi Gabay</w:t>
      </w:r>
    </w:p>
    <w:p>
      <w:pPr>
        <w:pStyle w:val="TextBody"/>
        <w:bidi w:val="0"/>
        <w:jc w:val="both"/>
        <w:rPr>
          <w:rFonts w:ascii="Times New Roman" w:hAnsi="Times New Roman"/>
          <w:sz w:val="20"/>
        </w:rPr>
      </w:pPr>
      <w:r>
        <w:rPr>
          <w:rFonts w:ascii="Times New Roman" w:hAnsi="Times New Roman"/>
          <w:color w:val="000000"/>
          <w:sz w:val="22"/>
        </w:rPr>
        <w:t xml:space="preserve">E-mail: </w:t>
      </w:r>
      <w:r>
        <w:rPr>
          <w:rFonts w:ascii="Times New Roman" w:hAnsi="Times New Roman"/>
          <w:sz w:val="22"/>
        </w:rPr>
        <w:t>nadav@oramed.com</w:t>
      </w:r>
      <w:r>
        <w:rPr>
          <w:rFonts w:ascii="Times New Roman" w:hAnsi="Times New Roman"/>
          <w:color w:val="000000"/>
          <w:sz w:val="22"/>
        </w:rPr>
        <w:t>; avi@oramed.com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copy to (which shall not constitute notice):</w:t>
      </w:r>
    </w:p>
    <w:p>
      <w:pPr>
        <w:pStyle w:val="TextBody"/>
        <w:bidi w:val="0"/>
        <w:jc w:val="both"/>
        <w:rPr>
          <w:rFonts w:ascii="Times New Roman" w:hAnsi="Times New Roman"/>
          <w:sz w:val="20"/>
        </w:rPr>
      </w:pPr>
      <w:r>
        <w:rPr>
          <w:rFonts w:ascii="Times New Roman" w:hAnsi="Times New Roman"/>
          <w:color w:val="000000"/>
          <w:sz w:val="22"/>
        </w:rPr>
        <w:t>Proskauer Rose LLP</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Eleven Times Square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New York, NY 10036</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Attention: Grant R. Darwin; Ehud Barak; Philip A. Kaminski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gdarwin@proskauer.com; ebarak@proskauer.com; pkaminski@proskauer.com;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Amendments and Waivers</w:t>
      </w:r>
      <w:r>
        <w:rPr>
          <w:rFonts w:ascii="Times New Roman" w:hAnsi="Times New Roman"/>
          <w:color w:val="000000"/>
          <w:sz w:val="22"/>
        </w:rPr>
        <w:t>. Any term of this Agreement may be amended and the observance of any term of this Agreement may be waived (either generally or in a particular instance and either retroactively or prospectively), only with the written consent of the Company and the Holder.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Severability</w:t>
      </w:r>
      <w:r>
        <w:rPr>
          <w:rFonts w:ascii="Times New Roman" w:hAnsi="Times New Roman"/>
          <w:color w:val="000000"/>
          <w:sz w:val="22"/>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Interpretation</w:t>
      </w:r>
      <w:r>
        <w:rPr>
          <w:rFonts w:ascii="Times New Roman" w:hAnsi="Times New Roman"/>
          <w:color w:val="000000"/>
          <w:sz w:val="22"/>
        </w:rPr>
        <w:t>. Unless the context of this Agreement clearly requires otherwise, (i) references to the plural include the singular, the singular the plural, the part the whole, (ii) references to any gender include all genders, (iii) “including” has the inclusive meaning frequently identified with the phrase “but not limited to” and (iv) references to “hereunder” or “herein” relate to this Agreement.</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No Third-Party Beneficiaries</w:t>
      </w:r>
      <w:r>
        <w:rPr>
          <w:rFonts w:ascii="Times New Roman" w:hAnsi="Times New Roman"/>
          <w:color w:val="000000"/>
          <w:sz w:val="22"/>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No Strict Construction; Survival</w:t>
      </w:r>
      <w:r>
        <w:rPr>
          <w:rFonts w:ascii="Times New Roman" w:hAnsi="Times New Roman"/>
          <w:color w:val="000000"/>
          <w:sz w:val="22"/>
        </w:rPr>
        <w:t>. The language used in this Agreement will be deemed to be the language chosen by the parties to express their mutual intent, and no rules of strict construction will be applied against any party. The representations, warranties, agreements and covenants shall survive the Closing.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Equal Treatment Acknowledgement; Most Favored Nations</w:t>
      </w:r>
      <w:r>
        <w:rPr>
          <w:rFonts w:ascii="Times New Roman" w:hAnsi="Times New Roman"/>
          <w:color w:val="000000"/>
          <w:sz w:val="22"/>
        </w:rPr>
        <w:t>. The Company hereby represents and warrants as of the date hereof and covenants and agrees that, during the period commencing on the date hereof until the six month anniversary of the date hereof, none of the terms offered to any Person with respect to any warrant issued by the Company to any other Person, including, without limitation with respect to any consent, approval, release, amendment, modification, settlement, transfer, exchange, or waiver relating to the Transaction or any other warrant (each an “</w:t>
      </w:r>
      <w:r>
        <w:rPr>
          <w:rFonts w:ascii="Times New Roman" w:hAnsi="Times New Roman"/>
          <w:b/>
          <w:color w:val="000000"/>
          <w:sz w:val="22"/>
        </w:rPr>
        <w:t>Settlement Document</w:t>
      </w:r>
      <w:r>
        <w:rPr>
          <w:rFonts w:ascii="Times New Roman" w:hAnsi="Times New Roman"/>
          <w:color w:val="000000"/>
          <w:sz w:val="20"/>
        </w:rPr>
        <w:t>”</w:t>
      </w:r>
      <w:r>
        <w:rPr>
          <w:rFonts w:ascii="Times New Roman" w:hAnsi="Times New Roman"/>
          <w:color w:val="000000"/>
          <w:sz w:val="22"/>
        </w:rPr>
        <w:t>), is or will be more favorable to such Person (other than the reimbursement of legal fees) than those of the Holder and this Agreement. If, and whenever on or after the date hereof, the Company enters into a Settlement Document, then the Company shall provide written notice of such Settlement Document and its key terms to the Holder and the terms and conditions of this Agreement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Settlement Document, provided that upon written notice to the Company at any time the Holder may elect not to accept the benefit of any such amended or modified term or condition, in which event the term or condition contained in this Agreement shall apply to the Holder as it was in effect immediately prior to such amendment or modification as if such amendment or modification never occurred with respect to the Holder. The provisions of this Section 3(l) shall apply similarly and equally to each Settlement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Tranche B Note</w:t>
      </w:r>
      <w:r>
        <w:rPr>
          <w:rFonts w:ascii="Times New Roman" w:hAnsi="Times New Roman"/>
          <w:color w:val="000000"/>
          <w:sz w:val="22"/>
        </w:rPr>
        <w:t>. For avoidance of doubt, (i) neither the execution, delivery and effectiveness of this Agreement nor the consummation of any of the transactions contemplated hereunder constitutes or operates as a waiver of any of the Holder’s rights or remedies under the Tranche B Note or any of the other Transaction Documents (as defined in the October 2024 Securities Purchase Agreement), nor constitutes a waiver of any provision of the Transaction Documents and (ii) neither the Collateral Agent or the Holder has waived, is by this Agreement waiving or has any intention of waiving any Event of Default (as defined in the Tranche B Note) which may be continuing on the date hereof or any Events of Default which may occur after the date hereof (whether the same or similar to any existing Events of Default or otherwise), and neither the Collateral Agent nor the Holder has agreed to forbear with respect to any of their rights or remedies concerning any Event of Default occurring at any time.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xml:space="preserve">[The remainder of the page is intentionally left blank]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Holder and the Company have caused their respective signature page to this Agreement to be duly executed as of the date first written above.</w:t>
      </w:r>
    </w:p>
    <w:p>
      <w:pPr>
        <w:pStyle w:val="TextBody"/>
        <w:bidi w:val="0"/>
        <w:spacing w:before="0" w:after="200"/>
        <w:jc w:val="left"/>
        <w:rPr/>
      </w:pPr>
      <w:r>
        <w:rPr/>
        <w:t> </w:t>
      </w:r>
    </w:p>
    <w:tbl>
      <w:tblPr>
        <w:tblW w:w="4764" w:type="dxa"/>
        <w:jc w:val="left"/>
        <w:tblInd w:w="0" w:type="dxa"/>
        <w:tblLayout w:type="fixed"/>
        <w:tblCellMar>
          <w:top w:w="28" w:type="dxa"/>
          <w:left w:w="28" w:type="dxa"/>
          <w:bottom w:w="28" w:type="dxa"/>
          <w:right w:w="28" w:type="dxa"/>
        </w:tblCellMar>
      </w:tblPr>
      <w:tblGrid>
        <w:gridCol w:w="4764"/>
      </w:tblGrid>
      <w:tr>
        <w:trPr/>
        <w:tc>
          <w:tcPr>
            <w:tcW w:w="4764" w:type="dxa"/>
            <w:tcBorders/>
            <w:vAlign w:val="center"/>
          </w:tcPr>
          <w:p>
            <w:pPr>
              <w:pStyle w:val="TableContents"/>
              <w:bidi w:val="0"/>
              <w:spacing w:before="0" w:after="283"/>
              <w:jc w:val="left"/>
              <w:rPr>
                <w:sz w:val="4"/>
                <w:szCs w:val="4"/>
              </w:rPr>
            </w:pPr>
            <w:r>
              <w:rPr>
                <w:sz w:val="4"/>
                <w:szCs w:val="4"/>
              </w:rPr>
            </w:r>
          </w:p>
        </w:tc>
      </w:tr>
      <w:tr>
        <w:trPr/>
        <w:tc>
          <w:tcPr>
            <w:tcW w:w="4764" w:type="dxa"/>
            <w:tcBorders/>
            <w:tcMar>
              <w:top w:w="0" w:type="dxa"/>
              <w:left w:w="0" w:type="dxa"/>
              <w:bottom w:w="0" w:type="dxa"/>
              <w:right w:w="0" w:type="dxa"/>
            </w:tcMar>
            <w:vAlign w:val="center"/>
          </w:tcPr>
          <w:p>
            <w:pPr>
              <w:pStyle w:val="TableContents"/>
              <w:bidi w:val="0"/>
              <w:spacing w:before="0" w:after="200"/>
              <w:ind w:left="0" w:right="0" w:firstLine="518"/>
              <w:jc w:val="left"/>
              <w:rPr>
                <w:rFonts w:ascii="Times New Roman" w:hAnsi="Times New Roman"/>
                <w:b/>
                <w:color w:val="000000"/>
                <w:sz w:val="22"/>
              </w:rPr>
            </w:pPr>
            <w:r>
              <w:rPr>
                <w:rFonts w:ascii="Times New Roman" w:hAnsi="Times New Roman"/>
                <w:b/>
                <w:color w:val="000000"/>
                <w:sz w:val="22"/>
              </w:rPr>
              <w:t>COMPANY:</w:t>
            </w:r>
          </w:p>
        </w:tc>
      </w:tr>
      <w:tr>
        <w:trPr/>
        <w:tc>
          <w:tcPr>
            <w:tcW w:w="4764" w:type="dxa"/>
            <w:tcBorders/>
            <w:tcMar>
              <w:top w:w="0" w:type="dxa"/>
              <w:left w:w="0" w:type="dxa"/>
              <w:bottom w:w="0" w:type="dxa"/>
              <w:right w:w="0" w:type="dxa"/>
            </w:tcMar>
            <w:vAlign w:val="center"/>
          </w:tcPr>
          <w:p>
            <w:pPr>
              <w:pStyle w:val="TableContents"/>
              <w:bidi w:val="0"/>
              <w:spacing w:before="0" w:after="200"/>
              <w:ind w:left="0" w:right="0" w:firstLine="518"/>
              <w:jc w:val="left"/>
              <w:rPr>
                <w:rFonts w:ascii="Times New Roman" w:hAnsi="Times New Roman"/>
                <w:b/>
                <w:color w:val="000000"/>
                <w:sz w:val="22"/>
              </w:rPr>
            </w:pPr>
            <w:r>
              <w:rPr>
                <w:rFonts w:ascii="Times New Roman" w:hAnsi="Times New Roman"/>
                <w:b/>
                <w:color w:val="000000"/>
                <w:sz w:val="22"/>
              </w:rPr>
              <w:t>SCILEX HOLDING COMPANY</w:t>
            </w:r>
          </w:p>
          <w:p>
            <w:pPr>
              <w:pStyle w:val="TableContents"/>
              <w:bidi w:val="0"/>
              <w:spacing w:before="0" w:after="200"/>
              <w:ind w:left="0" w:right="0" w:firstLine="518"/>
              <w:jc w:val="left"/>
              <w:rPr/>
            </w:pPr>
            <w:r>
              <w:rPr/>
              <w:t> </w:t>
            </w:r>
          </w:p>
          <w:p>
            <w:pPr>
              <w:pStyle w:val="TableContents"/>
              <w:bidi w:val="0"/>
              <w:spacing w:before="0" w:after="200"/>
              <w:ind w:left="0" w:right="0" w:firstLine="518"/>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 /s/ Henry Ji </w:t>
              <w:br/>
            </w:r>
            <w:r>
              <w:rPr>
                <w:rFonts w:ascii="Times New Roman" w:hAnsi="Times New Roman"/>
                <w:color w:val="000000"/>
                <w:sz w:val="22"/>
              </w:rPr>
              <w:t>Name: Henry Ji</w:t>
              <w:br/>
              <w:t>Title: Chief Executive Officer and President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Warrant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Holder and the Company have caused their respective signature page to this Agreement to be duly executed as of the date first written above.</w:t>
      </w:r>
    </w:p>
    <w:p>
      <w:pPr>
        <w:pStyle w:val="TextBody"/>
        <w:bidi w:val="0"/>
        <w:spacing w:before="0" w:after="200"/>
        <w:jc w:val="left"/>
        <w:rPr/>
      </w:pPr>
      <w:r>
        <w:rPr/>
        <w:t> </w:t>
      </w:r>
    </w:p>
    <w:tbl>
      <w:tblPr>
        <w:tblW w:w="4287" w:type="dxa"/>
        <w:jc w:val="left"/>
        <w:tblInd w:w="0" w:type="dxa"/>
        <w:tblLayout w:type="fixed"/>
        <w:tblCellMar>
          <w:top w:w="28" w:type="dxa"/>
          <w:left w:w="28" w:type="dxa"/>
          <w:bottom w:w="28" w:type="dxa"/>
          <w:right w:w="28" w:type="dxa"/>
        </w:tblCellMar>
      </w:tblPr>
      <w:tblGrid>
        <w:gridCol w:w="161"/>
        <w:gridCol w:w="4126"/>
      </w:tblGrid>
      <w:tr>
        <w:trPr/>
        <w:tc>
          <w:tcPr>
            <w:tcW w:w="161"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00"/>
              <w:jc w:val="left"/>
              <w:rPr/>
            </w:pPr>
            <w:r>
              <w:rPr/>
              <w:t> </w:t>
            </w:r>
          </w:p>
        </w:tc>
        <w:tc>
          <w:tcPr>
            <w:tcW w:w="412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b/>
                <w:color w:val="000000"/>
                <w:sz w:val="22"/>
              </w:rPr>
            </w:pPr>
            <w:r>
              <w:rPr>
                <w:rFonts w:ascii="Times New Roman" w:hAnsi="Times New Roman"/>
                <w:b/>
                <w:color w:val="000000"/>
                <w:sz w:val="22"/>
              </w:rPr>
              <w:t>HOLDER:</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41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aps/>
                <w:color w:val="000000"/>
                <w:sz w:val="22"/>
              </w:rPr>
            </w:pPr>
            <w:r>
              <w:rPr>
                <w:rFonts w:ascii="Times New Roman" w:hAnsi="Times New Roman"/>
                <w:b/>
                <w:caps/>
                <w:color w:val="000000"/>
                <w:sz w:val="22"/>
              </w:rPr>
              <w:t>ORAMED PHARMACEUTICALS INC.</w:t>
            </w:r>
          </w:p>
          <w:p>
            <w:pPr>
              <w:pStyle w:val="TableContents"/>
              <w:bidi w:val="0"/>
              <w:spacing w:before="0" w:after="200"/>
              <w:jc w:val="left"/>
              <w:rPr/>
            </w:pPr>
            <w:r>
              <w:rPr/>
              <w:t> </w:t>
            </w:r>
          </w:p>
          <w:p>
            <w:pPr>
              <w:pStyle w:val="TableContents"/>
              <w:bidi w:val="0"/>
              <w:spacing w:before="0" w:after="20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 /s/ Avraham Gabay </w:t>
              <w:br/>
            </w:r>
            <w:r>
              <w:rPr>
                <w:rFonts w:ascii="Times New Roman" w:hAnsi="Times New Roman"/>
                <w:color w:val="000000"/>
                <w:sz w:val="22"/>
              </w:rPr>
              <w:t>Name: Avraham Gabay</w:t>
              <w:br/>
              <w:t>Title: Chief Financial Officer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Warrant Agreement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Annex 1</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Representations and Warranties</w:t>
      </w:r>
    </w:p>
    <w:tbl>
      <w:tblPr>
        <w:tblW w:w="10205" w:type="dxa"/>
        <w:jc w:val="left"/>
        <w:tblInd w:w="0" w:type="dxa"/>
        <w:tblLayout w:type="fixed"/>
        <w:tblCellMar>
          <w:top w:w="28" w:type="dxa"/>
          <w:left w:w="28" w:type="dxa"/>
          <w:bottom w:w="28" w:type="dxa"/>
          <w:right w:w="28" w:type="dxa"/>
        </w:tblCellMar>
      </w:tblPr>
      <w:tblGrid>
        <w:gridCol w:w="282"/>
        <w:gridCol w:w="9923"/>
      </w:tblGrid>
      <w:tr>
        <w:trPr/>
        <w:tc>
          <w:tcPr>
            <w:tcW w:w="282" w:type="dxa"/>
            <w:tcBorders/>
            <w:vAlign w:val="center"/>
          </w:tcPr>
          <w:p>
            <w:pPr>
              <w:pStyle w:val="TableContents"/>
              <w:bidi w:val="0"/>
              <w:spacing w:before="0" w:after="283"/>
              <w:jc w:val="left"/>
              <w:rPr>
                <w:sz w:val="4"/>
                <w:szCs w:val="4"/>
              </w:rPr>
            </w:pPr>
            <w:r>
              <w:rPr>
                <w:sz w:val="4"/>
                <w:szCs w:val="4"/>
              </w:rPr>
            </w:r>
          </w:p>
        </w:tc>
        <w:tc>
          <w:tcPr>
            <w:tcW w:w="9923" w:type="dxa"/>
            <w:tcBorders/>
            <w:vAlign w:val="center"/>
          </w:tcPr>
          <w:p>
            <w:pPr>
              <w:pStyle w:val="TableContents"/>
              <w:bidi w:val="0"/>
              <w:spacing w:before="0" w:after="283"/>
              <w:jc w:val="left"/>
              <w:rPr>
                <w:sz w:val="4"/>
                <w:szCs w:val="4"/>
              </w:rPr>
            </w:pPr>
            <w:r>
              <w:rPr>
                <w:sz w:val="4"/>
                <w:szCs w:val="4"/>
              </w:rPr>
            </w:r>
          </w:p>
        </w:tc>
      </w:tr>
      <w:tr>
        <w:trPr/>
        <w:tc>
          <w:tcPr>
            <w:tcW w:w="28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1.</w:t>
            </w:r>
          </w:p>
        </w:tc>
        <w:tc>
          <w:tcPr>
            <w:tcW w:w="992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u w:val="single"/>
              </w:rPr>
              <w:t>Representations and Warranties of the Company.</w:t>
            </w:r>
            <w:r>
              <w:rPr>
                <w:rFonts w:ascii="Times New Roman" w:hAnsi="Times New Roman"/>
                <w:color w:val="000000"/>
                <w:sz w:val="22"/>
              </w:rPr>
              <w:t> The Company hereby represents and warrants to the Holder as of the Effective Date as follows:</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Organization and Qualification</w:t>
      </w:r>
      <w:r>
        <w:rPr>
          <w:rFonts w:ascii="Times New Roman" w:hAnsi="Times New Roman"/>
          <w:color w:val="000000"/>
          <w:sz w:val="22"/>
        </w:rPr>
        <w:t>. Each of the Company and each of its Subsidiaries (as defined below)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hAnsi="Times New Roman"/>
          <w:b/>
          <w:color w:val="000000"/>
          <w:sz w:val="22"/>
        </w:rPr>
        <w:t>Material Adverse Effect</w:t>
      </w:r>
      <w:r>
        <w:rPr>
          <w:color w:val="000000"/>
        </w:rPr>
        <w:t xml:space="preserve">” </w:t>
      </w:r>
      <w:r>
        <w:rPr>
          <w:rFonts w:ascii="Times New Roman" w:hAnsi="Times New Roman"/>
          <w:color w:val="000000"/>
          <w:sz w:val="22"/>
        </w:rPr>
        <w:t>means any material adverse effect on (i) the business, properties, assets, liabilities, operations (including results thereof), condition (financial or otherwise) or prospects of the Company or any Subsidiary,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Other than as set forth in the SEC Documents (as defined below) the Company has no significant Subsidiaries. “</w:t>
      </w:r>
      <w:r>
        <w:rPr>
          <w:rFonts w:ascii="Times New Roman" w:hAnsi="Times New Roman"/>
          <w:b/>
          <w:color w:val="000000"/>
          <w:sz w:val="22"/>
        </w:rPr>
        <w:t>Subsidiaries</w:t>
      </w:r>
      <w:r>
        <w:rPr>
          <w:color w:val="000000"/>
        </w:rPr>
        <w:t xml:space="preserve">” </w:t>
      </w:r>
      <w:r>
        <w:rPr>
          <w:rFonts w:ascii="Times New Roman" w:hAnsi="Times New Roman"/>
          <w:color w:val="000000"/>
          <w:sz w:val="22"/>
        </w:rPr>
        <w:t>means one or more entities of which any of the capital stock or share capital or other equity or voting securities are Controlled (as defined below) or owned, directly or indirectly, by the respective Person, and each of the foregoing, is individually referred to herein as a “</w:t>
      </w:r>
      <w:r>
        <w:rPr>
          <w:rFonts w:ascii="Times New Roman" w:hAnsi="Times New Roman"/>
          <w:b/>
          <w:color w:val="000000"/>
          <w:sz w:val="22"/>
        </w:rPr>
        <w:t>Subsidiary</w:t>
      </w:r>
      <w:r>
        <w:rPr>
          <w:color w:val="000000"/>
        </w:rPr>
        <w:t>”</w:t>
      </w:r>
      <w:r>
        <w:rPr>
          <w:rFonts w:ascii="Times New Roman" w:hAnsi="Times New Roman"/>
          <w:color w:val="000000"/>
          <w:sz w:val="22"/>
        </w:rPr>
        <w:t>. “</w:t>
      </w:r>
      <w:r>
        <w:rPr>
          <w:rFonts w:ascii="Times New Roman" w:hAnsi="Times New Roman"/>
          <w:b/>
          <w:color w:val="000000"/>
          <w:sz w:val="22"/>
        </w:rPr>
        <w:t>Control</w:t>
      </w:r>
      <w:r>
        <w:rPr>
          <w:color w:val="000000"/>
        </w:rPr>
        <w:t xml:space="preserve">” </w:t>
      </w:r>
      <w:r>
        <w:rPr>
          <w:rFonts w:ascii="Times New Roman" w:hAnsi="Times New Roman"/>
          <w:color w:val="000000"/>
          <w:sz w:val="22"/>
        </w:rPr>
        <w:t>means the possession, directly or indirectly, of the power to direct or cause the direction of the management and policies of a Person, whether through the ownership of voting securities, by contract or otherwise; and the terms “Controlled” and “Controlling” shall have the meaning correlative to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Authorization and Binding Obligation</w:t>
      </w:r>
      <w:r>
        <w:rPr>
          <w:rFonts w:ascii="Times New Roman" w:hAnsi="Times New Roman"/>
          <w:color w:val="000000"/>
          <w:sz w:val="22"/>
        </w:rPr>
        <w:t>. The Company has the requisite power and authority to enter into and perform its obligations under this Agreement, the Warrant and each of the other agreements and certificates entered into by the parties hereto in connection with the transactions contemplated by this Agreement (collectively, the “</w:t>
      </w:r>
      <w:r>
        <w:rPr>
          <w:rFonts w:ascii="Times New Roman" w:hAnsi="Times New Roman"/>
          <w:b/>
          <w:color w:val="000000"/>
          <w:sz w:val="22"/>
        </w:rPr>
        <w:t>Transaction Documents</w:t>
      </w:r>
      <w:r>
        <w:rPr>
          <w:color w:val="000000"/>
        </w:rPr>
        <w:t>”</w:t>
      </w:r>
      <w:r>
        <w:rPr>
          <w:rFonts w:ascii="Times New Roman" w:hAnsi="Times New Roman"/>
          <w:color w:val="000000"/>
          <w:sz w:val="22"/>
        </w:rPr>
        <w:t>), to consummate the transactions contemplated hereby and thereby and to issue and deliver the Securities in accordance with the terms hereof and thereof. The execution and delivery of the Transaction Documents by the Company and the consummation by the Company of the transactions contemplated hereby and thereby, including, without limitation, the Transaction, have been duly authorized by the board of directors of the Company, and, other than the filing with the SEC of a Form D and any other filings as may be required by any state securities agencies, and the notice and/or application(s) to the Principal Market (as defined below) for the issuance and sale of the Securities and the listing of the Warrant Shares for trading thereon in the time and manner required thereby (collectively, the “</w:t>
      </w:r>
      <w:r>
        <w:rPr>
          <w:rFonts w:ascii="Times New Roman" w:hAnsi="Times New Roman"/>
          <w:b/>
          <w:color w:val="000000"/>
          <w:sz w:val="22"/>
        </w:rPr>
        <w:t>Required Approvals</w:t>
      </w:r>
      <w:r>
        <w:rPr>
          <w:color w:val="000000"/>
        </w:rPr>
        <w:t>”</w:t>
      </w:r>
      <w:r>
        <w:rPr>
          <w:rFonts w:ascii="Times New Roman" w:hAnsi="Times New Roman"/>
          <w:color w:val="000000"/>
          <w:sz w:val="22"/>
        </w:rPr>
        <w:t>), no further filing, consent or authorization is required by the Company, its Subsidiaries, their respective boards of directors or their stockholders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pStyle w:val="TextBody"/>
        <w:bidi w:val="0"/>
        <w:jc w:val="center"/>
        <w:rPr>
          <w:rFonts w:ascii="Times New Roman" w:hAnsi="Times New Roman"/>
          <w:color w:val="000000"/>
          <w:sz w:val="24"/>
        </w:rPr>
      </w:pPr>
      <w:r>
        <w:rPr>
          <w:rFonts w:ascii="Times New Roman" w:hAnsi="Times New Roman"/>
          <w:color w:val="000000"/>
          <w:sz w:val="24"/>
        </w:rPr>
        <w:t>Annex 1 - 1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 Conflicts</w:t>
      </w:r>
      <w:r>
        <w:rPr>
          <w:rFonts w:ascii="Times New Roman" w:hAnsi="Times New Roman"/>
          <w:color w:val="000000"/>
          <w:sz w:val="22"/>
        </w:rPr>
        <w:t xml:space="preserve">. The execution, delivery and performance of the Transaction Documents by the Company and the consummation by the Company of the transactions contemplated hereby and thereby (including, without limitation, the issuance of the Securities and the reservation for issuance of the Warrant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or (ii) result in a violation of any law, rule, regulation, order, judgment or decree (including, without limitation, foreign, federal and state securities laws and regulations and the rules and regulations of the Nasdaq Global Market (the </w:t>
      </w:r>
      <w:r>
        <w:rPr>
          <w:color w:val="000000"/>
        </w:rPr>
        <w:t>“</w:t>
      </w:r>
      <w:r>
        <w:rPr>
          <w:rFonts w:ascii="Times New Roman" w:hAnsi="Times New Roman"/>
          <w:b/>
          <w:color w:val="000000"/>
          <w:sz w:val="22"/>
        </w:rPr>
        <w:t>Principal Market</w:t>
      </w:r>
      <w:r>
        <w:rPr>
          <w:color w:val="000000"/>
        </w:rPr>
        <w:t>”</w:t>
      </w:r>
      <w:r>
        <w:rPr>
          <w:rFonts w:ascii="Times New Roman" w:hAnsi="Times New Roman"/>
          <w:color w:val="000000"/>
          <w:sz w:val="22"/>
        </w:rPr>
        <w:t>) and including all applicable foreign, federal and state laws, rules and regulations) applicable to the Company or any of its Subsidiaries or by which any property or asset of the Company or any of its Subsidiaries is bound or affected; except in the case of clause (ii), such as would not have or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Consents</w:t>
      </w:r>
      <w:r>
        <w:rPr>
          <w:rFonts w:ascii="Times New Roman" w:hAnsi="Times New Roman"/>
          <w:color w:val="000000"/>
          <w:sz w:val="22"/>
        </w:rPr>
        <w:t xml:space="preserve">. Neither the Company nor any Subsidiary is required to obtain any consent from, authorization or order of, or make any filing or registration with (other than the Required Approvals) any Governmental Entity (as defined in the October 2024 Securities Purchase Agreement) or any regulatory or self-regulatory agency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No Integration</w:t>
      </w:r>
      <w:r>
        <w:rPr>
          <w:rFonts w:ascii="Times New Roman" w:hAnsi="Times New Roman"/>
          <w:color w:val="000000"/>
          <w:sz w:val="22"/>
        </w:rPr>
        <w:t xml:space="preserve">. None of the Company, its Subsidiaries, any of their affiliates, or any Person acting on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shareholder approval provisions, including, without limitation, under the rules and regulations of any exchange or automated quotation system on which any of the securities of the Company are listed or designated. None of the Company, its Subsidiaries, their affiliates or any Person acting on their behalf will take any action or steps referred to in the preceding sentence that would require registration of any of the Securities under the 1933 Act or cause the offering of the Securities to be integrated with other offerings.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Securities Law Exemptions</w:t>
      </w:r>
      <w:r>
        <w:rPr>
          <w:rFonts w:ascii="Times New Roman" w:hAnsi="Times New Roman"/>
          <w:color w:val="000000"/>
          <w:sz w:val="22"/>
        </w:rPr>
        <w:t xml:space="preserve">. Assuming the accuracy of the representations and warranties of the Holder contained herein, the offer, sale and issuance by the Company of the Securities is exempt from registration under the 1933 Act and all applicable state securities laws. The offer, sale and issuance of the Securities is exempt from registration under the 1933 Act pursuant to the exemption provided by Section 4(a)(2) of the 1933 Act and Regulation D promulgated under the 1933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Issuance of Securities</w:t>
      </w:r>
      <w:r>
        <w:rPr>
          <w:rFonts w:ascii="Times New Roman" w:hAnsi="Times New Roman"/>
          <w:color w:val="000000"/>
          <w:sz w:val="22"/>
        </w:rPr>
        <w:t>. The issuance of the Warrant has been duly authorized and upon issuance is in accordance with the terms of the Transaction Documents and shall be validly issued, fully paid and non-assessable and free from all Liens (as defined below) and shall be the binding obligation of the Company. Upon issuance or conversion in accordance with the Warrant, the Warrant Shares, when issued, will be validly issued, fully paid and nonassessable and free from all Liens with respect to the issue thereof, with the holders being entitled to all rights accorded to a holder of shares of Common Stock. As used herein, “</w:t>
      </w:r>
      <w:r>
        <w:rPr>
          <w:rFonts w:ascii="Times New Roman" w:hAnsi="Times New Roman"/>
          <w:b/>
          <w:color w:val="000000"/>
          <w:sz w:val="22"/>
        </w:rPr>
        <w:t>Liens</w:t>
      </w:r>
      <w:r>
        <w:rPr>
          <w:color w:val="000000"/>
        </w:rPr>
        <w:t xml:space="preserve">” </w:t>
      </w:r>
      <w:r>
        <w:rPr>
          <w:rFonts w:ascii="Times New Roman" w:hAnsi="Times New Roman"/>
          <w:color w:val="000000"/>
          <w:sz w:val="22"/>
        </w:rPr>
        <w:t xml:space="preserve">shall mean any security or other property interest or right, claim, lien, pledge, option, </w:t>
      </w:r>
    </w:p>
    <w:p>
      <w:pPr>
        <w:pStyle w:val="TextBody"/>
        <w:bidi w:val="0"/>
        <w:jc w:val="center"/>
        <w:rPr>
          <w:rFonts w:ascii="Times New Roman" w:hAnsi="Times New Roman"/>
          <w:color w:val="000000"/>
          <w:sz w:val="24"/>
        </w:rPr>
      </w:pPr>
      <w:r>
        <w:rPr>
          <w:rFonts w:ascii="Times New Roman" w:hAnsi="Times New Roman"/>
          <w:color w:val="000000"/>
          <w:sz w:val="24"/>
        </w:rPr>
        <w:t>Annex 1 - 2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charge, security interest, contingent or conditional sale, or other title claim or retention agreement, interest or other right or claim of third parties, whether perfected or not perfected, voluntarily incurred or arising by operation of law, and including any agreement to grant or submit to any of the foregoing in the future.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Equity Capitalization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Definitions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color w:val="000000"/>
        </w:rPr>
        <w:t>“</w:t>
      </w:r>
      <w:r>
        <w:rPr>
          <w:rFonts w:ascii="Times New Roman" w:hAnsi="Times New Roman"/>
          <w:b/>
          <w:color w:val="000000"/>
          <w:sz w:val="22"/>
        </w:rPr>
        <w:t>Common Stock</w:t>
      </w:r>
      <w:r>
        <w:rPr>
          <w:color w:val="000000"/>
        </w:rPr>
        <w:t xml:space="preserve">” </w:t>
      </w:r>
      <w:r>
        <w:rPr>
          <w:rFonts w:ascii="Times New Roman" w:hAnsi="Times New Roman"/>
          <w:color w:val="000000"/>
          <w:sz w:val="22"/>
        </w:rPr>
        <w:t xml:space="preserve">means (x) the Company’s shares of common stock, $0.0001 par value per share, and (y) any capital stock into which such common stock shall have been changed or any share capital resulting from a reclassification of such common stock.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color w:val="000000"/>
        </w:rPr>
        <w:t>“</w:t>
      </w:r>
      <w:r>
        <w:rPr>
          <w:rFonts w:ascii="Times New Roman" w:hAnsi="Times New Roman"/>
          <w:b/>
          <w:color w:val="000000"/>
          <w:sz w:val="22"/>
        </w:rPr>
        <w:t>Preferred Stock</w:t>
      </w:r>
      <w:r>
        <w:rPr>
          <w:color w:val="000000"/>
        </w:rPr>
        <w:t xml:space="preserve">” </w:t>
      </w:r>
      <w:r>
        <w:rPr>
          <w:rFonts w:ascii="Times New Roman" w:hAnsi="Times New Roman"/>
          <w:color w:val="000000"/>
          <w:sz w:val="22"/>
        </w:rPr>
        <w:t xml:space="preserve">means the Company’s preferred stock, $0.0001 par value per share, the terms of which have been and may be designated by the board of directors of the Company in a certificate of designations.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Authorized and Outstanding Capital Stock</w:t>
      </w:r>
      <w:r>
        <w:rPr>
          <w:rFonts w:ascii="Times New Roman" w:hAnsi="Times New Roman"/>
          <w:color w:val="000000"/>
          <w:sz w:val="22"/>
        </w:rPr>
        <w:t>. As of the date hereof, the authorized capital stock of the Company consists of (A) 740,000,000 shares of Common Stock, of which 8,491,267 shares are issued and outstanding and 13,238,853 shares are currently issuable pursuant to Common Stock Equivalents (as defined below) (other than the Securities) exercisable or exchangeable for, or convertible into, (B) 45,000,000 shares of Preferred Stock, 29,057,097 of which are issued and outstanding and have been designated as Series A Preferred Stock. Except as set forth in the SEC Documents, no shares of Common Stock are held in the treasury of the Company. “</w:t>
      </w:r>
      <w:r>
        <w:rPr>
          <w:rFonts w:ascii="Times New Roman" w:hAnsi="Times New Roman"/>
          <w:b/>
          <w:color w:val="000000"/>
          <w:sz w:val="22"/>
        </w:rPr>
        <w:t>Common Stock Equivalents</w:t>
      </w:r>
      <w:r>
        <w:rPr>
          <w:color w:val="000000"/>
        </w:rPr>
        <w:t xml:space="preserve">” </w:t>
      </w:r>
      <w:r>
        <w:rPr>
          <w:rFonts w:ascii="Times New Roman" w:hAnsi="Times New Roman"/>
          <w:color w:val="000000"/>
          <w:sz w:val="22"/>
        </w:rPr>
        <w:t>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u w:val="single"/>
        </w:rPr>
        <w:t>Valid Issuance; Available Shares; Affiliates</w:t>
      </w:r>
      <w:r>
        <w:rPr>
          <w:rFonts w:ascii="Times New Roman" w:hAnsi="Times New Roman"/>
          <w:color w:val="000000"/>
          <w:sz w:val="22"/>
        </w:rPr>
        <w:t xml:space="preserve">. All of such outstanding shares are duly authorized and have been, or upon issuance will be, validly issued and are fully paid and nonassessable. Except as set forth in the SEC Documents, to the knowledge of the Company, no Person owns 10% or more of the Company’s issued and outstanding shares of Common Stock (calculated based on the assumption that all Common Stock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u w:val="single"/>
        </w:rPr>
        <w:t>Existing Securities; Obligations</w:t>
      </w:r>
      <w:r>
        <w:rPr>
          <w:rFonts w:ascii="Times New Roman" w:hAnsi="Times New Roman"/>
          <w:color w:val="000000"/>
          <w:sz w:val="22"/>
        </w:rPr>
        <w:t xml:space="preserve">.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w:t>
      </w:r>
    </w:p>
    <w:p>
      <w:pPr>
        <w:pStyle w:val="TextBody"/>
        <w:bidi w:val="0"/>
        <w:jc w:val="center"/>
        <w:rPr>
          <w:rFonts w:ascii="Times New Roman" w:hAnsi="Times New Roman"/>
          <w:color w:val="000000"/>
          <w:sz w:val="24"/>
        </w:rPr>
      </w:pPr>
      <w:r>
        <w:rPr>
          <w:rFonts w:ascii="Times New Roman" w:hAnsi="Times New Roman"/>
          <w:color w:val="000000"/>
          <w:sz w:val="24"/>
        </w:rPr>
        <w:t>Annex 1 - 3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u w:val="single"/>
        </w:rPr>
        <w:t>Organizational Documents</w:t>
      </w:r>
      <w:r>
        <w:rPr>
          <w:rFonts w:ascii="Times New Roman" w:hAnsi="Times New Roman"/>
          <w:color w:val="000000"/>
          <w:sz w:val="22"/>
        </w:rPr>
        <w:t>. The Company has furnished to the Holder, or publicly filed with the SEC, true, correct and complete copies of the Company’s Certificate of Incorporation, as amended and as in effect on the date hereof (the “</w:t>
      </w:r>
      <w:r>
        <w:rPr>
          <w:rFonts w:ascii="Times New Roman" w:hAnsi="Times New Roman"/>
          <w:b/>
          <w:color w:val="000000"/>
          <w:sz w:val="22"/>
        </w:rPr>
        <w:t>Certificate</w:t>
      </w:r>
      <w:r>
        <w:rPr>
          <w:color w:val="000000"/>
        </w:rPr>
        <w:t xml:space="preserve"> </w:t>
      </w:r>
      <w:r>
        <w:rPr>
          <w:rFonts w:ascii="Times New Roman" w:hAnsi="Times New Roman"/>
          <w:b/>
          <w:color w:val="000000"/>
          <w:sz w:val="22"/>
        </w:rPr>
        <w:t>of Incorporation</w:t>
      </w:r>
      <w:r>
        <w:rPr>
          <w:color w:val="000000"/>
        </w:rPr>
        <w:t>”</w:t>
      </w:r>
      <w:r>
        <w:rPr>
          <w:rFonts w:ascii="Times New Roman" w:hAnsi="Times New Roman"/>
          <w:color w:val="000000"/>
          <w:sz w:val="22"/>
        </w:rPr>
        <w:t>), and the Company’s Bylaws, as amended and as in effect on the date hereof (the “</w:t>
      </w:r>
      <w:r>
        <w:rPr>
          <w:rFonts w:ascii="Times New Roman" w:hAnsi="Times New Roman"/>
          <w:b/>
          <w:color w:val="000000"/>
          <w:sz w:val="22"/>
        </w:rPr>
        <w:t>Bylaws</w:t>
      </w:r>
      <w:r>
        <w:rPr>
          <w:color w:val="000000"/>
        </w:rPr>
        <w:t>”</w:t>
      </w:r>
      <w:r>
        <w:rPr>
          <w:rFonts w:ascii="Times New Roman" w:hAnsi="Times New Roman"/>
          <w:color w:val="000000"/>
          <w:sz w:val="22"/>
        </w:rPr>
        <w:t xml:space="preserve">), and the terms of all Common Stock Equivalents and the material rights of the holders thereof in respect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Transfer Taxes</w:t>
      </w:r>
      <w:r>
        <w:rPr>
          <w:rFonts w:ascii="Times New Roman" w:hAnsi="Times New Roman"/>
          <w:color w:val="000000"/>
          <w:sz w:val="22"/>
        </w:rPr>
        <w:t>. On the Effective Date, all share transfer or other taxes (other than income or similar taxes) which are required to be paid in connection with the issuance of the Securities to be issued to the Holder hereunder will be, or will have been, fully paid or provided for by the Company, and all laws imposing such taxes will be or will have been complied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SEC Documents; Financial Statements</w:t>
      </w:r>
      <w:r>
        <w:rPr>
          <w:rFonts w:ascii="Times New Roman" w:hAnsi="Times New Roman"/>
          <w:color w:val="000000"/>
          <w:sz w:val="22"/>
        </w:rPr>
        <w:t xml:space="preserve">. Except as previously disclosed in the Company’s public filings with the SEC,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w:t>
      </w:r>
      <w:bookmarkStart w:id="10" w:name="docxtextref7"/>
      <w:bookmarkEnd w:id="10"/>
      <w:r>
        <w:rPr>
          <w:rFonts w:ascii="Times New Roman" w:hAnsi="Times New Roman"/>
          <w:color w:val="000000"/>
          <w:sz w:val="22"/>
        </w:rPr>
        <w:t>schedules</w:t>
      </w:r>
      <w:r>
        <w:rPr>
          <w:color w:val="000000"/>
        </w:rPr>
        <w:t xml:space="preserve"> </w:t>
      </w:r>
      <w:r>
        <w:rPr>
          <w:rFonts w:ascii="Times New Roman" w:hAnsi="Times New Roman"/>
          <w:color w:val="000000"/>
          <w:sz w:val="22"/>
        </w:rPr>
        <w:t>thereto and documents incorporated by reference therein being hereinafter referred to as the “</w:t>
      </w:r>
      <w:r>
        <w:rPr>
          <w:rFonts w:ascii="Times New Roman" w:hAnsi="Times New Roman"/>
          <w:b/>
          <w:color w:val="000000"/>
          <w:sz w:val="22"/>
        </w:rPr>
        <w:t>SEC Documents</w:t>
      </w:r>
      <w:r>
        <w:rPr>
          <w:color w:val="000000"/>
        </w:rPr>
        <w:t>”</w:t>
      </w:r>
      <w:r>
        <w:rPr>
          <w:rFonts w:ascii="Times New Roman" w:hAnsi="Times New Roman"/>
          <w:color w:val="000000"/>
          <w:sz w:val="22"/>
        </w:rPr>
        <w:t>). The Company has delivered or has made available to the Holder or its representatives true, correct and complete copies of each of the SEC Documents requested by the Holder and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hAnsi="Times New Roman"/>
          <w:b/>
          <w:color w:val="000000"/>
          <w:sz w:val="22"/>
        </w:rPr>
        <w:t>GAAP</w:t>
      </w:r>
      <w:r>
        <w:rPr>
          <w:color w:val="000000"/>
        </w:rPr>
        <w:t>”</w:t>
      </w:r>
      <w:r>
        <w:rPr>
          <w:rFonts w:ascii="Times New Roman" w:hAnsi="Times New Roman"/>
          <w:color w:val="000000"/>
          <w:sz w:val="22"/>
        </w:rPr>
        <w:t xml:space="preserve">),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the Holder which is not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Annex 1 - 4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hAnsi="Times New Roman"/>
          <w:b/>
          <w:color w:val="000000"/>
          <w:sz w:val="22"/>
        </w:rPr>
        <w:t>Financial Statements</w:t>
      </w:r>
      <w:r>
        <w:rPr>
          <w:color w:val="000000"/>
        </w:rPr>
        <w:t>”</w:t>
      </w:r>
      <w:r>
        <w:rPr>
          <w:rFonts w:ascii="Times New Roman" w:hAnsi="Times New Roman"/>
          <w:color w:val="000000"/>
          <w:sz w:val="22"/>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Investment Company Status</w:t>
      </w:r>
      <w:r>
        <w:rPr>
          <w:rFonts w:ascii="Times New Roman" w:hAnsi="Times New Roman"/>
          <w:color w:val="000000"/>
          <w:sz w:val="22"/>
        </w:rPr>
        <w:t xml:space="preserve">. The Company is not, and upon consummation of the Transaction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Disclosure</w:t>
      </w:r>
      <w:r>
        <w:rPr>
          <w:rFonts w:ascii="Times New Roman" w:hAnsi="Times New Roman"/>
          <w:color w:val="000000"/>
          <w:sz w:val="22"/>
        </w:rPr>
        <w:t>. Other than as set forth in the 8-K Filing (as defined below), the Company confirms that neither it nor any other Person acting on its behalf has provided the Holder or its agents or counsel with any information that constitutes or could reasonably be expected to constitute material, nonpublic information. The Company understands and confirms that the Holder will rely on the foregoing representations in effecting transactions in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No General Solicitation</w:t>
      </w:r>
      <w:r>
        <w:rPr>
          <w:rFonts w:ascii="Times New Roman" w:hAnsi="Times New Roman"/>
          <w:color w:val="000000"/>
          <w:sz w:val="22"/>
        </w:rPr>
        <w:t>. Neither the Company nor any person acting on behalf of the Company has offered or issued any of the Warrant or Warrant Shares by any form of general solicitation or general advertising. The Company has offered the Warrant and Warrant Shares only to the Holder.</w:t>
      </w:r>
    </w:p>
    <w:tbl>
      <w:tblPr>
        <w:tblW w:w="10205" w:type="dxa"/>
        <w:jc w:val="left"/>
        <w:tblInd w:w="0" w:type="dxa"/>
        <w:tblLayout w:type="fixed"/>
        <w:tblCellMar>
          <w:top w:w="28" w:type="dxa"/>
          <w:left w:w="28" w:type="dxa"/>
          <w:bottom w:w="28" w:type="dxa"/>
          <w:right w:w="28" w:type="dxa"/>
        </w:tblCellMar>
      </w:tblPr>
      <w:tblGrid>
        <w:gridCol w:w="161"/>
        <w:gridCol w:w="267"/>
        <w:gridCol w:w="9777"/>
      </w:tblGrid>
      <w:tr>
        <w:trPr/>
        <w:tc>
          <w:tcPr>
            <w:tcW w:w="1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26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2.</w:t>
            </w:r>
          </w:p>
        </w:tc>
        <w:tc>
          <w:tcPr>
            <w:tcW w:w="9777"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u w:val="single"/>
              </w:rPr>
              <w:t>Representations and Warranties of the Holder</w:t>
            </w:r>
            <w:r>
              <w:rPr>
                <w:rFonts w:ascii="Times New Roman" w:hAnsi="Times New Roman"/>
                <w:color w:val="000000"/>
                <w:sz w:val="22"/>
              </w:rPr>
              <w:t>. The Holder hereby represents and warrants to the Company as of the Effective Date as follows:</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Authority; Enforceability</w:t>
      </w:r>
      <w:r>
        <w:rPr>
          <w:rFonts w:ascii="Times New Roman" w:hAnsi="Times New Roman"/>
          <w:color w:val="000000"/>
          <w:sz w:val="22"/>
        </w:rPr>
        <w:t xml:space="preserve">. The Holder is an entity duly organized, validly existing and in good standing under the laws of the jurisdiction of its organization. The Holder has all requisite power and authority to enter into and to perform its obligations under the Transaction Documents, to consummate the transactions contemplated hereby and thereby. The execution, delivery and performance of this Agreement by the Holder and the consummation by it of the transactions contemplated hereby have been duly authorized by the Holder and no further consent or authorization of the Holder is required. This Agreement has been duly executed and delivered by the Holder and constitutes a legal, valid and binding obligation of the Holder enforceable against the Holder in accordance with its terms, except as enforceability may be limited by applicable bankruptcy, insolvency, reorganization, or moratorium or similar laws affecting creditors’ and contracting parties’ rights generally and except as enforceability may be subject to general principles of equity.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No Conflict</w:t>
      </w:r>
      <w:r>
        <w:rPr>
          <w:rFonts w:ascii="Times New Roman" w:hAnsi="Times New Roman"/>
          <w:color w:val="000000"/>
          <w:sz w:val="22"/>
        </w:rPr>
        <w:t xml:space="preserve">. The execution, delivery and performance of this Agreement by the Holder and the consummation by the Holder of the transactions contemplated hereby will not (i) conflict with or result in a violation of any provision of its organizational documents, (ii) violate or conflict with, or result in a breach of any provision of, or constitute a default under, or give rise to any right of termination or acceleration under, or constitute a change of control under, any agreement, indenture, or instrument to which the Holder or its subsidiaries is a party or it or any of its subsidiaries is bound, or (iii) result in a violation of any law, rule, regulation, order, judgment or decree applicable to the Holder or its subsidiaries is a party or it or any of its subsidiaries is bound, except in the case of clauses (ii) and (iii) only, for such </w:t>
      </w:r>
    </w:p>
    <w:p>
      <w:pPr>
        <w:pStyle w:val="TextBody"/>
        <w:bidi w:val="0"/>
        <w:jc w:val="center"/>
        <w:rPr>
          <w:rFonts w:ascii="Times New Roman" w:hAnsi="Times New Roman"/>
          <w:color w:val="000000"/>
          <w:sz w:val="24"/>
        </w:rPr>
      </w:pPr>
      <w:r>
        <w:rPr>
          <w:rFonts w:ascii="Times New Roman" w:hAnsi="Times New Roman"/>
          <w:color w:val="000000"/>
          <w:sz w:val="24"/>
        </w:rPr>
        <w:t>Annex 1 - 5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conflicts, breaches, defaults, and violations as would not reasonably be expected to have, individually or in the aggregate, a material adverse effect on the ability of the Holder to perform any material obligations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 Public Sale of Distribution</w:t>
      </w:r>
      <w:r>
        <w:rPr>
          <w:rFonts w:ascii="Times New Roman" w:hAnsi="Times New Roman"/>
          <w:color w:val="000000"/>
          <w:sz w:val="22"/>
        </w:rPr>
        <w:t xml:space="preserve">. The Holder understands that the Warrant is a “restricted security” and has not been registered under the 1933 Act or any applicable state securities law and the Holder is acquiring the Warrant as principal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the Holder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The Holder does not presently have any agreement or understanding, directly or indirectly, with any Person to distribute any of the Securities in violation of applicable securities laws. The Holder has no present intent to effect a “change of control” of the Company as such term is understood under the rules promulgated pursuant to Section 13(d) of the Exchange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Accredited Investor Status</w:t>
      </w:r>
      <w:r>
        <w:rPr>
          <w:rFonts w:ascii="Times New Roman" w:hAnsi="Times New Roman"/>
          <w:color w:val="000000"/>
          <w:sz w:val="22"/>
        </w:rPr>
        <w:t>. The Holder is (a) either an “accredited investor” as that term is defined in Rule 501(a) of Regulation D or a “qualified institutional buyer” as defined in Rule 144A(a) under the 1933 Act, (b) an “Institutional Account” as defined in FINRA Rule 4512(c) and (c) a sophisticated institutional investor, experienced in investing in private equity transactions and capable of evaluating investment risks independently, both in general and with regard to all transactions and investment strategies involving a security or securities, including the Holder’s participation in the transactions contemplated by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Reliance on Exemptions</w:t>
      </w:r>
      <w:r>
        <w:rPr>
          <w:rFonts w:ascii="Times New Roman" w:hAnsi="Times New Roman"/>
          <w:color w:val="000000"/>
          <w:sz w:val="22"/>
        </w:rPr>
        <w:t>. The Holder understands that the Securities are being offered and issued to it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in order to determine the availability of such exemptions and the eligibility of the Holder to acquire the Securities. The Holder further acknowledges and understands that the Securities may not be resold or otherwise transferred except in a transaction registered under the 1933 Act or unless an exemption from such registration is available.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Information</w:t>
      </w:r>
      <w:r>
        <w:rPr>
          <w:rFonts w:ascii="Times New Roman" w:hAnsi="Times New Roman"/>
          <w:color w:val="000000"/>
          <w:sz w:val="22"/>
        </w:rPr>
        <w:t xml:space="preserve">. The Holder and its advisors, if any, have been furnished with all materials relating to the business, finances and operations of the Company and materials relating to the offer and sale of the Securities that have been requested by the Holder and that are sufficient to enable the Holder to evaluate its investment. The Holder and its advisors, if any, have been afforded the opportunity to ask questions of the Company regarding its investment and have been provided access to information about the Company and its financial condition, results of operations, business, properties, management and prospects sufficient to enable it to evaluate its investment. Neither such inquiries nor any other due diligence investigations conducted by the Holder or its advisors, if any, or its representatives shall modify, amend or affect the Holder’s right to rely on the Company’s representations and warranties contained herein. The Holder understands that its investment in the Securities involves a high degree of risk. The Holder has sought such accounting, legal and tax advice as it has considered necessary to make an informed investment decision with respect to its acquisition of the Securities. The Holder acknowledges and agrees that the Company does not make and has not made any representations or warranties with respect to the transactions contemplated hereby other than those specifically set forth in Section 1 of this Annex 1.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Transfer or Resale</w:t>
      </w:r>
      <w:r>
        <w:rPr>
          <w:rFonts w:ascii="Times New Roman" w:hAnsi="Times New Roman"/>
          <w:color w:val="000000"/>
          <w:sz w:val="22"/>
        </w:rPr>
        <w:t xml:space="preserve">. The Holder understands that: (i) the Securities have not been and are not being registered under the 1933 Act or any state securities laws, and may not be offered for </w:t>
      </w:r>
    </w:p>
    <w:p>
      <w:pPr>
        <w:pStyle w:val="TextBody"/>
        <w:bidi w:val="0"/>
        <w:jc w:val="center"/>
        <w:rPr>
          <w:rFonts w:ascii="Times New Roman" w:hAnsi="Times New Roman"/>
          <w:color w:val="000000"/>
          <w:sz w:val="24"/>
        </w:rPr>
      </w:pPr>
      <w:r>
        <w:rPr>
          <w:rFonts w:ascii="Times New Roman" w:hAnsi="Times New Roman"/>
          <w:color w:val="000000"/>
          <w:sz w:val="24"/>
        </w:rPr>
        <w:t>Annex 1 - 6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sale, sold, assigned or transferred unless (A) subsequently registered thereunder, or (B) the Holder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the Holder provides the Company with reasonable assurance that such Securities can be sold, assigned or transferred pursuant to Rule 144 or Rule 144A promulgated under the 1933 Act (or a successor rule thereto) (collectively, “</w:t>
      </w:r>
      <w:r>
        <w:rPr>
          <w:rFonts w:ascii="Times New Roman" w:hAnsi="Times New Roman"/>
          <w:b/>
          <w:color w:val="000000"/>
          <w:sz w:val="22"/>
        </w:rPr>
        <w:t>Rule 144</w:t>
      </w:r>
      <w:r>
        <w:rPr>
          <w:color w:val="000000"/>
        </w:rPr>
        <w:t>”</w:t>
      </w:r>
      <w:r>
        <w:rPr>
          <w:rFonts w:ascii="Times New Roman" w:hAnsi="Times New Roman"/>
          <w:color w:val="000000"/>
          <w:sz w:val="22"/>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except as provided for in this Agreement, neither the Company nor any other Person is under any obligation to register the Warrant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including, without limitation, this Section 2(g) in connection with effecting such pledge.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No Governmental Review</w:t>
      </w:r>
      <w:r>
        <w:rPr>
          <w:rFonts w:ascii="Times New Roman" w:hAnsi="Times New Roman"/>
          <w:color w:val="000000"/>
          <w:sz w:val="22"/>
        </w:rPr>
        <w:t>. The Holder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jc w:val="center"/>
        <w:rPr>
          <w:rFonts w:ascii="Times New Roman" w:hAnsi="Times New Roman"/>
          <w:color w:val="000000"/>
          <w:sz w:val="24"/>
        </w:rPr>
      </w:pPr>
      <w:r>
        <w:rPr>
          <w:rFonts w:ascii="Times New Roman" w:hAnsi="Times New Roman"/>
          <w:color w:val="000000"/>
          <w:sz w:val="24"/>
        </w:rPr>
        <w:t>Annex 1 - 7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Annex 2</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Additional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Blue Sky</w:t>
      </w:r>
      <w:r>
        <w:rPr>
          <w:rFonts w:ascii="Times New Roman" w:hAnsi="Times New Roman"/>
          <w:color w:val="000000"/>
          <w:sz w:val="22"/>
        </w:rPr>
        <w:t>. The Company shall, on or before the Effective Date, take such action as the Company shall reasonably determine is necessary in order to obtain an exemption for, or to, qualify the Securities for issuance to the Holder pursuant to this Agreement under applicable securities or “Blue Sky” laws of the states of the United States (or to obtain an exemption from such qualification), and shall provide evidence of any such action so taken to the Holder on or prior to the Effective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Reporting Status</w:t>
      </w:r>
      <w:r>
        <w:rPr>
          <w:rFonts w:ascii="Times New Roman" w:hAnsi="Times New Roman"/>
          <w:color w:val="000000"/>
          <w:sz w:val="22"/>
        </w:rPr>
        <w:t>. Until the date on which the Holder shall have sold all of the Warrant Shares (the “</w:t>
      </w:r>
      <w:r>
        <w:rPr>
          <w:rFonts w:ascii="Times New Roman" w:hAnsi="Times New Roman"/>
          <w:b/>
          <w:color w:val="000000"/>
          <w:sz w:val="22"/>
        </w:rPr>
        <w:t>Reporting Period</w:t>
      </w:r>
      <w:r>
        <w:rPr>
          <w:color w:val="000000"/>
        </w:rPr>
        <w:t>”</w:t>
      </w:r>
      <w:r>
        <w:rPr>
          <w:rFonts w:ascii="Times New Roman" w:hAnsi="Times New Roman"/>
          <w:color w:val="000000"/>
          <w:sz w:val="22"/>
        </w:rPr>
        <w:t>), the Company shall timely file all reports required to be filed with the SEC pursuant to the Securities Exchange Act of 1934, as amended (the “</w:t>
      </w:r>
      <w:r>
        <w:rPr>
          <w:rFonts w:ascii="Times New Roman" w:hAnsi="Times New Roman"/>
          <w:b/>
          <w:color w:val="000000"/>
          <w:sz w:val="22"/>
        </w:rPr>
        <w:t>Exchange Act</w:t>
      </w:r>
      <w:r>
        <w:rPr>
          <w:color w:val="000000"/>
        </w:rPr>
        <w:t>”</w:t>
      </w:r>
      <w:r>
        <w:rPr>
          <w:rFonts w:ascii="Times New Roman" w:hAnsi="Times New Roman"/>
          <w:color w:val="000000"/>
          <w:sz w:val="22"/>
        </w:rPr>
        <w:t xml:space="preserve">), and, other than as a result of a Fundamental Transaction (as defined in the Warrant) the Company shall not terminate its status as an issuer required to file reports under the Exchange Act even if the Exchange Act or the rules and regulations thereunder would no longer require or otherwise permit such termination.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Financial Information</w:t>
      </w:r>
      <w:r>
        <w:rPr>
          <w:rFonts w:ascii="Times New Roman" w:hAnsi="Times New Roman"/>
          <w:color w:val="000000"/>
          <w:sz w:val="22"/>
        </w:rPr>
        <w:t>. The Company agrees to send the following to the Holder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Listing</w:t>
      </w:r>
      <w:r>
        <w:rPr>
          <w:rFonts w:ascii="Times New Roman" w:hAnsi="Times New Roman"/>
          <w:color w:val="000000"/>
          <w:sz w:val="22"/>
        </w:rPr>
        <w:t>. The Company shall promptly secure the listing or designation for quotation (as the case may be) of all of the Warrant Shares upon each national securities exchange and automated quotation system, if any, upon which the shares of Common Stock are then listed or designated for quotation (as the case may be) (subject to official notice of issuance) and shall maintain such listing or designation for quotation (as the case may be) of all the Warrant Shares from time to time issuable under the terms of the Transaction Documents on such national securities exchange or automated quotation system. The Company shall maintain the shares of Common Stock’ listing or authorization for quotation (as the case may be) on the Principal Market, the New York Stock Exchange, the NYSE American, the Nasdaq Global Select Market or the Nasdaq Global Market (each, an “</w:t>
      </w:r>
      <w:r>
        <w:rPr>
          <w:rFonts w:ascii="Times New Roman" w:hAnsi="Times New Roman"/>
          <w:b/>
          <w:color w:val="000000"/>
          <w:sz w:val="22"/>
        </w:rPr>
        <w:t>Eligible Market</w:t>
      </w:r>
      <w:r>
        <w:rPr>
          <w:color w:val="000000"/>
        </w:rPr>
        <w:t>”</w:t>
      </w:r>
      <w:r>
        <w:rPr>
          <w:rFonts w:ascii="Times New Roman" w:hAnsi="Times New Roman"/>
          <w:color w:val="000000"/>
          <w:sz w:val="22"/>
        </w:rPr>
        <w:t>). Neither the Company nor any of its Subsidiaries shall take any action which could be reasonably expected to result in the delisting or suspension of the shares of Common Stock on an Eligible Market. The Company shall pay all fees and expenses in connection with satisfying its obligations under this Clause (e).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Fees</w:t>
      </w:r>
      <w:r>
        <w:rPr>
          <w:rFonts w:ascii="Times New Roman" w:hAnsi="Times New Roman"/>
          <w:color w:val="000000"/>
          <w:sz w:val="22"/>
        </w:rPr>
        <w:t xml:space="preserve">. The Company shall, on the date of this Agreement, reimburse the Holder’s documented and out-of-pocket legal costs and expenses incurred in connection with the drafting and negotiation of this Agreement and the Warrant, as well as the sale of the Securities to the Holder.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Pledge of Securities</w:t>
      </w:r>
      <w:r>
        <w:rPr>
          <w:rFonts w:ascii="Times New Roman" w:hAnsi="Times New Roman"/>
          <w:color w:val="000000"/>
          <w:sz w:val="22"/>
        </w:rPr>
        <w:t>. Notwithstanding anything to the contrary contained in this Agreement, the Company acknowledges and agrees that the Securities may be pledged by the Holder in connection with a bona fide margin agreement or other loan or financing arrangement that is secured by the Securities. The pledge of Securities shall not be deemed to be a transfer, sale or assignment of the Securities hereunder, and the Holder effecting a pledge of Securities shall be required to provide the Company with any notice thereof or otherwise make any delivery to the Company pursuant to this Agreement or the Warrant, including, without limitation, the representation of the Holder in Section 2(g) of Annex 1 hereof (the “</w:t>
      </w:r>
      <w:r>
        <w:rPr>
          <w:rFonts w:ascii="Times New Roman" w:hAnsi="Times New Roman"/>
          <w:b/>
          <w:color w:val="000000"/>
          <w:sz w:val="22"/>
        </w:rPr>
        <w:t>Holder Transfer Representation</w:t>
      </w:r>
      <w:r>
        <w:rPr>
          <w:color w:val="000000"/>
        </w:rPr>
        <w:t>”</w:t>
      </w:r>
      <w:r>
        <w:rPr>
          <w:rFonts w:ascii="Times New Roman" w:hAnsi="Times New Roman"/>
          <w:color w:val="000000"/>
          <w:sz w:val="22"/>
        </w:rPr>
        <w:t>); provided that the Holder and its pledgee shall be required to comply with the provisions of the Holder Transfer Representation hereof in order to effect a sale, transfer or assignment of Securities to such pledgee. The Company hereby agrees to execute and deliver such documentation as a pledgee of the Securities may reasonably request in connection with a pledge of the Securities to such pledgee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Disclosure of Transaction and Other Material Information</w:t>
      </w:r>
      <w:r>
        <w:rPr>
          <w:rFonts w:ascii="Times New Roman" w:hAnsi="Times New Roman"/>
          <w:color w:val="000000"/>
          <w:sz w:val="22"/>
        </w:rPr>
        <w:t>. The Company shall, on or before 9:30 a.m., New York time, on the date that is four business days following the Effective Date, file a Current Report on Form 8-K describing all the material terms of the transactions contemplated by the Transaction Documents in the form required by the Exchange Act and attaching all the material Transaction Documents (including, without limitation, this Agreement and the form of the Warrant) (including all attachments, the “</w:t>
      </w:r>
      <w:r>
        <w:rPr>
          <w:rFonts w:ascii="Times New Roman" w:hAnsi="Times New Roman"/>
          <w:b/>
          <w:color w:val="000000"/>
          <w:sz w:val="22"/>
        </w:rPr>
        <w:t>8-K Filing</w:t>
      </w:r>
      <w:r>
        <w:rPr>
          <w:color w:val="000000"/>
        </w:rPr>
        <w:t>”</w:t>
      </w:r>
      <w:r>
        <w:rPr>
          <w:rFonts w:ascii="Times New Roman" w:hAnsi="Times New Roman"/>
          <w:color w:val="000000"/>
          <w:sz w:val="22"/>
        </w:rPr>
        <w:t xml:space="preserve">). From and after the filing of the 8-K Filing, the Company shall have disclosed all material, non-public information (if any) provided to any of the Holder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Holder or any of their affiliates, on the other hand, shall terminate. The Company shall not, and the Company shall cause each of its Subsidiaries and each of its and their respective officers, directors, employees and agents not to, provide the Holder with any material, non-public information regarding the Company or any of its Subsidiaries from and after the date hereof without the express prior written consent of the Holder (which may be granted or withheld in the Holder’s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the Holder), in addition to any other remedy provided herein or in the Transaction Documents, the Holder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The Holder shall not have any liability to the Company, any of its Subsidiaries, or any of its or their respective officers, directors, employees, affiliates, shareholder or agents, for any such disclosure. To the extent that the Company delivers any material, non-public information to the Holder without the Holder’s consent, the Company hereby covenants and agrees that the Holder shall not have any duty of confidentiality with respect to, or a duty not to trade on the basis of, such material, non-public information. Without the prior written consent of the Holder (which may be granted or withheld in the Holder’s sole discretion), the Company shall not (and shall cause each of its Subsidiaries and affiliates to not) disclose the name of the Holder in any filing, announcement, release or otherwise, unless required by applicable law or regulations. Notwithstanding anything contained in this Agreement to the contrary and without implication that the contrary would otherwise be true, the Company expressly acknowledges and agrees that the Holder shall not have (unless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expressly agreed to by a the Holder after the date hereof in a written definitive and binding agreement executed by the Company and the Holder), any duty of confidentiality with respect to, or a duty not to trade on the basis of, any material, non-public information regarding the Company or any of its Subsidiaries.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Reservation of Shares</w:t>
      </w:r>
      <w:r>
        <w:rPr>
          <w:rFonts w:ascii="Times New Roman" w:hAnsi="Times New Roman"/>
          <w:color w:val="000000"/>
          <w:sz w:val="22"/>
        </w:rPr>
        <w:t>. So long as the Warrant remains outstanding, the Company shall take all action necessary to at all times have authorized, and reserved for the purpose of issuance, no less than 100% of the maximum number of Warrant Shares issuable upon exercise of the Warrant (without regard to any limitations on the exercise of the Warrant set forth therein) (collectively, the “</w:t>
      </w:r>
      <w:r>
        <w:rPr>
          <w:rFonts w:ascii="Times New Roman" w:hAnsi="Times New Roman"/>
          <w:b/>
          <w:color w:val="000000"/>
          <w:sz w:val="22"/>
        </w:rPr>
        <w:t>Required Reserve Amount</w:t>
      </w:r>
      <w:r>
        <w:rPr>
          <w:color w:val="000000"/>
        </w:rPr>
        <w:t>”</w:t>
      </w:r>
      <w:r>
        <w:rPr>
          <w:rFonts w:ascii="Times New Roman" w:hAnsi="Times New Roman"/>
          <w:color w:val="000000"/>
          <w:sz w:val="22"/>
        </w:rPr>
        <w:t>); provided that at no time shall the number of shares of Common Stock reserved pursuant to this clause (h) be reduced other than proportionally in connection with any exercise and/or redemption, as applicable of Warrant.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shareholders to authorize additional shares to meet the Company’s obligations pursuant to the Transaction Documents,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Conduct of Business</w:t>
      </w:r>
      <w:r>
        <w:rPr>
          <w:rFonts w:ascii="Times New Roman" w:hAnsi="Times New Roman"/>
          <w:color w:val="000000"/>
          <w:sz w:val="22"/>
        </w:rPr>
        <w:t xml:space="preserve">. The business of the Company and its Subsidiaries shall not be conducted in violation of any law, ordinance or regulation of any Governmental Entity (as defined below), except where such violations would not reasonably be expected to result, either individually or in the aggregate, in a Material Adverse Effect.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Passive Foreign Investment Company</w:t>
      </w:r>
      <w:r>
        <w:rPr>
          <w:rFonts w:ascii="Times New Roman" w:hAnsi="Times New Roman"/>
          <w:color w:val="000000"/>
          <w:sz w:val="22"/>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Corporate Existence</w:t>
      </w:r>
      <w:r>
        <w:rPr>
          <w:rFonts w:ascii="Times New Roman" w:hAnsi="Times New Roman"/>
          <w:color w:val="000000"/>
          <w:sz w:val="22"/>
        </w:rPr>
        <w:t>. So long as the Holder beneficially owns the Warrant, the Company shall not be party to any Fundamental Transaction unless the Company is in compliance with the applicable provisions governing Fundamental Transactions set forth in the Warrant.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Exercise Procedures</w:t>
      </w:r>
      <w:r>
        <w:rPr>
          <w:rFonts w:ascii="Times New Roman" w:hAnsi="Times New Roman"/>
          <w:color w:val="000000"/>
          <w:sz w:val="22"/>
        </w:rPr>
        <w:t>. The form of Exercise Notice (as defined in the Warrant) included in the Warrant sets forth the totality of the procedures required of the Holder in order to exercise the Warrant. Except as provided in clause (t) below, no additional legal opinion, other information or instructions shall be required of the Holder to exercise the Warrant. The Company shall honor exercises of the Warrant and shall deliver the Warrant Shares in accordance with the terms, conditions and time periods set forth in the Warrant.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Regulation M</w:t>
      </w:r>
      <w:r>
        <w:rPr>
          <w:rFonts w:ascii="Times New Roman" w:hAnsi="Times New Roman"/>
          <w:color w:val="000000"/>
          <w:sz w:val="22"/>
        </w:rPr>
        <w:t>. The Company will not take any action prohibited by Regulation M under the Exchange Act in connection with the distribution of the Securities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u w:val="single"/>
        </w:rPr>
        <w:t>Integration</w:t>
      </w:r>
      <w:r>
        <w:rPr>
          <w:rFonts w:ascii="Times New Roman" w:hAnsi="Times New Roman"/>
          <w:color w:val="000000"/>
          <w:sz w:val="22"/>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shareholder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u w:val="single"/>
        </w:rPr>
        <w:t>Register</w:t>
      </w:r>
      <w:r>
        <w:rPr>
          <w:rFonts w:ascii="Times New Roman" w:hAnsi="Times New Roman"/>
          <w:color w:val="000000"/>
          <w:sz w:val="22"/>
        </w:rPr>
        <w:t>. The Company shall maintain at its principal executive offices (or such other office or agency of the Company as it may designate by notice to each holder of Securities), a register for the Warrant in which the Company shall record the name and address of the Person in whose name the Warrant have been issued (including the name and address of each transferee) and the number of Warrant Shares issuable upon exercise of the Warrant held by such Person. The Company shall keep the register open and available at all times during business hours for inspection of the Holder or its legal representatives.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rFonts w:ascii="Times New Roman" w:hAnsi="Times New Roman"/>
          <w:color w:val="000000"/>
          <w:sz w:val="22"/>
          <w:u w:val="single"/>
        </w:rPr>
        <w:t>Transfer Agent Instructions</w:t>
      </w:r>
      <w:r>
        <w:rPr>
          <w:rFonts w:ascii="Times New Roman" w:hAnsi="Times New Roman"/>
          <w:color w:val="000000"/>
          <w:sz w:val="22"/>
        </w:rPr>
        <w:t>. The Company shall issue a treasury direction to its transfer agent and any subsequent transfer agent (as applicable, the “</w:t>
      </w:r>
      <w:r>
        <w:rPr>
          <w:rFonts w:ascii="Times New Roman" w:hAnsi="Times New Roman"/>
          <w:b/>
          <w:color w:val="000000"/>
          <w:sz w:val="22"/>
        </w:rPr>
        <w:t>Transfer Agent</w:t>
      </w:r>
      <w:r>
        <w:rPr>
          <w:color w:val="000000"/>
        </w:rPr>
        <w:t>”</w:t>
      </w:r>
      <w:r>
        <w:rPr>
          <w:rFonts w:ascii="Times New Roman" w:hAnsi="Times New Roman"/>
          <w:color w:val="000000"/>
          <w:sz w:val="22"/>
        </w:rPr>
        <w:t>) to issue certificates or credit shares to the applicable balance accounts at The Depository Trust Company (“</w:t>
      </w:r>
      <w:r>
        <w:rPr>
          <w:rFonts w:ascii="Times New Roman" w:hAnsi="Times New Roman"/>
          <w:b/>
          <w:color w:val="000000"/>
          <w:sz w:val="22"/>
        </w:rPr>
        <w:t>DTC</w:t>
      </w:r>
      <w:r>
        <w:rPr>
          <w:color w:val="000000"/>
        </w:rPr>
        <w:t>”</w:t>
      </w:r>
      <w:r>
        <w:rPr>
          <w:rFonts w:ascii="Times New Roman" w:hAnsi="Times New Roman"/>
          <w:color w:val="000000"/>
          <w:sz w:val="22"/>
        </w:rPr>
        <w:t>), registered in the name of the Holder or its respective nominee(s), for the Warrant Shares in such amounts as specified from time to time by the Holder to the Company upon the exercise of the Warrant (as the case may be). The Company represents and warrants that the Securities shall otherwise be freely transferable on the books and records of the Company, as applicable, to the extent provided in this Agreement, the other Transaction Documents and in accordance with applicable law. If the Holder effects a sale, assignment or transfer of the Securities in accordance with the Holder Transfer Representation, the Company shall permit the transfer and shall promptly instruct its transfer agent to issue one or more certificates or credit shares to the applicable balance accounts at DTC in such name and in such denominations as specified by the Holder to effect such sale, transfer or assignment. In the event that such sale, assignment or transfer involves Warrant Shares sold, assigned or transferred pursuant to an effective registration statement or in compliance with Rule 144 or Regulation S, the Transfer Agent shall issue such shares to the Holder, assignee or transferee (as the case may be) without any restrictive legend in accordance with clause (t) below. The Company acknowledges that a breach by it of its obligations hereunder will cause irreparable harm to the Holder. Accordingly, the Company acknowledges that the remedy at law for a breach of its obligations under this clause (p) will be inadequate and agrees, in the event of a breach or threatened breach by the Company of the provisions of this clause (p), that the Holder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issuance of such opinion or the removal of any legends on any of the Securities shall be borne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rFonts w:ascii="Times New Roman" w:hAnsi="Times New Roman"/>
          <w:color w:val="000000"/>
          <w:sz w:val="22"/>
          <w:u w:val="single"/>
        </w:rPr>
        <w:t>Legends</w:t>
      </w:r>
      <w:r>
        <w:rPr>
          <w:rFonts w:ascii="Times New Roman" w:hAnsi="Times New Roman"/>
          <w:color w:val="000000"/>
          <w:sz w:val="22"/>
        </w:rPr>
        <w:t>. The Holder understands that the Securities have been issued (or will be issued in the case of the Warrant Shares) pursuant to an exemption from registration or qualification under the 1933 Act and applicable state securities laws, and except as set forth below, the Securities shall bear any legend as required by the “blue sky” laws of any state and shall bear a restrictive legend in substantially the following form (and a stop-transfer order may be placed against transfer of such share certificates):</w:t>
      </w:r>
    </w:p>
    <w:p>
      <w:pPr>
        <w:pStyle w:val="TextBody"/>
        <w:bidi w:val="0"/>
        <w:spacing w:before="0" w:after="240"/>
        <w:jc w:val="both"/>
        <w:rPr>
          <w:rFonts w:ascii="Times New Roman" w:hAnsi="Times New Roman"/>
          <w:sz w:val="20"/>
        </w:rPr>
      </w:pPr>
      <w:r>
        <w:rPr>
          <w:rFonts w:ascii="Times New Roman" w:hAnsi="Times New Roman"/>
          <w:caps/>
          <w:color w:val="000000"/>
          <w:sz w:val="22"/>
        </w:rPr>
        <w:t>NEITHER THE ISSUANCE AND SALE OF THE SECURITIES REPRESENTED BY THIS CERTIFICATE [NOR THE SECURITIES INTO WHICH THESE SECURITIES ARE EXERCISABLE HAVE BEEN] [HAS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w:t>
      </w:r>
      <w:r>
        <w:rPr>
          <w:rFonts w:ascii="Times New Roman" w:hAnsi="Times New Roman"/>
          <w:caps/>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aps/>
          <w:color w:val="000000"/>
          <w:sz w:val="22"/>
        </w:rPr>
        <w:t>ACCOUNT OR OTHER LOAN OR FINANCING ARRANGEMENT SECURED BY THE SECURITIES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rFonts w:ascii="Times New Roman" w:hAnsi="Times New Roman"/>
          <w:color w:val="000000"/>
          <w:sz w:val="22"/>
          <w:u w:val="single"/>
        </w:rPr>
        <w:t>Removal of Legends</w:t>
      </w:r>
      <w:r>
        <w:rPr>
          <w:rFonts w:ascii="Times New Roman" w:hAnsi="Times New Roman"/>
          <w:color w:val="000000"/>
          <w:sz w:val="22"/>
        </w:rPr>
        <w:t>. Certificates evidencing Securities shall not be required to contain the legend set forth in clause (q) above or any other legend, (i) following any sale of such Securities pursuant to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a Holder provides the Company with reasonable assurances that such Securities are eligible for sale, assignment or transfer under Rule 144 which shall not include an opinion of Holder’s counsel), (iv) in connection with a sale, assignment or other transfer (other than under Rule 144), provided that the Holder provides the Company with an opinion of counsel to the Holder, in a generally acceptable form, to the effect that such sale, assignment or transfer of the Securities may be made without registration under the applicable requirements of the 1933 Act or (v) if, in the reasonable determination of the Company and its legal counsel,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(or such earlier date as required pursuant to the 1934 Act or other applicable law, rule or regulation for the settlement of a trade initiated on the date the Holder delivers such legended certificate representing such Securities to the Company) following the delivery by a Holder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the Holder as may be required above in this clause (r), as directed by the Holder, either: (A) provided that the Company’s transfer agent is participating in the DTC Fast Automated Securities Transfer Program (“</w:t>
      </w:r>
      <w:r>
        <w:rPr>
          <w:rFonts w:ascii="Times New Roman" w:hAnsi="Times New Roman"/>
          <w:b/>
          <w:color w:val="000000"/>
          <w:sz w:val="22"/>
        </w:rPr>
        <w:t>FAST</w:t>
      </w:r>
      <w:r>
        <w:rPr>
          <w:color w:val="000000"/>
        </w:rPr>
        <w:t>”</w:t>
      </w:r>
      <w:r>
        <w:rPr>
          <w:rFonts w:ascii="Times New Roman" w:hAnsi="Times New Roman"/>
          <w:color w:val="000000"/>
          <w:sz w:val="22"/>
        </w:rPr>
        <w:t>) and such Securities are Warrant Shares, credit the aggregate number of shares of Common Stock to which the Holder shall be entitled to the Holder’s or its designee’s balance account with DTC through its Deposit/Withdrawal at Custodian system or (B) if the Company’s transfer agent is not participating in FAST, issue and deliver (via reputable overnight courier) to the Holder, a certificate representing such Securities that is free from all restrictive and other legends, registered in the name of the Holder or its designee (the date by which such credit is so required to be made to the balance account of the Holder’s or the Holder’s designee with DTC or such certificate is required to be delivered to the Holder pursuant to the foregoing is referred to herein as the “</w:t>
      </w:r>
      <w:r>
        <w:rPr>
          <w:rFonts w:ascii="Times New Roman" w:hAnsi="Times New Roman"/>
          <w:b/>
          <w:color w:val="000000"/>
          <w:sz w:val="22"/>
        </w:rPr>
        <w:t>Required Delivery Date</w:t>
      </w:r>
      <w:r>
        <w:rPr>
          <w:color w:val="000000"/>
        </w:rPr>
        <w:t>”</w:t>
      </w:r>
      <w:r>
        <w:rPr>
          <w:rFonts w:ascii="Times New Roman" w:hAnsi="Times New Roman"/>
          <w:color w:val="000000"/>
          <w:sz w:val="22"/>
        </w:rPr>
        <w:t>, and the date such shares of Common Stock are actually delivered without restrictive legend to the Holder or the Holder’s designee with DTC, as applicable, the “</w:t>
      </w:r>
      <w:r>
        <w:rPr>
          <w:rFonts w:ascii="Times New Roman" w:hAnsi="Times New Roman"/>
          <w:b/>
          <w:color w:val="000000"/>
          <w:sz w:val="22"/>
        </w:rPr>
        <w:t>Share Delivery Date</w:t>
      </w:r>
      <w:r>
        <w:rPr>
          <w:color w:val="000000"/>
        </w:rPr>
        <w:t>”</w:t>
      </w:r>
      <w:r>
        <w:rPr>
          <w:rFonts w:ascii="Times New Roman" w:hAnsi="Times New Roman"/>
          <w:color w:val="000000"/>
          <w:sz w:val="22"/>
        </w:rPr>
        <w:t>). The Company shall be responsible for any transfer agent fees or DTC fees with respect to any issuance of Securities or the removal of any legends with respect to any Securities in accordance herewith.</w:t>
      </w:r>
    </w:p>
    <w:p>
      <w:pPr>
        <w:pStyle w:val="TextBody"/>
        <w:bidi w:val="0"/>
        <w:spacing w:before="0" w:after="240"/>
        <w:jc w:val="both"/>
        <w:rPr>
          <w:rFonts w:ascii="Times New Roman" w:hAnsi="Times New Roman"/>
          <w:sz w:val="20"/>
        </w:rPr>
      </w:pPr>
      <w:r>
        <w:rPr>
          <w:rFonts w:ascii="Times New Roman" w:hAnsi="Times New Roman"/>
          <w:color w:val="000000"/>
          <w:sz w:val="22"/>
        </w:rPr>
        <w:t>If the Company fails, for any reason or for no reason, to issue and deliver (or cause to be delivered) to the Holder (or its designee) by the Required Delivery Date, either (I) if the Transfer Agent is not participating in the DTC Fast Automated Securities Transfer Program, a certificate for the number of Warrant Shares to which the Holder is entitled and register such Warrant Shares on the Company’s share register or, if the Transfer Agent is participating in the DTC Fast Automated Securities Transfer Program and the Required Unrestricted Conditions are satisfied, to credit the balance account of the Holder or the Holder’s designee with DTC for such number of Warrant Shares submitted for legend removal by the Holder pursuant hereto or (II) if the Registration Statement covering the resale of the Warrant Shares submitted for legend removal by the Holder pursuant hereto (the “</w:t>
      </w:r>
      <w:r>
        <w:rPr>
          <w:rFonts w:ascii="Times New Roman" w:hAnsi="Times New Roman"/>
          <w:b/>
          <w:color w:val="000000"/>
          <w:sz w:val="22"/>
        </w:rPr>
        <w:t>Unavailable Shares</w:t>
      </w:r>
      <w:r>
        <w:rPr>
          <w:rFonts w:ascii="Times New Roman" w:hAnsi="Times New Roman"/>
          <w:color w:val="000000"/>
          <w:sz w:val="20"/>
        </w:rPr>
        <w:t>”</w:t>
      </w:r>
      <w:r>
        <w:rPr>
          <w:rFonts w:ascii="Times New Roman" w:hAnsi="Times New Roman"/>
          <w:color w:val="000000"/>
          <w:sz w:val="22"/>
        </w:rPr>
        <w:t>) is not available for the resale of such Unavailable Shares and the Company fails to promptly, but in no event later than as required pursuant to clause (v) below (x) so notify the Holder and (y) deliver the Warrant Shares electronically without any restrictive legend by crediting such aggregate number of Warrant Shares submitted for legend removal by the Holder pursuant hereto to the Holder’s or its designee’s balance account with DTC through its Deposit/Withdrawal At Custodian system (the event described in the immediately foregoing clause (II) is hereinafter referred as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w:t>
      </w:r>
      <w:r>
        <w:rPr>
          <w:rFonts w:ascii="Times New Roman" w:hAnsi="Times New Roman"/>
          <w:b/>
          <w:color w:val="000000"/>
          <w:sz w:val="22"/>
        </w:rPr>
        <w:t>Notice Failure</w:t>
      </w:r>
      <w:r>
        <w:rPr>
          <w:rFonts w:ascii="Times New Roman" w:hAnsi="Times New Roman"/>
          <w:color w:val="000000"/>
          <w:sz w:val="20"/>
        </w:rPr>
        <w:t xml:space="preserve">” </w:t>
      </w:r>
      <w:r>
        <w:rPr>
          <w:rFonts w:ascii="Times New Roman" w:hAnsi="Times New Roman"/>
          <w:color w:val="000000"/>
          <w:sz w:val="22"/>
        </w:rPr>
        <w:t>and together with the event described in clause (I) above, a “</w:t>
      </w:r>
      <w:r>
        <w:rPr>
          <w:rFonts w:ascii="Times New Roman" w:hAnsi="Times New Roman"/>
          <w:b/>
          <w:color w:val="000000"/>
          <w:sz w:val="22"/>
        </w:rPr>
        <w:t>Delivery Failure</w:t>
      </w:r>
      <w:r>
        <w:rPr>
          <w:rFonts w:ascii="Times New Roman" w:hAnsi="Times New Roman"/>
          <w:color w:val="000000"/>
          <w:sz w:val="20"/>
        </w:rPr>
        <w:t>”</w:t>
      </w:r>
      <w:r>
        <w:rPr>
          <w:rFonts w:ascii="Times New Roman" w:hAnsi="Times New Roman"/>
          <w:color w:val="000000"/>
          <w:sz w:val="22"/>
        </w:rPr>
        <w:t>), then, in addition to all other remedies available to the Holder, the Company shall pay in cash to the Holder on each day after the Share Delivery Date and during such Delivery Failure an amount equal to 1% of the product of (A) the sum of the number of shares of Common Stock not issued to the Holder on or prior to the Required Delivery Date and to which the Holder is entitled, and (B) any trading price of the shares of Common Stock selected by the Holder in writing as in effect at any time during the period beginning on the date of the delivery by the Holder to the Company of the applicable Warrant Shares and ending on the applicable Share Delivery Date. In addition to the foregoing, if on or prior to the Required Delivery Date either (I) if the Transfer Agent is not participating in the DTC Fast Automated Securities Transfer Program, the Company shall fail to issue and deliver a certificate to the Holder and register such shares of Common Stock on the Company’s share register or, if the Transfer Agent is participating in the DTC Fast Automated Securities Transfer Program, credit the balance account of the Holder or the Holder’s designee with DTC for the number of shares of Common Stock to which the Holder submitted for legend removal by the Holder pursuant hereto or (II) a Notice Failure occurs, and if on or after such Trading Day the Holder purchases (in an open market transaction or otherwise) shares of Common Stock to deliver in satisfaction of a sale by the Holder of shares of Common Stock submitted for legend removal by the Holder pursuant hereto that the Holder is entitled to receive from the Company (a “</w:t>
      </w:r>
      <w:r>
        <w:rPr>
          <w:rFonts w:ascii="Times New Roman" w:hAnsi="Times New Roman"/>
          <w:b/>
          <w:color w:val="000000"/>
          <w:sz w:val="22"/>
        </w:rPr>
        <w:t>Buy-In</w:t>
      </w:r>
      <w:r>
        <w:rPr>
          <w:rFonts w:ascii="Times New Roman" w:hAnsi="Times New Roman"/>
          <w:color w:val="000000"/>
          <w:sz w:val="20"/>
        </w:rPr>
        <w:t>”</w:t>
      </w:r>
      <w:r>
        <w:rPr>
          <w:rFonts w:ascii="Times New Roman" w:hAnsi="Times New Roman"/>
          <w:color w:val="000000"/>
          <w:sz w:val="22"/>
        </w:rPr>
        <w:t>), then the Company shall, within one (1) Trading Day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Times New Roman" w:hAnsi="Times New Roman"/>
          <w:b/>
          <w:color w:val="000000"/>
          <w:sz w:val="22"/>
        </w:rPr>
        <w:t>Buy-In Price</w:t>
      </w:r>
      <w:r>
        <w:rPr>
          <w:rFonts w:ascii="Times New Roman" w:hAnsi="Times New Roman"/>
          <w:color w:val="000000"/>
          <w:sz w:val="20"/>
        </w:rPr>
        <w:t>”</w:t>
      </w:r>
      <w:r>
        <w:rPr>
          <w:rFonts w:ascii="Times New Roman" w:hAnsi="Times New Roman"/>
          <w:color w:val="000000"/>
          <w:sz w:val="22"/>
        </w:rPr>
        <w:t>), at which point the Company’s obligation to so deliver such certificate or credit the Holder’s balance account shall terminate and such shares shall be cancelled, or (ii) promptly honor its obligation to so deliver to the Holder a certificate or certificates or credit the balance account of the Holder or the Holder’s designee with DTC representing such number of shares of Common Stock that would have been so delivered if the Company timely complied with its obligations hereunder and pay cash to the Holder in an amount equal to the excess (if any) of the Buy-In Price over the product of (A) such number of Warrant Shares that the Company was required to deliver to the Holder by the Required Delivery Date multiplied by (B) the lowest Closing Sale Price (as defined in the Warrant) of the shares of Common Stock on any Trading Day during the period commencing on the date of the delivery by the Holder to the Company of the applicable Warrant Shares and ending on the date of such delivery and payment under this clause (ii).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clause shall not apply to the Holder the extent the Company has already paid such amounts in full to the Holder with respect to such Notice Failure and/or Delivery Failure, as applicable, pursuant to the analogous sections of the Warrant held by the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rFonts w:ascii="Times New Roman" w:hAnsi="Times New Roman"/>
          <w:color w:val="000000"/>
          <w:sz w:val="22"/>
          <w:u w:val="single"/>
        </w:rPr>
        <w:t>Registration Statement</w:t>
      </w:r>
      <w:r>
        <w:rPr>
          <w:rFonts w:ascii="Times New Roman" w:hAnsi="Times New Roman"/>
          <w:color w:val="000000"/>
          <w:sz w:val="22"/>
        </w:rPr>
        <w:t>. As soon as practicable (and in any event within the later of (i) 30 calendar days following the date of this Agreement, (ii) 10 days following the date of the filing with the SEC of the Company’s Annual Report on Form 10-K for the year ended December 31, 2025, and (iii) March 31, 2026 (the “</w:t>
      </w:r>
      <w:r>
        <w:rPr>
          <w:rFonts w:ascii="Times New Roman" w:hAnsi="Times New Roman"/>
          <w:b/>
          <w:color w:val="000000"/>
          <w:sz w:val="22"/>
        </w:rPr>
        <w:t>Filing Deadline</w:t>
      </w:r>
      <w:r>
        <w:rPr>
          <w:color w:val="000000"/>
        </w:rPr>
        <w:t>”</w:t>
      </w:r>
      <w:r>
        <w:rPr>
          <w:rFonts w:ascii="Times New Roman" w:hAnsi="Times New Roman"/>
          <w:color w:val="000000"/>
          <w:sz w:val="22"/>
        </w:rPr>
        <w:t>)), the Company shall file a registration statement on Form S-3 (or Form S-1 if Form S-3 is not available to the Company) providing for the resale by the Holder of the Warrant Shares issued and issuable upon exercise of the Warrant or shall include such Warrant Shares issued and issuable upon exercise of the Warrant in any other registration statement on Form S-3 filed by the Company. The Company shall use reasonable best efforts to cause such registration to become effective within 60 days (or 90 days if subject to a full review by the SEC) (the “</w:t>
      </w:r>
      <w:r>
        <w:rPr>
          <w:rFonts w:ascii="Times New Roman" w:hAnsi="Times New Roman"/>
          <w:b/>
          <w:color w:val="000000"/>
          <w:sz w:val="22"/>
        </w:rPr>
        <w:t>Effectiveness Deadline</w:t>
      </w:r>
      <w:r>
        <w:rPr>
          <w:color w:val="000000"/>
        </w:rPr>
        <w:t>”</w:t>
      </w:r>
      <w:r>
        <w:rPr>
          <w:rFonts w:ascii="Times New Roman" w:hAnsi="Times New Roman"/>
          <w:color w:val="000000"/>
          <w:sz w:val="22"/>
        </w:rPr>
        <w:t xml:space="preserve">) following the Filing Deadline and to keep such registration statement effective at all times (except for any periods in connection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the filing of post-effective amendments as reasonably determined by the Company’s counsel to be required) until the Holder does not own any Warrant or Warrant Shares issuable upon exercise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rFonts w:ascii="Times New Roman" w:hAnsi="Times New Roman"/>
          <w:color w:val="000000"/>
          <w:sz w:val="22"/>
          <w:u w:val="single"/>
        </w:rPr>
        <w:t>Effect of Failure to File and Obtain and Maintain Effectiveness of any Registration Statement</w:t>
      </w:r>
      <w:r>
        <w:rPr>
          <w:rFonts w:ascii="Times New Roman" w:hAnsi="Times New Roman"/>
          <w:color w:val="000000"/>
          <w:sz w:val="22"/>
        </w:rPr>
        <w:t>. If (i) a Registration Statement covering the resale of all of the Warrant Shares by the Holder is (A) not filed with the SEC on or before the Filing Deadline for such Registration Statement (a “</w:t>
      </w:r>
      <w:r>
        <w:rPr>
          <w:rFonts w:ascii="Times New Roman" w:hAnsi="Times New Roman"/>
          <w:b/>
          <w:color w:val="000000"/>
          <w:sz w:val="22"/>
        </w:rPr>
        <w:t>Filing Failure</w:t>
      </w:r>
      <w:r>
        <w:rPr>
          <w:color w:val="000000"/>
        </w:rPr>
        <w:t>”</w:t>
      </w:r>
      <w:r>
        <w:rPr>
          <w:rFonts w:ascii="Times New Roman" w:hAnsi="Times New Roman"/>
          <w:color w:val="000000"/>
          <w:sz w:val="22"/>
        </w:rPr>
        <w:t>) or (B) not declared effective by the SEC on or before the Effectiveness Deadline for such Registration Statement (an “</w:t>
      </w:r>
      <w:r>
        <w:rPr>
          <w:rFonts w:ascii="Times New Roman" w:hAnsi="Times New Roman"/>
          <w:b/>
          <w:color w:val="000000"/>
          <w:sz w:val="22"/>
        </w:rPr>
        <w:t>Effectiveness Failure</w:t>
      </w:r>
      <w:r>
        <w:rPr>
          <w:color w:val="000000"/>
        </w:rPr>
        <w:t>”</w:t>
      </w:r>
      <w:r>
        <w:rPr>
          <w:rFonts w:ascii="Times New Roman" w:hAnsi="Times New Roman"/>
          <w:color w:val="000000"/>
          <w:sz w:val="22"/>
        </w:rPr>
        <w:t>) (it being understood that if on the Business Day immediately following the Effective Date for such Registration Statement the Company shall not have filed a “final” prospectus for such Registration Statement with the SEC under Rule 424(b) (whether or not such a prospectus is technically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Warrant Shares required to be included on such Registration Statement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shares of Common Stock on the Principal Market (as defined in the October 2024 Securities Purchase Agreement) or any other limitations imposed by the Principal Market, or a failure to register a sufficient number of shares of Common Stock or by reason of a stop order) or the prospectus contained therein is not available for use for any reason (a “</w:t>
      </w:r>
      <w:r>
        <w:rPr>
          <w:rFonts w:ascii="Times New Roman" w:hAnsi="Times New Roman"/>
          <w:b/>
          <w:color w:val="000000"/>
          <w:sz w:val="22"/>
        </w:rPr>
        <w:t>Maintenance Failure</w:t>
      </w:r>
      <w:r>
        <w:rPr>
          <w:color w:val="000000"/>
        </w:rPr>
        <w:t>”</w:t>
      </w:r>
      <w:r>
        <w:rPr>
          <w:rFonts w:ascii="Times New Roman" w:hAnsi="Times New Roman"/>
          <w:color w:val="000000"/>
          <w:sz w:val="22"/>
        </w:rPr>
        <w:t>), or (iii) if a Registration Statement is not effective for any reason or the prospectus contained therein is not available for use for any reason (other than as is allowed under this clause (u)),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hAnsi="Times New Roman"/>
          <w:b/>
          <w:color w:val="000000"/>
          <w:sz w:val="22"/>
        </w:rPr>
        <w:t>Current Public Information Failure</w:t>
      </w:r>
      <w:r>
        <w:rPr>
          <w:color w:val="000000"/>
        </w:rPr>
        <w:t>”</w:t>
      </w:r>
      <w:r>
        <w:rPr>
          <w:rFonts w:ascii="Times New Roman" w:hAnsi="Times New Roman"/>
          <w:color w:val="000000"/>
          <w:sz w:val="22"/>
        </w:rPr>
        <w:t>) as a result of which the Holder is unable to sell Warrant Shares without restriction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one and a half percent (1.5%) of the aggregate exercise price of the Holder’s Warrant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thirty (30) days). The payments to which a Holder shall be entitled pursuant to this Section (v) are referred to herein as “</w:t>
      </w:r>
      <w:r>
        <w:rPr>
          <w:rFonts w:ascii="Times New Roman" w:hAnsi="Times New Roman"/>
          <w:b/>
          <w:color w:val="000000"/>
          <w:sz w:val="22"/>
        </w:rPr>
        <w:t>Registration Delay Payments</w:t>
      </w:r>
      <w:r>
        <w:rPr>
          <w:rFonts w:ascii="Times New Roman" w:hAnsi="Times New Roman"/>
          <w:color w:val="000000"/>
          <w:sz w:val="22"/>
        </w:rPr>
        <w:t>.”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w:t>
      </w:r>
      <w:r>
        <w:rPr>
          <w:rFonts w:ascii="Times New Roman" w:hAnsi="Times New Roman"/>
          <w:color w:val="000000"/>
          <w:sz w:val="15"/>
        </w:rPr>
        <w:t>rd</w:t>
      </w:r>
      <w:r>
        <w:rPr>
          <w:rFonts w:ascii="Times New Roman" w:hAnsi="Times New Roman"/>
          <w:color w:val="000000"/>
          <w:sz w:val="22"/>
        </w:rPr>
        <w:t xml:space="preserve">) Business Day after such cure. In the event the Company fails to make Registration Delay Payments in a timely manner in accordance with the foregoing, such Registration Delay Payments shall bear interest at the rate of one and a half percent (1.5%) per month (prorated for partial months) until paid in full. Notwithstanding the foregoing, no Registration Delay Payments shall be owed to a Holder (other than with respect to a Maintenance Failure resulting from a suspension or delisting of (or a failure to timely list) the shares of Common Stock on the Principal Market) with respect to any period during which all of the Holder’s Warrant Shares may be sold by the Holder without restriction under Rule 144 (including,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limitation, volume restrictions) and without the need for current public information required by Rule 144(c)(1) (or Rule 144(i)(2), if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rPr>
        <w:t>Notwithstanding anything to the contrary herein (but subject to the last sentence of this clause (v),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based on the advice of counsel to the Company, otherwise required (a “</w:t>
      </w:r>
      <w:r>
        <w:rPr>
          <w:rFonts w:ascii="Times New Roman" w:hAnsi="Times New Roman"/>
          <w:b/>
          <w:color w:val="000000"/>
          <w:sz w:val="22"/>
        </w:rPr>
        <w:t>Grace Period</w:t>
      </w:r>
      <w:r>
        <w:rPr>
          <w:color w:val="000000"/>
        </w:rPr>
        <w:t>”</w:t>
      </w:r>
      <w:r>
        <w:rPr>
          <w:rFonts w:ascii="Times New Roman" w:hAnsi="Times New Roman"/>
          <w:color w:val="000000"/>
          <w:sz w:val="22"/>
        </w:rPr>
        <w:t>), provided that the Company shall promptly notify the Holder in writing of the (i) existence of material, non-public information giving rise to a Grace Period (provided that in each such notice the Company shall not disclose the content of such material, non-public information to the Holder)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and (II) the first day of any Grace Period must be at least five (5) Trading Days after the last day of any prior Grace Period (each, an “</w:t>
      </w:r>
      <w:r>
        <w:rPr>
          <w:rFonts w:ascii="Times New Roman" w:hAnsi="Times New Roman"/>
          <w:b/>
          <w:color w:val="000000"/>
          <w:sz w:val="22"/>
        </w:rPr>
        <w:t>Allowable Grace Period</w:t>
      </w:r>
      <w:r>
        <w:rPr>
          <w:color w:val="000000"/>
        </w:rPr>
        <w:t>”</w:t>
      </w:r>
      <w:r>
        <w:rPr>
          <w:rFonts w:ascii="Times New Roman" w:hAnsi="Times New Roman"/>
          <w:color w:val="000000"/>
          <w:sz w:val="22"/>
        </w:rPr>
        <w:t xml:space="preserve">). For purposes of determining the length of a Grace Period above, such Grace Period shall begin on and include the date the Holder receives the notice referred to in subclause (i) above and shall end on and include the later of the date the Holder receives the notice referred to in subclause (ii) above and the date referred to in such notice.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190/000119312526035833/d79855dex31.htm" TargetMode="External"/><Relationship Id="rId3" Type="http://schemas.openxmlformats.org/officeDocument/2006/relationships/hyperlink" Target="https://www.sec.gov/Archives/edgar/data/1820190/000119312526035833/d79855dex31.htm" TargetMode="External"/><Relationship Id="rId4" Type="http://schemas.openxmlformats.org/officeDocument/2006/relationships/hyperlink" Target="https://www.sec.gov/Archives/edgar/data/1820190/000119312526061371/sclx-ex4_1.htm" TargetMode="External"/><Relationship Id="rId5" Type="http://schemas.openxmlformats.org/officeDocument/2006/relationships/hyperlink" Target="https://www.sec.gov/Archives/edgar/data/1820190/000119312526061371/sclx-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35296</Words>
  <Characters>182231</Characters>
  <CharactersWithSpaces>217193</CharactersWithSpaces>
  <Paragraphs>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