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333-268603</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2</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May 13, 2025)</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SCILEX HOLDING</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COMPANY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1,594,207 Shares of Common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198,810 Shares of Common Stock Issuable Upon the Exercise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1,402,955 Warrants</w:t>
      </w:r>
    </w:p>
    <w:p>
      <w:pPr>
        <w:spacing w:after="0" w:line="9"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________________</w:t>
      </w:r>
    </w:p>
    <w:p>
      <w:pPr>
        <w:spacing w:after="0" w:line="207" w:lineRule="exact"/>
        <w:rPr>
          <w:sz w:val="24"/>
          <w:szCs w:val="24"/>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This prospectus supplement supplements the prospectus dated May 13, 2025 (the “Prospectus”), which forms a part of our registration statement on Form S-1 (No. 333-268603) for which Post-Effective Amendment No. 3 was filed with the Securities and Exchange Commission on May 7, 2025 and declared effective by the Securities and Exchange Commission on May 13, 2025. This prospectus supplement is being filed to update and supplement the information in the Prospectus with the information contained in our Current Report on Form 8-K, filed with the Securities and Exchange Commission on June 23, 2025 (the “Current Report”). Accordingly, we have attached the Current Report to this prospectus supplement.</w:t>
      </w:r>
    </w:p>
    <w:p>
      <w:pPr>
        <w:spacing w:after="0" w:line="183" w:lineRule="exact"/>
        <w:rPr>
          <w:sz w:val="24"/>
          <w:szCs w:val="24"/>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Prospectus and this prospectus supplement relate to the issuance by us of up to an aggregate of 198,810 shares of our common stock, par value $0.0001 per share (“Common Stock”), consisting of (i) 40,085 shares of Common Stock issuable upon the exercise of 1,402,955 private placement warrants at an exercise price of $402.50 per whole share (the “Private Warrants” and such shares issuable upon exercise, the “Private Warrant Shares”) representing certain Private Warrants that were originally sold in a private placement at a price of $0.75 per warrant in connection with the initial public offering of Vickers Vantage Corp. I (“Vickers”) and (ii) 158,725 shares of Common Stock issuable upon the exercise of 5,555,354 public warrants at an exercise price of $402.50 per whole share (the “Public Warrants” and such shares issuable upon exercise, the “Public Warrant Shares” and such Public Warrants together with the Private Warrants, the “SPAC Warrants” and such shares underlying the SPAC Warrants, the “SPAC Warrant Shares”). The Public Warrants were originally sold to the public investors in connection with the initial public offering of units of Vickers at a price of $10.00 per unit, with each unit consisting of one ordinary share of Vickers and one-half of one warrant to purchase one ordinary share of Vickers, on a pre-Reverse Stock Split basis (as defined below).</w:t>
      </w:r>
    </w:p>
    <w:p>
      <w:pPr>
        <w:spacing w:after="0" w:line="201" w:lineRule="exact"/>
        <w:rPr>
          <w:sz w:val="24"/>
          <w:szCs w:val="24"/>
          <w:color w:val="auto"/>
        </w:rPr>
      </w:pPr>
    </w:p>
    <w:p>
      <w:pPr>
        <w:jc w:val="both"/>
        <w:ind w:firstLine="374"/>
        <w:spacing w:after="0"/>
        <w:rPr>
          <w:sz w:val="20"/>
          <w:szCs w:val="20"/>
          <w:color w:val="auto"/>
        </w:rPr>
      </w:pPr>
      <w:r>
        <w:rPr>
          <w:rFonts w:ascii="Times New Roman" w:cs="Times New Roman" w:eastAsia="Times New Roman" w:hAnsi="Times New Roman"/>
          <w:sz w:val="18"/>
          <w:szCs w:val="18"/>
          <w:color w:val="auto"/>
        </w:rPr>
        <w:t>As a result of the reverse stock split described elsewhere in the Prospectus, each SPAC Warrant entitles the holder thereof to purchase 1/35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of a share of our Common Stock at a price of $402.50 per whole share (provided that in no event shall the holder of any such warrants be entitled, upon the exercise of such warrants, to receive a fractional interest in a share of Common Stock upon such exercise and the Company shall, upon such exercise, round up to the nearest whole number of shares of Common Stock to be issued to such holder). We will not receive the proceeds from the resale of the Private Warrant Shares hereunder; however, we will receive the proceeds from any exercise of the SPAC Warrants.</w:t>
      </w:r>
    </w:p>
    <w:p>
      <w:pPr>
        <w:spacing w:after="0" w:line="199"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color w:val="auto"/>
        </w:rPr>
        <w:t>The Prospectus and this prospectus supplement also relate to the offer and sale from time to time by:</w:t>
      </w:r>
    </w:p>
    <w:p>
      <w:pPr>
        <w:spacing w:after="0" w:line="225"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color w:val="auto"/>
        </w:rPr>
        <w:t>(a)the selling stockholders named in the Prospectus (including their permitted transferees, donees, pledgees and other successors-in-interest)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(collectively, the “Selling Stockholders”) of up to an aggregate of 1,594,207 shares (the “Resale Shares”) of our Common Stock, consisting of:</w:t>
      </w:r>
    </w:p>
    <w:p>
      <w:pPr>
        <w:spacing w:after="0" w:line="207" w:lineRule="exact"/>
        <w:rPr>
          <w:sz w:val="24"/>
          <w:szCs w:val="24"/>
          <w:color w:val="auto"/>
        </w:rPr>
      </w:pPr>
    </w:p>
    <w:p>
      <w:pPr>
        <w:jc w:val="both"/>
        <w:ind w:left="380" w:firstLine="376"/>
        <w:spacing w:after="0" w:line="261" w:lineRule="auto"/>
        <w:tabs>
          <w:tab w:leader="none" w:pos="10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41,082 shares of Common Stock (the “Sponsor Shares”) held by Vickers Venture Fund VI Pte Ltd, Vickers Venture Fund VI (Plan) Pte Ltd and Suneel Kaji (collectively, the “Sponsors”), consisting of shares that were issued on November 9, 2022 upon conversion of the same number of our former ordinary shares (initially acquired by the Sponsors prior to the initial public offering of units of Vickers Vantage Corp. I at a purchase price of $0.245 per ordinary share) in connection with the Domestication (as defined below) and 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94" w:lineRule="exact"/>
        <w:rPr>
          <w:sz w:val="20"/>
          <w:szCs w:val="20"/>
          <w:color w:val="auto"/>
        </w:rPr>
      </w:pPr>
    </w:p>
    <w:p>
      <w:pPr>
        <w:jc w:val="both"/>
        <w:ind w:left="380"/>
        <w:spacing w:after="0" w:line="266" w:lineRule="auto"/>
        <w:rPr>
          <w:sz w:val="20"/>
          <w:szCs w:val="20"/>
          <w:color w:val="auto"/>
        </w:rPr>
      </w:pPr>
      <w:r>
        <w:rPr>
          <w:rFonts w:ascii="Times New Roman" w:cs="Times New Roman" w:eastAsia="Times New Roman" w:hAnsi="Times New Roman"/>
          <w:sz w:val="18"/>
          <w:szCs w:val="18"/>
          <w:color w:val="auto"/>
        </w:rPr>
        <w:t>Business Combination and shares that were also issued on November 9, 2022 upon the contribution of certain indebtedness by Vickers Venture Fund VI Pte Ltd and Vickers Venture Fund VI (Plan) Pte Ltd at a contribution value of $350.00 per share, in connection with the Business Combination pursuant to a debt contribution agreement;</w:t>
      </w:r>
    </w:p>
    <w:p>
      <w:pPr>
        <w:spacing w:after="0" w:line="176" w:lineRule="exact"/>
        <w:rPr>
          <w:sz w:val="20"/>
          <w:szCs w:val="20"/>
          <w:color w:val="auto"/>
        </w:rPr>
      </w:pPr>
    </w:p>
    <w:p>
      <w:pPr>
        <w:jc w:val="both"/>
        <w:ind w:left="380" w:firstLine="376"/>
        <w:spacing w:after="0" w:line="261" w:lineRule="auto"/>
        <w:tabs>
          <w:tab w:leader="none" w:pos="10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1,513,040 shares of Common Stock (the “Merger Shares”) originally issued to Sorrento on November 10, 2022 in connection with the Business Combination at an equity consideration value of $350.00 per share, of which 1,458,263 shares were subsequently transferred to and are held by SCLX Stock Acquisition JV, our wholly owned subsidiary (“SCLX JV”), and 54,777 shares are held by Sorrento in abeyance for the benefit of certain holders of warrants to purchase shares of common stock of Sorrento; and</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(iii)up to 40,085 Private Warrant Shares issuable upon the exercise of the Private Warrants at an exercise price of $402.50 per whole share; and</w:t>
      </w:r>
    </w:p>
    <w:p>
      <w:pPr>
        <w:spacing w:after="0" w:line="22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(b)the selling warrantholders named in the Prospectus (including their permitted transferees, donees, pledgees and other successors-in-interest) (the “Selling Warrantholders” and, together with the Selling Stockholders, the “Selling Securityholders”) of up to 1,402,955 Private Warrants (which were originally issued at a price of $0.75 per Private Warrant). In connection with the Reverse Stock Split, the SPAC Warrants (which include the Private Warrants) were adjusted in accordance with their terms such that the number of outstanding SPAC Warrants was unchanged, and each SPAC Warrant now entitles the holder to purchase 1/35th of a share of Common Stock at an exercise price of $402.50 per whole share (provided that in no event shall the holder of any such warrants be entitled, upon the exercise of such warrants, to receive a fractional interest in a share of Common Stock upon such exercise and the Company shall, upon such exercise, round up to the nearest whole number of shares of Common Stock to be issued to such holder).</w:t>
      </w:r>
    </w:p>
    <w:p>
      <w:pPr>
        <w:spacing w:after="0" w:line="18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“SCLX”. On June 23, 2025, the last reported sales price per share of our Common Stock was $4.98. Our Public Warrants are listed on the Nasdaq Capital Market under the symbol “SCLXW.” On June 23, 2025, the closing sale price per warrant of our Public Warrants was $0.0855.</w:t>
      </w:r>
    </w:p>
    <w:p>
      <w:pPr>
        <w:spacing w:after="0" w:line="17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On April 15, 2025, we effected a reverse stock split of our Common Stock at a ratio of 1-for-35 (the “Reverse Stock Split”). Unless otherwise noted, the share and per share information in the Prospectus and this prospectus supplement reflects the effect of the Reverse Stock Split. The Company’s historical financial statements included in the Prospectus and this prospectus supplement do not reflect the Reverse Stock Split.</w:t>
      </w:r>
    </w:p>
    <w:p>
      <w:pPr>
        <w:spacing w:after="0" w:line="17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76" w:lineRule="exact"/>
        <w:rPr>
          <w:sz w:val="20"/>
          <w:szCs w:val="20"/>
          <w:color w:val="auto"/>
        </w:rPr>
      </w:pPr>
    </w:p>
    <w:p>
      <w:pPr>
        <w:jc w:val="both"/>
        <w:ind w:firstLine="374"/>
        <w:spacing w:after="0" w:line="286" w:lineRule="auto"/>
        <w:rPr>
          <w:sz w:val="20"/>
          <w:szCs w:val="20"/>
          <w:color w:val="auto"/>
        </w:rPr>
      </w:pPr>
      <w:r>
        <w:rPr>
          <w:rFonts w:ascii="Times New Roman" w:cs="Times New Roman" w:eastAsia="Times New Roman" w:hAnsi="Times New Roman"/>
          <w:sz w:val="18"/>
          <w:szCs w:val="18"/>
          <w:b w:val="1"/>
          <w:bCs w:val="1"/>
          <w:color w:val="auto"/>
        </w:rPr>
        <w:t>See the section titled “Risk Factors” beginning on page 23 of the Prospectus as well as risks and uncertainties described under similar headings in any amendments or supplements to the Prospectus to read about factors you should consider before buying our securities.</w:t>
      </w:r>
    </w:p>
    <w:p>
      <w:pPr>
        <w:spacing w:after="0" w:line="15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22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passed upon the accuracy or adequacy of this prospectus supplement or the Prospectus. Any representation to the contrary is a criminal offense.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June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1172845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20, 2025</w:t>
      </w:r>
    </w:p>
    <w:p>
      <w:pPr>
        <w:spacing w:after="0" w:line="6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SCILEX HOLDING COMPANY</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41" w:lineRule="exact"/>
        <w:rPr>
          <w:sz w:val="20"/>
          <w:szCs w:val="20"/>
          <w:color w:val="auto"/>
        </w:rPr>
      </w:pPr>
    </w:p>
    <w:tbl>
      <w:tblPr>
        <w:tblLayout w:type="fixed"/>
        <w:tblInd w:w="1060" w:type="dxa"/>
        <w:tblCellMar>
          <w:top w:w="0" w:type="dxa"/>
          <w:left w:w="0" w:type="dxa"/>
          <w:bottom w:w="0" w:type="dxa"/>
          <w:right w:w="0" w:type="dxa"/>
        </w:tblCellMar>
      </w:tblPr>
      <w:tr>
        <w:trPr>
          <w:trHeight w:val="214"/>
        </w:trPr>
        <w:tc>
          <w:tcPr>
            <w:tcW w:w="2080" w:type="dxa"/>
            <w:vAlign w:val="bottom"/>
          </w:tcPr>
          <w:p>
            <w:pPr>
              <w:jc w:val="center"/>
              <w:ind w:right="3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00" w:type="dxa"/>
            <w:vAlign w:val="bottom"/>
          </w:tcPr>
          <w:p>
            <w:pPr>
              <w:jc w:val="right"/>
              <w:ind w:right="2139"/>
              <w:spacing w:after="0"/>
              <w:rPr>
                <w:sz w:val="20"/>
                <w:szCs w:val="20"/>
                <w:color w:val="auto"/>
              </w:rPr>
            </w:pPr>
            <w:r>
              <w:rPr>
                <w:rFonts w:ascii="Times New Roman" w:cs="Times New Roman" w:eastAsia="Times New Roman" w:hAnsi="Times New Roman"/>
                <w:sz w:val="18"/>
                <w:szCs w:val="18"/>
                <w:b w:val="1"/>
                <w:bCs w:val="1"/>
                <w:color w:val="auto"/>
              </w:rPr>
              <w:t>001-39852</w:t>
            </w:r>
          </w:p>
        </w:tc>
        <w:tc>
          <w:tcPr>
            <w:tcW w:w="1700" w:type="dxa"/>
            <w:vAlign w:val="bottom"/>
          </w:tcPr>
          <w:p>
            <w:pPr>
              <w:jc w:val="center"/>
              <w:ind w:left="482"/>
              <w:spacing w:after="0"/>
              <w:rPr>
                <w:sz w:val="20"/>
                <w:szCs w:val="20"/>
                <w:color w:val="auto"/>
              </w:rPr>
            </w:pPr>
            <w:r>
              <w:rPr>
                <w:rFonts w:ascii="Times New Roman" w:cs="Times New Roman" w:eastAsia="Times New Roman" w:hAnsi="Times New Roman"/>
                <w:sz w:val="18"/>
                <w:szCs w:val="18"/>
                <w:b w:val="1"/>
                <w:bCs w:val="1"/>
                <w:color w:val="auto"/>
                <w:w w:val="98"/>
              </w:rPr>
              <w:t>92-1062542</w:t>
            </w:r>
          </w:p>
        </w:tc>
      </w:tr>
      <w:tr>
        <w:trPr>
          <w:trHeight w:val="148"/>
        </w:trPr>
        <w:tc>
          <w:tcPr>
            <w:tcW w:w="2080" w:type="dxa"/>
            <w:vAlign w:val="bottom"/>
          </w:tcPr>
          <w:p>
            <w:pPr>
              <w:jc w:val="center"/>
              <w:ind w:right="3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10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700" w:type="dxa"/>
            <w:vAlign w:val="bottom"/>
          </w:tcPr>
          <w:p>
            <w:pPr>
              <w:jc w:val="center"/>
              <w:ind w:left="4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80" w:type="dxa"/>
            <w:vAlign w:val="bottom"/>
          </w:tcPr>
          <w:p>
            <w:pPr>
              <w:jc w:val="center"/>
              <w:ind w:right="34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1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00" w:type="dxa"/>
            <w:vAlign w:val="bottom"/>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42"/>
        </w:trPr>
        <w:tc>
          <w:tcPr>
            <w:tcW w:w="2080" w:type="dxa"/>
            <w:vAlign w:val="bottom"/>
          </w:tcPr>
          <w:p>
            <w:pPr>
              <w:spacing w:after="0"/>
              <w:rPr>
                <w:sz w:val="21"/>
                <w:szCs w:val="21"/>
                <w:color w:val="auto"/>
              </w:rPr>
            </w:pPr>
          </w:p>
        </w:tc>
        <w:tc>
          <w:tcPr>
            <w:tcW w:w="510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960 San Antonio Road, Palo Alto, California, 94303</w:t>
            </w:r>
          </w:p>
        </w:tc>
        <w:tc>
          <w:tcPr>
            <w:tcW w:w="1700" w:type="dxa"/>
            <w:vAlign w:val="bottom"/>
          </w:tcPr>
          <w:p>
            <w:pPr>
              <w:spacing w:after="0"/>
              <w:rPr>
                <w:sz w:val="21"/>
                <w:szCs w:val="21"/>
                <w:color w:val="auto"/>
              </w:rPr>
            </w:pPr>
          </w:p>
        </w:tc>
      </w:tr>
      <w:tr>
        <w:trPr>
          <w:trHeight w:val="190"/>
        </w:trPr>
        <w:tc>
          <w:tcPr>
            <w:tcW w:w="2080" w:type="dxa"/>
            <w:vAlign w:val="bottom"/>
          </w:tcPr>
          <w:p>
            <w:pPr>
              <w:spacing w:after="0"/>
              <w:rPr>
                <w:sz w:val="16"/>
                <w:szCs w:val="16"/>
                <w:color w:val="auto"/>
              </w:rPr>
            </w:pPr>
          </w:p>
        </w:tc>
        <w:tc>
          <w:tcPr>
            <w:tcW w:w="51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700" w:type="dxa"/>
            <w:vAlign w:val="bottom"/>
          </w:tcPr>
          <w:p>
            <w:pPr>
              <w:spacing w:after="0"/>
              <w:rPr>
                <w:sz w:val="16"/>
                <w:szCs w:val="16"/>
                <w:color w:val="auto"/>
              </w:rPr>
            </w:pPr>
          </w:p>
        </w:tc>
      </w:tr>
      <w:tr>
        <w:trPr>
          <w:trHeight w:val="253"/>
        </w:trPr>
        <w:tc>
          <w:tcPr>
            <w:tcW w:w="2080" w:type="dxa"/>
            <w:vAlign w:val="bottom"/>
          </w:tcPr>
          <w:p>
            <w:pPr>
              <w:spacing w:after="0"/>
              <w:rPr>
                <w:sz w:val="22"/>
                <w:szCs w:val="22"/>
                <w:color w:val="auto"/>
              </w:rPr>
            </w:pPr>
          </w:p>
        </w:tc>
        <w:tc>
          <w:tcPr>
            <w:tcW w:w="5100" w:type="dxa"/>
            <w:vAlign w:val="bottom"/>
          </w:tcPr>
          <w:p>
            <w:pPr>
              <w:jc w:val="right"/>
              <w:ind w:right="1979"/>
              <w:spacing w:after="0"/>
              <w:rPr>
                <w:sz w:val="20"/>
                <w:szCs w:val="20"/>
                <w:color w:val="auto"/>
              </w:rPr>
            </w:pPr>
            <w:r>
              <w:rPr>
                <w:rFonts w:ascii="Times New Roman" w:cs="Times New Roman" w:eastAsia="Times New Roman" w:hAnsi="Times New Roman"/>
                <w:sz w:val="18"/>
                <w:szCs w:val="18"/>
                <w:b w:val="1"/>
                <w:bCs w:val="1"/>
                <w:color w:val="auto"/>
              </w:rPr>
              <w:t>(650) 516-4310</w:t>
            </w:r>
          </w:p>
        </w:tc>
        <w:tc>
          <w:tcPr>
            <w:tcW w:w="1700" w:type="dxa"/>
            <w:vAlign w:val="bottom"/>
          </w:tcPr>
          <w:p>
            <w:pPr>
              <w:spacing w:after="0"/>
              <w:rPr>
                <w:sz w:val="22"/>
                <w:szCs w:val="22"/>
                <w:color w:val="auto"/>
              </w:rPr>
            </w:pPr>
          </w:p>
        </w:tc>
      </w:tr>
      <w:tr>
        <w:trPr>
          <w:trHeight w:val="220"/>
        </w:trPr>
        <w:tc>
          <w:tcPr>
            <w:tcW w:w="2080" w:type="dxa"/>
            <w:vAlign w:val="bottom"/>
          </w:tcPr>
          <w:p>
            <w:pPr>
              <w:spacing w:after="0"/>
              <w:rPr>
                <w:sz w:val="19"/>
                <w:szCs w:val="19"/>
                <w:color w:val="auto"/>
              </w:rPr>
            </w:pPr>
          </w:p>
        </w:tc>
        <w:tc>
          <w:tcPr>
            <w:tcW w:w="51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00" w:type="dxa"/>
            <w:vAlign w:val="bottom"/>
          </w:tcPr>
          <w:p>
            <w:pPr>
              <w:spacing w:after="0"/>
              <w:rPr>
                <w:sz w:val="19"/>
                <w:szCs w:val="19"/>
                <w:color w:val="auto"/>
              </w:rPr>
            </w:pPr>
          </w:p>
        </w:tc>
      </w:tr>
      <w:tr>
        <w:trPr>
          <w:trHeight w:val="228"/>
        </w:trPr>
        <w:tc>
          <w:tcPr>
            <w:tcW w:w="2080" w:type="dxa"/>
            <w:vAlign w:val="bottom"/>
          </w:tcPr>
          <w:p>
            <w:pPr>
              <w:spacing w:after="0"/>
              <w:rPr>
                <w:sz w:val="19"/>
                <w:szCs w:val="19"/>
                <w:color w:val="auto"/>
              </w:rPr>
            </w:pPr>
          </w:p>
        </w:tc>
        <w:tc>
          <w:tcPr>
            <w:tcW w:w="510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w:t>
            </w:r>
          </w:p>
        </w:tc>
        <w:tc>
          <w:tcPr>
            <w:tcW w:w="1700" w:type="dxa"/>
            <w:vAlign w:val="bottom"/>
          </w:tcPr>
          <w:p>
            <w:pPr>
              <w:spacing w:after="0"/>
              <w:rPr>
                <w:sz w:val="19"/>
                <w:szCs w:val="19"/>
                <w:color w:val="auto"/>
              </w:rPr>
            </w:pPr>
          </w:p>
        </w:tc>
      </w:tr>
      <w:tr>
        <w:trPr>
          <w:trHeight w:val="190"/>
        </w:trPr>
        <w:tc>
          <w:tcPr>
            <w:tcW w:w="2080" w:type="dxa"/>
            <w:vAlign w:val="bottom"/>
          </w:tcPr>
          <w:p>
            <w:pPr>
              <w:spacing w:after="0"/>
              <w:rPr>
                <w:sz w:val="16"/>
                <w:szCs w:val="16"/>
                <w:color w:val="auto"/>
              </w:rPr>
            </w:pPr>
          </w:p>
        </w:tc>
        <w:tc>
          <w:tcPr>
            <w:tcW w:w="51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00" w:type="dxa"/>
            <w:vAlign w:val="bottom"/>
          </w:tcPr>
          <w:p>
            <w:pPr>
              <w:spacing w:after="0"/>
              <w:rPr>
                <w:sz w:val="16"/>
                <w:szCs w:val="16"/>
                <w:color w:val="auto"/>
              </w:rPr>
            </w:pPr>
          </w:p>
        </w:tc>
      </w:tr>
      <w:tr>
        <w:trPr>
          <w:trHeight w:val="253"/>
        </w:trPr>
        <w:tc>
          <w:tcPr>
            <w:tcW w:w="2080" w:type="dxa"/>
            <w:vAlign w:val="bottom"/>
          </w:tcPr>
          <w:p>
            <w:pPr>
              <w:spacing w:after="0"/>
              <w:rPr>
                <w:sz w:val="22"/>
                <w:szCs w:val="22"/>
                <w:color w:val="auto"/>
              </w:rPr>
            </w:pPr>
          </w:p>
        </w:tc>
        <w:tc>
          <w:tcPr>
            <w:tcW w:w="5100" w:type="dxa"/>
            <w:vAlign w:val="bottom"/>
          </w:tcPr>
          <w:p>
            <w:pPr>
              <w:jc w:val="right"/>
              <w:ind w:right="1499"/>
              <w:spacing w:after="0"/>
              <w:rPr>
                <w:sz w:val="20"/>
                <w:szCs w:val="20"/>
                <w:color w:val="auto"/>
              </w:rPr>
            </w:pPr>
            <w:r>
              <w:rPr>
                <w:rFonts w:ascii="Times New Roman" w:cs="Times New Roman" w:eastAsia="Times New Roman" w:hAnsi="Times New Roman"/>
                <w:sz w:val="18"/>
                <w:szCs w:val="18"/>
                <w:b w:val="1"/>
                <w:bCs w:val="1"/>
                <w:color w:val="auto"/>
              </w:rPr>
              <w:t>_______________________</w:t>
            </w:r>
          </w:p>
        </w:tc>
        <w:tc>
          <w:tcPr>
            <w:tcW w:w="1700" w:type="dxa"/>
            <w:vAlign w:val="bottom"/>
          </w:tcPr>
          <w:p>
            <w:pPr>
              <w:spacing w:after="0"/>
              <w:rPr>
                <w:sz w:val="22"/>
                <w:szCs w:val="22"/>
                <w:color w:val="auto"/>
              </w:rPr>
            </w:pPr>
          </w:p>
        </w:tc>
      </w:tr>
    </w:tbl>
    <w:p>
      <w:pPr>
        <w:spacing w:after="0" w:line="36"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1" w:lineRule="exact"/>
        <w:rPr>
          <w:sz w:val="20"/>
          <w:szCs w:val="20"/>
          <w:color w:val="auto"/>
        </w:rPr>
      </w:pPr>
    </w:p>
    <w:p>
      <w:pPr>
        <w:ind w:left="1080" w:hanging="563"/>
        <w:spacing w:after="0"/>
        <w:tabs>
          <w:tab w:leader="none" w:pos="10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1080" w:hanging="563"/>
        <w:spacing w:after="0"/>
        <w:tabs>
          <w:tab w:leader="none" w:pos="10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1080" w:hanging="563"/>
        <w:spacing w:after="0"/>
        <w:tabs>
          <w:tab w:leader="none" w:pos="10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right="2120" w:firstLine="517"/>
        <w:spacing w:after="0" w:line="349" w:lineRule="auto"/>
        <w:tabs>
          <w:tab w:leader="none" w:pos="1076"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Exchange Act:</w:t>
      </w:r>
    </w:p>
    <w:p>
      <w:pPr>
        <w:spacing w:after="0" w:line="2"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76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(Name of exchange on which registered)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376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Common Stock, par value $0.0001 per share</w:t>
            </w:r>
          </w:p>
        </w:tc>
        <w:tc>
          <w:tcPr>
            <w:tcW w:w="220" w:type="dxa"/>
            <w:vAlign w:val="bottom"/>
            <w:vMerge w:val="continue"/>
          </w:tcPr>
          <w:p>
            <w:pPr>
              <w:spacing w:after="0"/>
              <w:rPr>
                <w:sz w:val="15"/>
                <w:szCs w:val="15"/>
                <w:color w:val="auto"/>
              </w:rPr>
            </w:pPr>
          </w:p>
        </w:tc>
        <w:tc>
          <w:tcPr>
            <w:tcW w:w="216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SCLX</w:t>
            </w:r>
          </w:p>
        </w:tc>
        <w:tc>
          <w:tcPr>
            <w:tcW w:w="220" w:type="dxa"/>
            <w:vAlign w:val="bottom"/>
            <w:vMerge w:val="continue"/>
          </w:tcPr>
          <w:p>
            <w:pPr>
              <w:spacing w:after="0"/>
              <w:rPr>
                <w:sz w:val="15"/>
                <w:szCs w:val="15"/>
                <w:color w:val="auto"/>
              </w:rPr>
            </w:pPr>
          </w:p>
        </w:tc>
        <w:tc>
          <w:tcPr>
            <w:tcW w:w="46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The Nasdaq Stock Market LLC</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Warrants to purchase one share of common</w:t>
            </w:r>
          </w:p>
        </w:tc>
        <w:tc>
          <w:tcPr>
            <w:tcW w:w="23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SCLXW</w:t>
            </w:r>
          </w:p>
        </w:tc>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c>
          <w:tcPr>
            <w:tcW w:w="0" w:type="dxa"/>
            <w:vAlign w:val="bottom"/>
          </w:tcPr>
          <w:p>
            <w:pPr>
              <w:spacing w:after="0"/>
              <w:rPr>
                <w:sz w:val="1"/>
                <w:szCs w:val="1"/>
                <w:color w:val="auto"/>
              </w:rPr>
            </w:pPr>
          </w:p>
        </w:tc>
      </w:tr>
      <w:tr>
        <w:trPr>
          <w:trHeight w:val="23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 each at an exercise price of $402.50</w:t>
            </w: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64" w:lineRule="exact"/>
        <w:rPr>
          <w:sz w:val="20"/>
          <w:szCs w:val="20"/>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930275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3" w:name="page4"/>
    <w:bookmarkEnd w:id="3"/>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20, 2025, Scilex Holding Company (the “Company”) reconvened its 2025 Annual Meeting of Stockholders (the “Meeting”). At the Meeting, a total of (i) 29,057,097 shares of the Company’s Series A preferred stock, $0.0001 par value per share (the “Series A Preferred Stock”), or 100% of the 29,057,097 shares of Series A Preferred Stock, issued and outstanding, and (ii) 4,678,182 shares of the Company’s common stock, $0.0001 par value per share (the “Common Stock”), or approximately 67.3% of the 6,951,622 shares of Common Stock, issued and outstanding, both as of the close of business on May 15, 2025, the record date for the Meeting, were represented virtually or by proxy.</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holder of Series A Preferred Stock was entitled to vote, together with the holders of Common Stock and not separately as a class, on an as converted to Common Stock basis for an aggregate of 922,447 votes as a result of the adjustments to the deemed conversion price of such preferred stock in accordance with the Certificate of Designations of Series A Preferred Stock, filed with the Delaware Secretary of State on November 10, 2022.</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Meeting, the Company’s stockholders considered two proposals, each of which is described in more detail in the Company’s definitive proxy statement filed with the Securities and Exchange Commission on May 16,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a brief description of each proposal voted upon at the Meeting and the voting results with respect to each proposal.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No. 1: </w:t>
      </w:r>
      <w:r>
        <w:rPr>
          <w:rFonts w:ascii="Times New Roman" w:cs="Times New Roman" w:eastAsia="Times New Roman" w:hAnsi="Times New Roman"/>
          <w:sz w:val="18"/>
          <w:szCs w:val="18"/>
          <w:color w:val="auto"/>
        </w:rPr>
        <w:t>To elect the following nominees as Class III directors to serve until the Company’s 2028 Annual Meeting of Stockholders.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Withhold</w:t>
            </w:r>
          </w:p>
        </w:tc>
        <w:tc>
          <w:tcPr>
            <w:tcW w:w="1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6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r>
        <w:trPr>
          <w:trHeight w:val="218"/>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Jaisim Shah</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3,537,589</w:t>
            </w: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323,203</w:t>
            </w:r>
          </w:p>
        </w:tc>
        <w:tc>
          <w:tcPr>
            <w:tcW w:w="208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1,739,837</w:t>
            </w:r>
          </w:p>
        </w:tc>
      </w:tr>
      <w:tr>
        <w:trPr>
          <w:trHeight w:val="234"/>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Henry Ji, Ph.D.</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3,433,624</w:t>
            </w: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427,168</w:t>
            </w:r>
          </w:p>
        </w:tc>
        <w:tc>
          <w:tcPr>
            <w:tcW w:w="208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1,739,837</w:t>
            </w:r>
          </w:p>
        </w:tc>
      </w:tr>
    </w:tbl>
    <w:p>
      <w:pPr>
        <w:spacing w:after="0" w:line="19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No. 2: </w:t>
      </w:r>
      <w:r>
        <w:rPr>
          <w:rFonts w:ascii="Times New Roman" w:cs="Times New Roman" w:eastAsia="Times New Roman" w:hAnsi="Times New Roman"/>
          <w:sz w:val="18"/>
          <w:szCs w:val="18"/>
          <w:color w:val="auto"/>
        </w:rPr>
        <w:t>To ratify the appointment of BPM LLP as the Company’s independent registered public accounting firm for the Company’s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ending December 31, 2025.</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w:t>
            </w:r>
          </w:p>
        </w:tc>
        <w:tc>
          <w:tcPr>
            <w:tcW w:w="5240" w:type="dxa"/>
            <w:vAlign w:val="bottom"/>
            <w:gridSpan w:val="3"/>
          </w:tcPr>
          <w:p>
            <w:pPr>
              <w:ind w:left="15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r>
      <w:tr>
        <w:trPr>
          <w:trHeight w:val="20"/>
        </w:trPr>
        <w:tc>
          <w:tcPr>
            <w:tcW w:w="2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237"/>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5,354,958</w:t>
            </w:r>
          </w:p>
        </w:tc>
        <w:tc>
          <w:tcPr>
            <w:tcW w:w="21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w w:val="99"/>
              </w:rPr>
              <w:t>166,743</w:t>
            </w:r>
          </w:p>
        </w:tc>
        <w:tc>
          <w:tcPr>
            <w:tcW w:w="31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78,928</w:t>
            </w:r>
          </w:p>
        </w:tc>
      </w:tr>
    </w:tbl>
    <w:p>
      <w:pPr>
        <w:spacing w:after="0" w:line="200" w:lineRule="exact"/>
        <w:rPr>
          <w:sz w:val="20"/>
          <w:szCs w:val="20"/>
          <w:color w:val="auto"/>
        </w:rPr>
      </w:pPr>
    </w:p>
    <w:p>
      <w:pPr>
        <w:spacing w:after="0" w:line="21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w:t>
      </w:r>
    </w:p>
    <w:p>
      <w:pPr>
        <w:spacing w:after="0" w:line="31"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u w:val="single" w:color="auto"/>
          <w:color w:val="auto"/>
        </w:rPr>
        <w:t>Number</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9" w:lineRule="exact"/>
        <w:rPr>
          <w:sz w:val="20"/>
          <w:szCs w:val="20"/>
          <w:color w:val="auto"/>
        </w:rPr>
      </w:pPr>
    </w:p>
    <w:p>
      <w:pPr>
        <w:ind w:left="1320" w:hanging="1312"/>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Extensible Business Reporting Language (iXBRL).</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8"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792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SCILEX HOLDING COMPANY</w:t>
            </w:r>
          </w:p>
        </w:tc>
      </w:tr>
      <w:tr>
        <w:trPr>
          <w:trHeight w:val="432"/>
        </w:trPr>
        <w:tc>
          <w:tcPr>
            <w:tcW w:w="3320" w:type="dxa"/>
            <w:vAlign w:val="bottom"/>
          </w:tcPr>
          <w:p>
            <w:pPr>
              <w:spacing w:after="0"/>
              <w:rPr>
                <w:sz w:val="24"/>
                <w:szCs w:val="24"/>
                <w:color w:val="auto"/>
              </w:rPr>
            </w:pPr>
          </w:p>
        </w:tc>
        <w:tc>
          <w:tcPr>
            <w:tcW w:w="25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Jaisim Shah</w:t>
            </w:r>
          </w:p>
        </w:tc>
      </w:tr>
      <w:tr>
        <w:trPr>
          <w:trHeight w:val="191"/>
        </w:trPr>
        <w:tc>
          <w:tcPr>
            <w:tcW w:w="3320" w:type="dxa"/>
            <w:vAlign w:val="bottom"/>
          </w:tcPr>
          <w:p>
            <w:pPr>
              <w:spacing w:after="0"/>
              <w:rPr>
                <w:sz w:val="16"/>
                <w:szCs w:val="16"/>
                <w:color w:val="auto"/>
              </w:rPr>
            </w:pPr>
          </w:p>
        </w:tc>
        <w:tc>
          <w:tcPr>
            <w:tcW w:w="2540" w:type="dxa"/>
            <w:vAlign w:val="bottom"/>
          </w:tcPr>
          <w:p>
            <w:pPr>
              <w:ind w:left="18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Jaisim Shah</w:t>
            </w: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June 23, 2025</w:t>
            </w:r>
          </w:p>
        </w:tc>
        <w:tc>
          <w:tcPr>
            <w:tcW w:w="25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648"/>
        </w:trPr>
        <w:tc>
          <w:tcPr>
            <w:tcW w:w="3320" w:type="dxa"/>
            <w:vAlign w:val="bottom"/>
          </w:tcPr>
          <w:p>
            <w:pPr>
              <w:spacing w:after="0"/>
              <w:rPr>
                <w:sz w:val="24"/>
                <w:szCs w:val="24"/>
                <w:color w:val="auto"/>
              </w:rPr>
            </w:pPr>
          </w:p>
        </w:tc>
        <w:tc>
          <w:tcPr>
            <w:tcW w:w="25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3</w:t>
            </w:r>
          </w:p>
        </w:tc>
        <w:tc>
          <w:tcPr>
            <w:tcW w:w="5380" w:type="dxa"/>
            <w:vAlign w:val="bottom"/>
          </w:tcPr>
          <w:p>
            <w:pPr>
              <w:spacing w:after="0"/>
              <w:rPr>
                <w:sz w:val="24"/>
                <w:szCs w:val="24"/>
                <w:color w:val="auto"/>
              </w:rPr>
            </w:pPr>
          </w:p>
        </w:tc>
      </w:tr>
      <w:tr>
        <w:trPr>
          <w:trHeight w:val="979"/>
        </w:trPr>
        <w:tc>
          <w:tcPr>
            <w:tcW w:w="332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2025-06-24T15:18:03Z</dcterms:created>
  <dcterms:modified xsi:type="dcterms:W3CDTF">2025-06-24T15:18:03Z</dcterms:modified>
</cp:coreProperties>
</file>