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32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-177800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-547370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612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-592455</wp:posOffset>
            </wp:positionV>
            <wp:extent cx="5651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3874135</wp:posOffset>
            </wp:positionH>
            <wp:positionV relativeFrom="paragraph">
              <wp:posOffset>-592455</wp:posOffset>
            </wp:positionV>
            <wp:extent cx="56515" cy="605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-1753235</wp:posOffset>
            </wp:positionH>
            <wp:positionV relativeFrom="paragraph">
              <wp:posOffset>627380</wp:posOffset>
            </wp:positionV>
            <wp:extent cx="7049770" cy="4376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70" cy="437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Scilex Holding Co</w:t>
        </w:r>
      </w:hyperlink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960 SAN ANTONIO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Datavault AI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DVLT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780" w:firstLine="7"/>
        <w:spacing w:after="0" w:line="272" w:lineRule="auto"/>
        <w:tabs>
          <w:tab w:leader="none" w:pos="12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33"/>
        <w:spacing w:after="0"/>
        <w:tabs>
          <w:tab w:leader="none" w:pos="173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16205" cy="95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2"/>
          <w:szCs w:val="12"/>
          <w:color w:val="auto"/>
        </w:rPr>
        <w:t xml:space="preserve">   10% Owner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PALO ALTO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94303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11/25/2025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263,914,094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265,524,859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11/28/2025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422,299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2.0629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265,102,560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Purchase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0.0001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11/25/2025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X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263,914,094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11/25/2025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263,914,094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The warrant expired on November 25, 2025 upon exercise in full in accordance with its terms.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2" w:right="359" w:bottom="1440" w:gutter="0" w:footer="0" w:header="0"/>
          <w:type w:val="continuous"/>
        </w:sectPr>
      </w:pP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/s/ Henry Ji, Scilex Holding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0</wp:posOffset>
            </wp:positionV>
            <wp:extent cx="11207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Company, Chief Executive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08648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Officer, President 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88011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Chairperson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492125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11/28/2025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4660" cy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360" w:space="440"/>
            <w:col w:w="2280"/>
          </w:cols>
          <w:pgMar w:left="460" w:top="21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820190" TargetMode="External"/><Relationship Id="rId14" Type="http://schemas.openxmlformats.org/officeDocument/2006/relationships/hyperlink" Target="http://www.sec.gov/cgi-bin/browse-edgar?action=getcompany&amp;CIK=00016821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2025-11-28T21:00:32Z</dcterms:created>
  <dcterms:modified xsi:type="dcterms:W3CDTF">2025-11-28T21:00:32Z</dcterms:modified>
</cp:coreProperties>
</file>