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29, 2026</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 w:lineRule="exact"/>
        <w:rPr>
          <w:sz w:val="24"/>
          <w:szCs w:val="24"/>
          <w:color w:val="auto"/>
        </w:rPr>
      </w:pPr>
    </w:p>
    <w:tbl>
      <w:tblPr>
        <w:tblLayout w:type="fixed"/>
        <w:tblInd w:w="120" w:type="dxa"/>
        <w:tblCellMar>
          <w:top w:w="0" w:type="dxa"/>
          <w:left w:w="0" w:type="dxa"/>
          <w:bottom w:w="0" w:type="dxa"/>
          <w:right w:w="0" w:type="dxa"/>
        </w:tblCellMar>
      </w:tblPr>
      <w:tr>
        <w:trPr>
          <w:trHeight w:val="237"/>
        </w:trPr>
        <w:tc>
          <w:tcPr>
            <w:tcW w:w="674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80" w:type="dxa"/>
            <w:vAlign w:val="bottom"/>
          </w:tcPr>
          <w:p>
            <w:pPr>
              <w:jc w:val="right"/>
              <w:ind w:right="2211"/>
              <w:spacing w:after="0"/>
              <w:rPr>
                <w:sz w:val="20"/>
                <w:szCs w:val="20"/>
                <w:color w:val="auto"/>
              </w:rPr>
            </w:pPr>
            <w:r>
              <w:rPr>
                <w:rFonts w:ascii="Times New Roman" w:cs="Times New Roman" w:eastAsia="Times New Roman" w:hAnsi="Times New Roman"/>
                <w:sz w:val="18"/>
                <w:szCs w:val="18"/>
                <w:b w:val="1"/>
                <w:bCs w:val="1"/>
                <w:color w:val="auto"/>
              </w:rPr>
              <w:t>92-1062542</w:t>
            </w:r>
          </w:p>
        </w:tc>
        <w:tc>
          <w:tcPr>
            <w:tcW w:w="0" w:type="dxa"/>
            <w:vAlign w:val="bottom"/>
          </w:tcPr>
          <w:p>
            <w:pPr>
              <w:spacing w:after="0"/>
              <w:rPr>
                <w:sz w:val="1"/>
                <w:szCs w:val="1"/>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2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4280" w:type="dxa"/>
            <w:vAlign w:val="bottom"/>
          </w:tcPr>
          <w:p>
            <w:pPr>
              <w:jc w:val="center"/>
              <w:ind w:right="105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373"/>
        </w:trPr>
        <w:tc>
          <w:tcPr>
            <w:tcW w:w="6740" w:type="dxa"/>
            <w:vAlign w:val="bottom"/>
            <w:gridSpan w:val="3"/>
          </w:tcPr>
          <w:p>
            <w:pPr>
              <w:jc w:val="center"/>
              <w:ind w:left="4171"/>
              <w:spacing w:after="0"/>
              <w:rPr>
                <w:sz w:val="20"/>
                <w:szCs w:val="20"/>
                <w:color w:val="auto"/>
              </w:rPr>
            </w:pPr>
            <w:r>
              <w:rPr>
                <w:rFonts w:ascii="Times New Roman" w:cs="Times New Roman" w:eastAsia="Times New Roman" w:hAnsi="Times New Roman"/>
                <w:sz w:val="18"/>
                <w:szCs w:val="18"/>
                <w:b w:val="1"/>
                <w:bCs w:val="1"/>
                <w:color w:val="auto"/>
                <w:w w:val="98"/>
              </w:rPr>
              <w:t>Scilex Holding Company</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40" w:type="dxa"/>
            <w:vAlign w:val="bottom"/>
            <w:gridSpan w:val="3"/>
          </w:tcPr>
          <w:p>
            <w:pPr>
              <w:jc w:val="center"/>
              <w:ind w:left="4191"/>
              <w:spacing w:after="0"/>
              <w:rPr>
                <w:sz w:val="20"/>
                <w:szCs w:val="20"/>
                <w:color w:val="auto"/>
              </w:rPr>
            </w:pPr>
            <w:r>
              <w:rPr>
                <w:rFonts w:ascii="Times New Roman" w:cs="Times New Roman" w:eastAsia="Times New Roman" w:hAnsi="Times New Roman"/>
                <w:sz w:val="18"/>
                <w:szCs w:val="18"/>
                <w:b w:val="1"/>
                <w:bCs w:val="1"/>
                <w:color w:val="auto"/>
                <w:w w:val="98"/>
              </w:rPr>
              <w:t>960 San Antonio Road</w:t>
            </w: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jc w:val="center"/>
              <w:ind w:left="4191"/>
              <w:spacing w:after="0"/>
              <w:rPr>
                <w:sz w:val="20"/>
                <w:szCs w:val="20"/>
                <w:color w:val="auto"/>
              </w:rPr>
            </w:pPr>
            <w:r>
              <w:rPr>
                <w:rFonts w:ascii="Times New Roman" w:cs="Times New Roman" w:eastAsia="Times New Roman" w:hAnsi="Times New Roman"/>
                <w:sz w:val="18"/>
                <w:szCs w:val="18"/>
                <w:b w:val="1"/>
                <w:bCs w:val="1"/>
                <w:color w:val="auto"/>
                <w:w w:val="98"/>
              </w:rPr>
              <w:t>Palo Alto, CA 94303</w:t>
            </w: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0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Scilex Holding Company 2022 Equity Incentive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amended</w:t>
      </w:r>
    </w:p>
    <w:p>
      <w:pPr>
        <w:spacing w:after="0" w:line="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titles of the plans)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Henry Ji, Ph.D.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&amp; President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960 San Antonio Road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516-4310</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7"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Jeffrey T. Hartlin, Esq.</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Elizabeth A. Razzano, Esq.</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1117 S. California Avenue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7" w:lineRule="exact"/>
        <w:rPr>
          <w:sz w:val="24"/>
          <w:szCs w:val="24"/>
          <w:color w:val="auto"/>
        </w:rPr>
      </w:pPr>
    </w:p>
    <w:p>
      <w:pPr>
        <w:ind w:left="5500" w:hanging="432"/>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320-1800</w:t>
      </w:r>
    </w:p>
    <w:p>
      <w:pPr>
        <w:spacing w:after="0" w:line="6" w:lineRule="exact"/>
        <w:rPr>
          <w:rFonts w:ascii="Times New Roman" w:cs="Times New Roman" w:eastAsia="Times New Roman" w:hAnsi="Times New Roman"/>
          <w:sz w:val="18"/>
          <w:szCs w:val="18"/>
          <w:b w:val="1"/>
          <w:bCs w:val="1"/>
          <w:color w:val="auto"/>
        </w:rPr>
      </w:pPr>
    </w:p>
    <w:p>
      <w:pPr>
        <w:ind w:left="3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w:t>
      </w:r>
    </w:p>
    <w:p>
      <w:pPr>
        <w:spacing w:after="0" w:line="7" w:lineRule="exact"/>
        <w:rPr>
          <w:sz w:val="24"/>
          <w:szCs w:val="24"/>
          <w:color w:val="auto"/>
        </w:rPr>
      </w:pPr>
    </w:p>
    <w:p>
      <w:pPr>
        <w:ind w:right="520"/>
        <w:spacing w:after="0" w:line="25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4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301"/>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427"/>
        </w:trPr>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6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r>
      <w:tr>
        <w:trPr>
          <w:trHeight w:val="1367"/>
        </w:trPr>
        <w:tc>
          <w:tcPr>
            <w:tcW w:w="24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868045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976"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Scilex Holding Company (the “Registrant”) has prepared this Registration Statement on Form S-8 (the “Registration Statement”) in accordance with the requirements of Form S-8 under the Securities Act of 1933, as amended (the “Securities Act”), to register 1,300,000 additional shares of common stock, $0.0001 par value per share (“Common Stock”), of the Registrant issuable pursuant to the Scilex Holding Company 2022 Equity Incentive Plan, as amended (the “2022 Plan”). The Registrant’s stockholders initially approved the 2022 Plan on November 9, 2022. On June 24, 2026, the Registrant’s stockholders approved an amendment to the 2022 Plan to increase the number of shares of Common Stock available for issuance pursuant to the 2022 Plan by an additional 1,300,000 shares of Common Stock.</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Pursuant to the Registration Statement on Form S-8 (File No. 333-269256) filed by the Registrant with the Securities and Exchange Commission (the “Commission”) on January 17, 2023, the Registration Statement on Form S-8 (File No. 333-271739) filed by the Registrant with the Commission on May 9, 2023, the Registration Statement on Form S-8 (File No. 333-278283) filed by the Registrant with the Commission on March 27, 2024, the Registration Statement on Form S-8 (File No. 333-286291) filed by the Registrant with the Commission on April 1, 2025 and the Registration Statement on Form S-8 (File No. 333-293289) filed by the Registrant with the Commission on February 9, 2026 (collectively, the “Prior Registration Statements”), the Registrant previously registered an aggregate of 1,928,511 shares of Common Stock under the 2022 Plan.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accordance with General Instruction E to Form S-8, the contents of the Prior Registration Statements are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1021080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 into this Registration Statement:</w:t>
      </w:r>
    </w:p>
    <w:p>
      <w:pPr>
        <w:spacing w:after="0" w:line="220" w:lineRule="exact"/>
        <w:rPr>
          <w:sz w:val="20"/>
          <w:szCs w:val="20"/>
          <w:color w:val="auto"/>
        </w:rPr>
      </w:pPr>
    </w:p>
    <w:p>
      <w:pPr>
        <w:ind w:left="760" w:hanging="7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2025, filed with the Commission on April 10, 2026;</w:t>
      </w:r>
    </w:p>
    <w:p>
      <w:pPr>
        <w:spacing w:after="0" w:line="220"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2026, filed with the Commission on May 20, 2026;</w:t>
      </w:r>
    </w:p>
    <w:p>
      <w:pPr>
        <w:spacing w:after="0" w:line="220" w:lineRule="exact"/>
        <w:rPr>
          <w:rFonts w:ascii="Times New Roman" w:cs="Times New Roman" w:eastAsia="Times New Roman" w:hAnsi="Times New Roman"/>
          <w:sz w:val="18"/>
          <w:szCs w:val="18"/>
          <w:color w:val="auto"/>
        </w:rPr>
      </w:pPr>
    </w:p>
    <w:p>
      <w:pPr>
        <w:ind w:left="760" w:hanging="753"/>
        <w:spacing w:after="0" w:line="277"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Commission on February 2, 2026, February 3, 2026, February 20, 2026, April 28, 2026</w:t>
      </w:r>
      <w:r>
        <w:rPr>
          <w:rFonts w:ascii="Times New Roman" w:cs="Times New Roman" w:eastAsia="Times New Roman" w:hAnsi="Times New Roman"/>
          <w:sz w:val="18"/>
          <w:szCs w:val="18"/>
          <w:color w:val="0563C1"/>
        </w:rPr>
        <w:t>,</w:t>
      </w:r>
      <w:r>
        <w:rPr>
          <w:rFonts w:ascii="Times New Roman" w:cs="Times New Roman" w:eastAsia="Times New Roman" w:hAnsi="Times New Roman"/>
          <w:sz w:val="18"/>
          <w:szCs w:val="18"/>
          <w:color w:val="auto"/>
        </w:rPr>
        <w:t xml:space="preserve"> May 5, 2026 (excluding the information under Item 7.01), May 11, 2026 and June 24, 2026;</w:t>
      </w:r>
    </w:p>
    <w:p>
      <w:pPr>
        <w:spacing w:after="0" w:line="163" w:lineRule="exact"/>
        <w:rPr>
          <w:rFonts w:ascii="Times New Roman" w:cs="Times New Roman" w:eastAsia="Times New Roman" w:hAnsi="Times New Roman"/>
          <w:sz w:val="18"/>
          <w:szCs w:val="18"/>
          <w:color w:val="auto"/>
        </w:rPr>
      </w:pPr>
    </w:p>
    <w:p>
      <w:pPr>
        <w:jc w:val="both"/>
        <w:ind w:left="760" w:hanging="753"/>
        <w:spacing w:after="0" w:line="255"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14">
        <w:r>
          <w:rPr>
            <w:rFonts w:ascii="Times New Roman" w:cs="Times New Roman" w:eastAsia="Times New Roman" w:hAnsi="Times New Roman"/>
            <w:sz w:val="18"/>
            <w:szCs w:val="18"/>
            <w:u w:val="single" w:color="auto"/>
            <w:color w:val="0563C1"/>
          </w:rPr>
          <w:t>Exhibit 4.16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15">
        <w:r>
          <w:rPr>
            <w:rFonts w:ascii="Times New Roman" w:cs="Times New Roman" w:eastAsia="Times New Roman" w:hAnsi="Times New Roman"/>
            <w:sz w:val="18"/>
            <w:szCs w:val="18"/>
            <w:u w:val="single" w:color="auto"/>
            <w:color w:val="0563C1"/>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filed with the Commission on March 31, 2025, which updates the description of the Registrant’s Common Stock contained in the Registration Statement on </w:t>
      </w:r>
      <w:hyperlink r:id="rId16">
        <w:r>
          <w:rPr>
            <w:rFonts w:ascii="Times New Roman" w:cs="Times New Roman" w:eastAsia="Times New Roman" w:hAnsi="Times New Roman"/>
            <w:sz w:val="18"/>
            <w:szCs w:val="18"/>
            <w:u w:val="single" w:color="auto"/>
            <w:color w:val="0563C1"/>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001-39852) filed with the Commission on January 6, 2021, pursuant to Section 12(b) of the Securities Exchange Act of 1934, as amended (the “Exchange Act”), including any amendments or reports filed for the purpose of updating, amending, or otherwise modifying such description.</w:t>
      </w:r>
    </w:p>
    <w:p>
      <w:pPr>
        <w:spacing w:after="0" w:line="183" w:lineRule="exact"/>
        <w:rPr>
          <w:rFonts w:ascii="Times New Roman" w:cs="Times New Roman" w:eastAsia="Times New Roman" w:hAnsi="Times New Roman"/>
          <w:sz w:val="18"/>
          <w:szCs w:val="18"/>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All other reports and other documents subsequently filed by the Registrant pursuant to Sections 13(a), 13(c), 14 or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of this Registration Statement from the date of the filing of such reports and documents, except as to any portion of any future annual or quarterly report to stockholders or document or current report furnished under Items 2.02 or 7.01 of Form 8-K that is not deemed filed under such provisions.</w:t>
      </w:r>
    </w:p>
    <w:p>
      <w:pPr>
        <w:spacing w:after="0" w:line="183" w:lineRule="exact"/>
        <w:rPr>
          <w:rFonts w:ascii="Times New Roman" w:cs="Times New Roman" w:eastAsia="Times New Roman" w:hAnsi="Times New Roman"/>
          <w:sz w:val="18"/>
          <w:szCs w:val="18"/>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rFonts w:ascii="Times New Roman" w:cs="Times New Roman" w:eastAsia="Times New Roman" w:hAnsi="Times New Roman"/>
          <w:sz w:val="18"/>
          <w:szCs w:val="18"/>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provided or incorporated by reference in this Registration Statement or any related prospectus. The Registrant has not authorized anyone to provide you with different information. You should not assume that the information in this Registration Statement or any related prospectus is accurate as of any date other than the date on the front of the document.</w:t>
      </w:r>
    </w:p>
    <w:p>
      <w:pPr>
        <w:spacing w:after="0" w:line="177" w:lineRule="exact"/>
        <w:rPr>
          <w:rFonts w:ascii="Times New Roman" w:cs="Times New Roman" w:eastAsia="Times New Roman" w:hAnsi="Times New Roman"/>
          <w:sz w:val="18"/>
          <w:szCs w:val="18"/>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You may contact the Registrant in writing or orally to request copies of the above-referenced filings, without charge (excluding exhibits to such documents unless such exhibits are specifically incorporated by reference into the information incorporated into this Registration Statement). Requests for such information should be directed to:</w:t>
      </w:r>
    </w:p>
    <w:p>
      <w:pPr>
        <w:spacing w:after="0" w:line="17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Scilex Holding Company</w:t>
      </w:r>
    </w:p>
    <w:p>
      <w:pPr>
        <w:spacing w:after="0" w:line="2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960 San Antonio Road</w:t>
      </w:r>
    </w:p>
    <w:p>
      <w:pPr>
        <w:spacing w:after="0" w:line="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(650) 516-4310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-7620</wp:posOffset>
            </wp:positionH>
            <wp:positionV relativeFrom="paragraph">
              <wp:posOffset>478155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1"/>
                <w:szCs w:val="21"/>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4"/>
        </w:trPr>
        <w:tc>
          <w:tcPr>
            <w:tcW w:w="9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9820" w:type="dxa"/>
            <w:vAlign w:val="bottom"/>
            <w:tcBorders>
              <w:top w:val="single" w:sz="8" w:color="auto"/>
              <w:bottom w:val="single" w:sz="8" w:color="0000FF"/>
            </w:tcBorders>
            <w:gridSpan w:val="9"/>
          </w:tcPr>
          <w:p>
            <w:pPr>
              <w:spacing w:after="0" w:line="174"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Restated Certificate of Incorporation of the Registrant (incorporated by reference to Exhibit 3.1 to the Current Report on Form 8-K filed</w:t>
              </w:r>
            </w:hyperlink>
          </w:p>
        </w:tc>
        <w:tc>
          <w:tcPr>
            <w:tcW w:w="20" w:type="dxa"/>
            <w:vAlign w:val="bottom"/>
            <w:tcBorders>
              <w:bottom w:val="single" w:sz="8" w:color="0000FF"/>
            </w:tcBorders>
          </w:tcPr>
          <w:p>
            <w:pPr>
              <w:spacing w:after="0"/>
              <w:rPr>
                <w:sz w:val="15"/>
                <w:szCs w:val="15"/>
                <w:color w:val="auto"/>
              </w:rPr>
            </w:pPr>
          </w:p>
        </w:tc>
      </w:tr>
      <w:tr>
        <w:trPr>
          <w:trHeight w:val="194"/>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11"/>
          </w:tcPr>
          <w:p>
            <w:pPr>
              <w:spacing w:after="0" w:line="194"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by the Registrant on November 17, 2022).</w:t>
              </w:r>
            </w:hyperlink>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9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Certificate of Amendment to the Restated Certificate of Incorporation of Scilex Holding Company, filed with the Secretary of State of the</w:t>
              </w:r>
            </w:hyperlink>
          </w:p>
        </w:tc>
      </w:tr>
      <w:tr>
        <w:trPr>
          <w:trHeight w:val="194"/>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11"/>
          </w:tcPr>
          <w:p>
            <w:pPr>
              <w:spacing w:after="0" w:line="194"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State of Delaware on April 14, 2025 (incorporated by reference to Exhibit 3.1 of our Current Report on Form 8-K filed by the Registrant</w:t>
              </w:r>
            </w:hyperlink>
          </w:p>
        </w:tc>
      </w:tr>
      <w:tr>
        <w:trPr>
          <w:trHeight w:val="194"/>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20" w:type="dxa"/>
            <w:vAlign w:val="bottom"/>
            <w:tcBorders>
              <w:top w:val="single" w:sz="8" w:color="0000FF"/>
            </w:tcBorders>
            <w:gridSpan w:val="9"/>
          </w:tcPr>
          <w:p>
            <w:pPr>
              <w:spacing w:after="0" w:line="194"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on April 15, 2025).</w:t>
              </w:r>
            </w:hyperlink>
          </w:p>
        </w:tc>
        <w:tc>
          <w:tcPr>
            <w:tcW w:w="40" w:type="dxa"/>
            <w:vAlign w:val="bottom"/>
            <w:gridSpan w:val="2"/>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9860" w:type="dxa"/>
            <w:vAlign w:val="bottom"/>
            <w:gridSpan w:val="1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Bylaws of the Registrant (incorporated by reference to Exhibit 3.3 to the Current Report on Form 8-K filed by the Registrant on</w:t>
              </w:r>
            </w:hyperlink>
          </w:p>
        </w:tc>
      </w:tr>
      <w:tr>
        <w:trPr>
          <w:trHeight w:val="194"/>
        </w:trPr>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20" w:type="dxa"/>
            <w:vAlign w:val="bottom"/>
            <w:tcBorders>
              <w:top w:val="single" w:sz="8" w:color="0000FF"/>
            </w:tcBorders>
            <w:gridSpan w:val="9"/>
          </w:tcPr>
          <w:p>
            <w:pPr>
              <w:spacing w:after="0" w:line="194"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November 17, 2022).</w:t>
              </w:r>
            </w:hyperlink>
          </w:p>
        </w:tc>
        <w:tc>
          <w:tcPr>
            <w:tcW w:w="40" w:type="dxa"/>
            <w:vAlign w:val="bottom"/>
            <w:gridSpan w:val="2"/>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r>
      <w:tr>
        <w:trPr>
          <w:trHeight w:val="4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Scilex Holding Company 2022 Equity Incentive Plan, as amended.</w:t>
            </w:r>
          </w:p>
        </w:tc>
      </w:tr>
      <w:tr>
        <w:trPr>
          <w:trHeight w:val="4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4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Opinion of Paul Hastings LLP.</w:t>
            </w:r>
          </w:p>
        </w:tc>
        <w:tc>
          <w:tcPr>
            <w:tcW w:w="5100" w:type="dxa"/>
            <w:vAlign w:val="bottom"/>
            <w:gridSpan w:val="4"/>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r>
      <w:tr>
        <w:trPr>
          <w:trHeight w:val="4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4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Consent of BPM LLP, independent registered public accounting firm.</w:t>
            </w:r>
          </w:p>
        </w:tc>
        <w:tc>
          <w:tcPr>
            <w:tcW w:w="4880" w:type="dxa"/>
            <w:vAlign w:val="bottom"/>
            <w:gridSpan w:val="3"/>
          </w:tcPr>
          <w:p>
            <w:pPr>
              <w:spacing w:after="0"/>
              <w:rPr>
                <w:sz w:val="24"/>
                <w:szCs w:val="24"/>
                <w:color w:val="auto"/>
              </w:rPr>
            </w:pPr>
          </w:p>
        </w:tc>
      </w:tr>
      <w:tr>
        <w:trPr>
          <w:trHeight w:val="4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4"/>
                <w:szCs w:val="24"/>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Paul Hastings LLP (included in Exhibit 5.1).</w:t>
            </w:r>
          </w:p>
        </w:tc>
      </w:tr>
      <w:tr>
        <w:trPr>
          <w:trHeight w:val="44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4"/>
                <w:szCs w:val="24"/>
                <w:color w:val="auto"/>
              </w:rPr>
            </w:pPr>
          </w:p>
        </w:tc>
        <w:tc>
          <w:tcPr>
            <w:tcW w:w="4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Power of Attorney is contained on the signature page.</w:t>
            </w:r>
          </w:p>
        </w:tc>
        <w:tc>
          <w:tcPr>
            <w:tcW w:w="5860" w:type="dxa"/>
            <w:vAlign w:val="bottom"/>
            <w:gridSpan w:val="5"/>
          </w:tcPr>
          <w:p>
            <w:pPr>
              <w:spacing w:after="0"/>
              <w:rPr>
                <w:sz w:val="24"/>
                <w:szCs w:val="24"/>
                <w:color w:val="auto"/>
              </w:rPr>
            </w:pPr>
          </w:p>
        </w:tc>
      </w:tr>
      <w:tr>
        <w:trPr>
          <w:trHeight w:val="42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195" w:lineRule="exact"/>
        <w:rPr>
          <w:sz w:val="20"/>
          <w:szCs w:val="20"/>
          <w:color w:val="auto"/>
        </w:rPr>
      </w:pPr>
    </w:p>
    <w:p>
      <w:pPr>
        <w:ind w:left="360" w:hanging="353"/>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478155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400"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Palo Alto, State of California, on June 29, 2026.</w:t>
      </w:r>
    </w:p>
    <w:p>
      <w:pPr>
        <w:spacing w:after="0" w:line="17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Ji,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-8890</wp:posOffset>
            </wp:positionV>
            <wp:extent cx="2248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Ji, Ph.D.</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ll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each person whose signature appears below constitutes and appoints each of Henry Ji, Ph.D.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Stephen Ma, and each or any one of them,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400" w:lineRule="exact"/>
        <w:rPr>
          <w:sz w:val="20"/>
          <w:szCs w:val="20"/>
          <w:color w:val="auto"/>
        </w:rPr>
      </w:pPr>
    </w:p>
    <w:p>
      <w:pPr>
        <w:ind w:right="240" w:firstLine="749"/>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9"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5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 w:type="dxa"/>
            <w:vAlign w:val="bottom"/>
          </w:tcPr>
          <w:p>
            <w:pPr>
              <w:spacing w:after="0"/>
              <w:rPr>
                <w:sz w:val="21"/>
                <w:szCs w:val="21"/>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w:t>
            </w:r>
          </w:p>
        </w:tc>
        <w:tc>
          <w:tcPr>
            <w:tcW w:w="220" w:type="dxa"/>
            <w:vAlign w:val="bottom"/>
          </w:tcPr>
          <w:p>
            <w:pPr>
              <w:spacing w:after="0"/>
              <w:rPr>
                <w:sz w:val="21"/>
                <w:szCs w:val="21"/>
                <w:color w:val="auto"/>
              </w:rPr>
            </w:pPr>
          </w:p>
        </w:tc>
        <w:tc>
          <w:tcPr>
            <w:tcW w:w="1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0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Henry Ji, Ph.D.</w:t>
            </w:r>
          </w:p>
        </w:tc>
        <w:tc>
          <w:tcPr>
            <w:tcW w:w="2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President, Chairperson and Director</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29, 2026</w:t>
            </w:r>
          </w:p>
        </w:tc>
        <w:tc>
          <w:tcPr>
            <w:tcW w:w="0" w:type="dxa"/>
            <w:vAlign w:val="bottom"/>
          </w:tcPr>
          <w:p>
            <w:pPr>
              <w:spacing w:after="0"/>
              <w:rPr>
                <w:sz w:val="1"/>
                <w:szCs w:val="1"/>
                <w:color w:val="auto"/>
              </w:rPr>
            </w:pPr>
          </w:p>
        </w:tc>
      </w:tr>
      <w:tr>
        <w:trPr>
          <w:trHeight w:val="34"/>
        </w:trPr>
        <w:tc>
          <w:tcPr>
            <w:tcW w:w="35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Ji, Ph.D.</w:t>
            </w:r>
          </w:p>
        </w:tc>
        <w:tc>
          <w:tcPr>
            <w:tcW w:w="20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Ma</w:t>
            </w:r>
          </w:p>
        </w:tc>
        <w:tc>
          <w:tcPr>
            <w:tcW w:w="2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 Chief Operating Officer, Secretary and</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29, 2026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Stephen Ma</w:t>
            </w:r>
          </w:p>
        </w:tc>
        <w:tc>
          <w:tcPr>
            <w:tcW w:w="200" w:type="dxa"/>
            <w:vAlign w:val="bottom"/>
          </w:tcPr>
          <w:p>
            <w:pPr>
              <w:spacing w:after="0"/>
              <w:rPr>
                <w:sz w:val="13"/>
                <w:szCs w:val="13"/>
                <w:color w:val="auto"/>
              </w:rPr>
            </w:pPr>
          </w:p>
        </w:tc>
        <w:tc>
          <w:tcPr>
            <w:tcW w:w="5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Financial and Accounting Officer</w:t>
            </w:r>
            <w:r>
              <w:rPr>
                <w:rFonts w:ascii="Times New Roman" w:cs="Times New Roman" w:eastAsia="Times New Roman" w:hAnsi="Times New Roman"/>
                <w:sz w:val="18"/>
                <w:szCs w:val="18"/>
                <w:color w:val="auto"/>
                <w:w w:val="98"/>
              </w:rPr>
              <w:t>)</w:t>
            </w: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4"/>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Dorman Followwill</w:t>
            </w:r>
          </w:p>
        </w:tc>
        <w:tc>
          <w:tcPr>
            <w:tcW w:w="2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29, 2026</w:t>
            </w:r>
          </w:p>
        </w:tc>
        <w:tc>
          <w:tcPr>
            <w:tcW w:w="0" w:type="dxa"/>
            <w:vAlign w:val="bottom"/>
          </w:tcPr>
          <w:p>
            <w:pPr>
              <w:spacing w:after="0"/>
              <w:rPr>
                <w:sz w:val="1"/>
                <w:szCs w:val="1"/>
                <w:color w:val="auto"/>
              </w:rPr>
            </w:pPr>
          </w:p>
        </w:tc>
      </w:tr>
      <w:tr>
        <w:trPr>
          <w:trHeight w:val="2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Dorman Followwill</w:t>
            </w:r>
          </w:p>
        </w:tc>
        <w:tc>
          <w:tcPr>
            <w:tcW w:w="2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Yue Alexander Wu, Ph.D.</w:t>
            </w:r>
          </w:p>
        </w:tc>
        <w:tc>
          <w:tcPr>
            <w:tcW w:w="2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29, 2026</w:t>
            </w:r>
          </w:p>
        </w:tc>
        <w:tc>
          <w:tcPr>
            <w:tcW w:w="0" w:type="dxa"/>
            <w:vAlign w:val="bottom"/>
          </w:tcPr>
          <w:p>
            <w:pPr>
              <w:spacing w:after="0"/>
              <w:rPr>
                <w:sz w:val="1"/>
                <w:szCs w:val="1"/>
                <w:color w:val="auto"/>
              </w:rPr>
            </w:pPr>
          </w:p>
        </w:tc>
      </w:tr>
      <w:tr>
        <w:trPr>
          <w:trHeight w:val="2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Yue Alexander Wu, Ph.D.</w:t>
            </w:r>
          </w:p>
        </w:tc>
        <w:tc>
          <w:tcPr>
            <w:tcW w:w="2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Jay Chun, M.D., Ph.D.</w:t>
            </w:r>
          </w:p>
        </w:tc>
        <w:tc>
          <w:tcPr>
            <w:tcW w:w="20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29, 2026</w:t>
            </w:r>
          </w:p>
        </w:tc>
        <w:tc>
          <w:tcPr>
            <w:tcW w:w="0" w:type="dxa"/>
            <w:vAlign w:val="bottom"/>
          </w:tcPr>
          <w:p>
            <w:pPr>
              <w:spacing w:after="0"/>
              <w:rPr>
                <w:sz w:val="1"/>
                <w:szCs w:val="1"/>
                <w:color w:val="auto"/>
              </w:rPr>
            </w:pPr>
          </w:p>
        </w:tc>
      </w:tr>
      <w:tr>
        <w:trPr>
          <w:trHeight w:val="2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Chun, M.D., Ph.D.</w:t>
            </w:r>
          </w:p>
        </w:tc>
        <w:tc>
          <w:tcPr>
            <w:tcW w:w="2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478155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6" w:name="page7"/>
    <w:bookmarkEnd w:id="6"/>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CILEX</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5"/>
          <w:szCs w:val="15"/>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OMPANY</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IRECTORS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5"/>
          <w:szCs w:val="15"/>
          <w:b w:val="1"/>
          <w:bCs w:val="1"/>
          <w:color w:val="auto"/>
        </w:rPr>
        <w:t>CTOBER</w:t>
      </w:r>
      <w:r>
        <w:rPr>
          <w:rFonts w:ascii="Times New Roman" w:cs="Times New Roman" w:eastAsia="Times New Roman" w:hAnsi="Times New Roman"/>
          <w:sz w:val="18"/>
          <w:szCs w:val="18"/>
          <w:b w:val="1"/>
          <w:bCs w:val="1"/>
          <w:color w:val="auto"/>
        </w:rPr>
        <w:t xml:space="preserve"> 17, 2022</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TOCKHOLDERS</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5"/>
          <w:szCs w:val="15"/>
          <w:b w:val="1"/>
          <w:bCs w:val="1"/>
          <w:color w:val="auto"/>
        </w:rPr>
        <w:t>OVEMBER</w:t>
      </w:r>
      <w:r>
        <w:rPr>
          <w:rFonts w:ascii="Times New Roman" w:cs="Times New Roman" w:eastAsia="Times New Roman" w:hAnsi="Times New Roman"/>
          <w:sz w:val="18"/>
          <w:szCs w:val="18"/>
          <w:b w:val="1"/>
          <w:bCs w:val="1"/>
          <w:color w:val="auto"/>
        </w:rPr>
        <w:t xml:space="preserve"> 9, 2022</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5"/>
          <w:szCs w:val="15"/>
          <w:b w:val="1"/>
          <w:bCs w:val="1"/>
          <w:color w:val="auto"/>
        </w:rPr>
        <w:t>OVEMBER</w:t>
      </w:r>
      <w:r>
        <w:rPr>
          <w:rFonts w:ascii="Times New Roman" w:cs="Times New Roman" w:eastAsia="Times New Roman" w:hAnsi="Times New Roman"/>
          <w:sz w:val="18"/>
          <w:szCs w:val="18"/>
          <w:b w:val="1"/>
          <w:bCs w:val="1"/>
          <w:color w:val="auto"/>
        </w:rPr>
        <w:t xml:space="preserve"> 9, 2022</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MENDED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IRECTORS ON</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5"/>
          <w:szCs w:val="15"/>
          <w:b w:val="1"/>
          <w:bCs w:val="1"/>
          <w:color w:val="auto"/>
        </w:rPr>
        <w:t>ARCH</w:t>
      </w:r>
      <w:r>
        <w:rPr>
          <w:rFonts w:ascii="Times New Roman" w:cs="Times New Roman" w:eastAsia="Times New Roman" w:hAnsi="Times New Roman"/>
          <w:sz w:val="18"/>
          <w:szCs w:val="18"/>
          <w:b w:val="1"/>
          <w:bCs w:val="1"/>
          <w:color w:val="auto"/>
        </w:rPr>
        <w:t xml:space="preserve"> 5, 2023</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TOCKHOLDERS ON</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5"/>
          <w:szCs w:val="15"/>
          <w:b w:val="1"/>
          <w:bCs w:val="1"/>
          <w:color w:val="auto"/>
        </w:rPr>
        <w:t>AY</w:t>
      </w:r>
      <w:r>
        <w:rPr>
          <w:rFonts w:ascii="Times New Roman" w:cs="Times New Roman" w:eastAsia="Times New Roman" w:hAnsi="Times New Roman"/>
          <w:sz w:val="18"/>
          <w:szCs w:val="18"/>
          <w:b w:val="1"/>
          <w:bCs w:val="1"/>
          <w:color w:val="auto"/>
        </w:rPr>
        <w:t xml:space="preserve"> 4, 2023</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MENDED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IRECTORS 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5"/>
          <w:szCs w:val="15"/>
          <w:b w:val="1"/>
          <w:bCs w:val="1"/>
          <w:color w:val="auto"/>
        </w:rPr>
        <w:t>PRIL</w:t>
      </w:r>
      <w:r>
        <w:rPr>
          <w:rFonts w:ascii="Times New Roman" w:cs="Times New Roman" w:eastAsia="Times New Roman" w:hAnsi="Times New Roman"/>
          <w:sz w:val="18"/>
          <w:szCs w:val="18"/>
          <w:b w:val="1"/>
          <w:bCs w:val="1"/>
          <w:color w:val="auto"/>
        </w:rPr>
        <w:t xml:space="preserve"> 28, 2026</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TOCKHOLDERS ON</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24, 2026</w:t>
      </w:r>
    </w:p>
    <w:p>
      <w:pPr>
        <w:spacing w:after="0" w:line="224" w:lineRule="exact"/>
        <w:rPr>
          <w:sz w:val="20"/>
          <w:szCs w:val="20"/>
          <w:color w:val="auto"/>
        </w:rPr>
      </w:pPr>
    </w:p>
    <w:p>
      <w:pPr>
        <w:ind w:left="52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5"/>
          <w:szCs w:val="15"/>
          <w:b w:val="1"/>
          <w:bCs w:val="1"/>
          <w:color w:val="auto"/>
        </w:rPr>
        <w:t>ENERAL</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right="140" w:firstLine="1153"/>
        <w:spacing w:after="0" w:line="265" w:lineRule="auto"/>
        <w:tabs>
          <w:tab w:leader="none" w:pos="1398"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Purpose</w:t>
      </w:r>
      <w:r>
        <w:rPr>
          <w:rFonts w:ascii="Times New Roman" w:cs="Times New Roman" w:eastAsia="Times New Roman" w:hAnsi="Times New Roman"/>
          <w:sz w:val="18"/>
          <w:szCs w:val="18"/>
          <w:color w:val="auto"/>
        </w:rPr>
        <w:t>. 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69" w:lineRule="exact"/>
        <w:rPr>
          <w:rFonts w:ascii="Times New Roman" w:cs="Times New Roman" w:eastAsia="Times New Roman" w:hAnsi="Times New Roman"/>
          <w:sz w:val="18"/>
          <w:szCs w:val="18"/>
          <w:b w:val="1"/>
          <w:bCs w:val="1"/>
          <w:color w:val="auto"/>
        </w:rPr>
      </w:pPr>
    </w:p>
    <w:p>
      <w:pPr>
        <w:ind w:right="580" w:firstLine="1153"/>
        <w:spacing w:after="0" w:line="282" w:lineRule="auto"/>
        <w:tabs>
          <w:tab w:leader="none" w:pos="1408"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Awards</w:t>
      </w:r>
      <w:r>
        <w:rPr>
          <w:rFonts w:ascii="Times New Roman" w:cs="Times New Roman" w:eastAsia="Times New Roman" w:hAnsi="Times New Roman"/>
          <w:sz w:val="18"/>
          <w:szCs w:val="18"/>
          <w:color w:val="auto"/>
        </w:rPr>
        <w:t>. The Plan provides for the grant of the following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SARs; (iv) Restricted Stock Awards; (v) RSU Awards; (vi) Performance Awards; and (vii) Other Awards.</w:t>
      </w:r>
    </w:p>
    <w:p>
      <w:pPr>
        <w:spacing w:after="0" w:line="154"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Date; Effective Date</w:t>
      </w:r>
      <w:r>
        <w:rPr>
          <w:rFonts w:ascii="Times New Roman" w:cs="Times New Roman" w:eastAsia="Times New Roman" w:hAnsi="Times New Roman"/>
          <w:sz w:val="18"/>
          <w:szCs w:val="18"/>
          <w:color w:val="auto"/>
        </w:rPr>
        <w:t>. The Plan will come into existence on the Adoption Date, but no Award may be granted prior to the</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Date.</w:t>
      </w:r>
    </w:p>
    <w:p>
      <w:pPr>
        <w:spacing w:after="0" w:line="224" w:lineRule="exact"/>
        <w:rPr>
          <w:rFonts w:ascii="Times New Roman" w:cs="Times New Roman" w:eastAsia="Times New Roman" w:hAnsi="Times New Roman"/>
          <w:sz w:val="18"/>
          <w:szCs w:val="18"/>
          <w:b w:val="1"/>
          <w:bCs w:val="1"/>
          <w:color w:val="auto"/>
        </w:rPr>
      </w:pPr>
    </w:p>
    <w:p>
      <w:pPr>
        <w:ind w:left="760" w:hanging="566"/>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firstLine="1153"/>
        <w:spacing w:after="0" w:line="250" w:lineRule="auto"/>
        <w:tabs>
          <w:tab w:leader="none" w:pos="1398"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Subject to adjustment in accordance with Section 2(c),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and any adjustments as a result of the following sentence regarding the automatic increase, the aggregate number of shares of Common Stock that may be issued pursuant to Awards will not exceed 2,765,789 shares (which number is the sum of (i) 417,791 shares that were approved in connection with the initial adoption of the Plan on the Effective Date plus (ii) 161,541 shares previously added to the Plan on January 1, 2023 in accordance with the automatic increase provision set forth in the following sentence plus (iii) an additional 285,714 shares approved at the Company’s 2023 Annual Meeting of Stockholders plus (iv) 182,953 shares previously added to the Plan on January 1, 2024 in accordance with the automatic increase provision set forth in the following sentence plus (v) 208,895 shares previously added to the Plan on January 1, 2025 in accordance with the automatic increase provision set forth in the following sentence plus (vi) 208,895 shares previously added to the Plan on January 1, 2026 in accordance with the automatic increase provision set forth in the following sentence plus (vii) an additional 1,300,000 shares approved at the Company’s 2026 Annual Meeting of Stockholders) plus a number of shares of Common Stock equal to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the lesser of (i) 4% of the total number of shares of Common Stock outstanding on December 31 of the preceding year, (ii) 208,895 shares of Common Stock, and (iii) such number of shares of Common Stock determined by the Board or the Compensation Committee prior to January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8"/>
          <w:szCs w:val="18"/>
          <w:color w:val="auto"/>
        </w:rPr>
        <w:t xml:space="preserve"> of a given year.</w:t>
      </w:r>
    </w:p>
    <w:p>
      <w:pPr>
        <w:spacing w:after="0" w:line="187" w:lineRule="exact"/>
        <w:rPr>
          <w:rFonts w:ascii="Times New Roman" w:cs="Times New Roman" w:eastAsia="Times New Roman" w:hAnsi="Times New Roman"/>
          <w:sz w:val="18"/>
          <w:szCs w:val="18"/>
          <w:b w:val="1"/>
          <w:bCs w:val="1"/>
          <w:color w:val="auto"/>
        </w:rPr>
      </w:pPr>
    </w:p>
    <w:p>
      <w:pPr>
        <w:ind w:right="220" w:firstLine="1153"/>
        <w:spacing w:after="0" w:line="256" w:lineRule="auto"/>
        <w:tabs>
          <w:tab w:leader="none" w:pos="1408"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Incentive Stock Option Limit</w:t>
      </w:r>
      <w:r>
        <w:rPr>
          <w:rFonts w:ascii="Times New Roman" w:cs="Times New Roman" w:eastAsia="Times New Roman" w:hAnsi="Times New Roman"/>
          <w:sz w:val="18"/>
          <w:szCs w:val="18"/>
          <w:color w:val="auto"/>
        </w:rPr>
        <w:t>. 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2,765,789 shares, which such amount shall be increased commencing on January 1, 2024 and ending on (and including) January 1, 2032, in an amount equal to the lesser of (i) 4% of the total number of shares of Common Stock outstanding on December 31 of the preceding year, (ii) 208,895 shares of Common Stock, and (iii) such</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determined by the Board or the Compensation Committee prior to January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8"/>
          <w:szCs w:val="18"/>
          <w:color w:val="auto"/>
        </w:rPr>
        <w:t xml:space="preserve"> of a given year.</w:t>
      </w:r>
    </w:p>
    <w:p>
      <w:pPr>
        <w:spacing w:after="0" w:line="216" w:lineRule="exact"/>
        <w:rPr>
          <w:sz w:val="20"/>
          <w:szCs w:val="20"/>
          <w:color w:val="auto"/>
        </w:rPr>
      </w:pPr>
    </w:p>
    <w:p>
      <w:pPr>
        <w:ind w:left="1400" w:hanging="247"/>
        <w:spacing w:after="0"/>
        <w:tabs>
          <w:tab w:leader="none" w:pos="140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b w:val="1"/>
          <w:bCs w:val="1"/>
          <w:color w:val="auto"/>
        </w:rPr>
      </w:pPr>
    </w:p>
    <w:p>
      <w:pPr>
        <w:ind w:firstLine="1662"/>
        <w:spacing w:after="0" w:line="254" w:lineRule="auto"/>
        <w:tabs>
          <w:tab w:leader="none" w:pos="1868" w:val="left"/>
        </w:tabs>
        <w:numPr>
          <w:ilvl w:val="2"/>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 Applies to Common Stock Issued Pursuant to Awards</w:t>
      </w:r>
      <w:r>
        <w:rPr>
          <w:rFonts w:ascii="Times New Roman" w:cs="Times New Roman" w:eastAsia="Times New Roman" w:hAnsi="Times New Roman"/>
          <w:sz w:val="18"/>
          <w:szCs w:val="18"/>
          <w:color w:val="auto"/>
        </w:rPr>
        <w:t>. For clarity, the Share Reserve is a limit on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1" w:lineRule="exact"/>
        <w:rPr>
          <w:rFonts w:ascii="Times New Roman" w:cs="Times New Roman" w:eastAsia="Times New Roman" w:hAnsi="Times New Roman"/>
          <w:sz w:val="18"/>
          <w:szCs w:val="18"/>
          <w:b w:val="1"/>
          <w:bCs w:val="1"/>
          <w:color w:val="auto"/>
        </w:rPr>
      </w:pPr>
    </w:p>
    <w:p>
      <w:pPr>
        <w:ind w:right="20" w:firstLine="1662"/>
        <w:spacing w:after="0" w:line="270" w:lineRule="auto"/>
        <w:tabs>
          <w:tab w:leader="none" w:pos="1917" w:val="left"/>
        </w:tabs>
        <w:numPr>
          <w:ilvl w:val="2"/>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Actions that Do Not Constitute Issuance of Common Stock and Do Not Reduce Share Reserve</w:t>
      </w:r>
      <w:r>
        <w:rPr>
          <w:rFonts w:ascii="Times New Roman" w:cs="Times New Roman" w:eastAsia="Times New Roman" w:hAnsi="Times New Roman"/>
          <w:sz w:val="17"/>
          <w:szCs w:val="17"/>
          <w:color w:val="auto"/>
        </w:rPr>
        <w:t>. The following actions do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For the avoidance of doubt, with respect to a SAR, only shares of Common Stock which are issued upon settlement of the SAR shall count towards reducing the number of shares available for issuance under the Plan.</w:t>
      </w:r>
    </w:p>
    <w:p>
      <w:pPr>
        <w:spacing w:after="0" w:line="170" w:lineRule="exact"/>
        <w:rPr>
          <w:rFonts w:ascii="Times New Roman" w:cs="Times New Roman" w:eastAsia="Times New Roman" w:hAnsi="Times New Roman"/>
          <w:sz w:val="17"/>
          <w:szCs w:val="17"/>
          <w:b w:val="1"/>
          <w:bCs w:val="1"/>
          <w:color w:val="auto"/>
        </w:rPr>
      </w:pPr>
    </w:p>
    <w:p>
      <w:pPr>
        <w:ind w:right="40" w:firstLine="1662"/>
        <w:spacing w:after="0" w:line="256" w:lineRule="auto"/>
        <w:tabs>
          <w:tab w:leader="none" w:pos="1967" w:val="left"/>
        </w:tabs>
        <w:numPr>
          <w:ilvl w:val="2"/>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Reversion of Previously Issued Shares of Common Stock to Share Reserve</w:t>
      </w:r>
      <w:r>
        <w:rPr>
          <w:rFonts w:ascii="Times New Roman" w:cs="Times New Roman" w:eastAsia="Times New Roman" w:hAnsi="Times New Roman"/>
          <w:sz w:val="18"/>
          <w:szCs w:val="18"/>
          <w:color w:val="auto"/>
        </w:rPr>
        <w:t>. The following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05" w:lineRule="exact"/>
        <w:rPr>
          <w:rFonts w:ascii="Times New Roman" w:cs="Times New Roman" w:eastAsia="Times New Roman" w:hAnsi="Times New Roman"/>
          <w:sz w:val="18"/>
          <w:szCs w:val="18"/>
          <w:b w:val="1"/>
          <w:bCs w:val="1"/>
          <w:color w:val="auto"/>
        </w:rPr>
      </w:pPr>
    </w:p>
    <w:p>
      <w:pPr>
        <w:ind w:left="760" w:hanging="566"/>
        <w:spacing w:after="0"/>
        <w:tabs>
          <w:tab w:leader="none" w:pos="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IMITATIONS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Eligible Award Recipients</w:t>
      </w:r>
      <w:r>
        <w:rPr>
          <w:rFonts w:ascii="Times New Roman" w:cs="Times New Roman" w:eastAsia="Times New Roman" w:hAnsi="Times New Roman"/>
          <w:sz w:val="18"/>
          <w:szCs w:val="18"/>
          <w:color w:val="auto"/>
        </w:rPr>
        <w:t>. Subject to the terms of the Plan, Employees, Directors and Consultants are eligible to receive Awards.</w:t>
      </w:r>
    </w:p>
    <w:p>
      <w:pPr>
        <w:spacing w:after="0" w:line="220"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b w:val="1"/>
          <w:bCs w:val="1"/>
          <w:color w:val="auto"/>
        </w:rPr>
      </w:pPr>
    </w:p>
    <w:p>
      <w:pPr>
        <w:ind w:right="80" w:firstLine="1662"/>
        <w:spacing w:after="0" w:line="282" w:lineRule="auto"/>
        <w:tabs>
          <w:tab w:leader="none" w:pos="1868"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Incentive Stock Option Recipients</w:t>
      </w:r>
      <w:r>
        <w:rPr>
          <w:rFonts w:ascii="Times New Roman" w:cs="Times New Roman" w:eastAsia="Times New Roman" w:hAnsi="Times New Roman"/>
          <w:sz w:val="18"/>
          <w:szCs w:val="18"/>
          <w:color w:val="auto"/>
        </w:rPr>
        <w:t>. Incentive Stock Options may be granted only to Employees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“parent corporation” or “subsidiary corporation” thereof (as such terms are defined in Sections 424(e) and (f) of the Code).</w:t>
      </w:r>
    </w:p>
    <w:p>
      <w:pPr>
        <w:spacing w:after="0" w:line="154" w:lineRule="exact"/>
        <w:rPr>
          <w:rFonts w:ascii="Times New Roman" w:cs="Times New Roman" w:eastAsia="Times New Roman" w:hAnsi="Times New Roman"/>
          <w:sz w:val="18"/>
          <w:szCs w:val="18"/>
          <w:b w:val="1"/>
          <w:bCs w:val="1"/>
          <w:color w:val="auto"/>
        </w:rPr>
      </w:pPr>
    </w:p>
    <w:p>
      <w:pPr>
        <w:ind w:right="260" w:firstLine="1662"/>
        <w:spacing w:after="0" w:line="254" w:lineRule="auto"/>
        <w:tabs>
          <w:tab w:leader="none" w:pos="1917"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1" w:lineRule="exact"/>
        <w:rPr>
          <w:rFonts w:ascii="Times New Roman" w:cs="Times New Roman" w:eastAsia="Times New Roman" w:hAnsi="Times New Roman"/>
          <w:sz w:val="18"/>
          <w:szCs w:val="18"/>
          <w:b w:val="1"/>
          <w:bCs w:val="1"/>
          <w:color w:val="auto"/>
        </w:rPr>
      </w:pPr>
    </w:p>
    <w:p>
      <w:pPr>
        <w:ind w:right="520" w:firstLine="1662"/>
        <w:spacing w:after="0" w:line="261" w:lineRule="auto"/>
        <w:tabs>
          <w:tab w:leader="none" w:pos="1967"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Incentive Stock Options Granted to Ten Percent Stockholders</w:t>
      </w:r>
      <w:r>
        <w:rPr>
          <w:rFonts w:ascii="Times New Roman" w:cs="Times New Roman" w:eastAsia="Times New Roman" w:hAnsi="Times New Roman"/>
          <w:sz w:val="18"/>
          <w:szCs w:val="18"/>
          <w:color w:val="auto"/>
        </w:rPr>
        <w:t>. A Ten Percent Stockholder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Incentive Stock Option unless (i) the exercise price of such Option is</w:t>
      </w:r>
    </w:p>
    <w:p>
      <w:pPr>
        <w:ind w:right="2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least 110% of the Fair Market Value on the date of grant of such Option and (ii) the Option is not exercisable after the expiration of five years from the date of grant of such Option.</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74" w:lineRule="exact"/>
        <w:rPr>
          <w:sz w:val="20"/>
          <w:szCs w:val="20"/>
          <w:color w:val="auto"/>
        </w:rPr>
      </w:pPr>
    </w:p>
    <w:p>
      <w:pPr>
        <w:ind w:right="180" w:firstLine="1662"/>
        <w:spacing w:after="0" w:line="259" w:lineRule="auto"/>
        <w:tabs>
          <w:tab w:leader="none" w:pos="1957" w:val="left"/>
        </w:tabs>
        <w:numPr>
          <w:ilvl w:val="3"/>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Nonstatutory Stock Options and SARs</w:t>
      </w:r>
      <w:r>
        <w:rPr>
          <w:rFonts w:ascii="Times New Roman" w:cs="Times New Roman" w:eastAsia="Times New Roman" w:hAnsi="Times New Roman"/>
          <w:sz w:val="18"/>
          <w:szCs w:val="18"/>
          <w:color w:val="auto"/>
        </w:rPr>
        <w:t>. Nonstatutory Stock Options and SARs may not be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5" w:lineRule="exact"/>
        <w:rPr>
          <w:rFonts w:ascii="Times New Roman" w:cs="Times New Roman" w:eastAsia="Times New Roman" w:hAnsi="Times New Roman"/>
          <w:sz w:val="18"/>
          <w:szCs w:val="18"/>
          <w:b w:val="1"/>
          <w:bCs w:val="1"/>
          <w:color w:val="auto"/>
        </w:rPr>
      </w:pPr>
    </w:p>
    <w:p>
      <w:pPr>
        <w:ind w:right="100" w:firstLine="1153"/>
        <w:spacing w:after="0" w:line="282" w:lineRule="auto"/>
        <w:tabs>
          <w:tab w:leader="none" w:pos="1388"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Incentive Stock Option Limit</w:t>
      </w:r>
      <w:r>
        <w:rPr>
          <w:rFonts w:ascii="Times New Roman" w:cs="Times New Roman" w:eastAsia="Times New Roman" w:hAnsi="Times New Roman"/>
          <w:sz w:val="18"/>
          <w:szCs w:val="18"/>
          <w:color w:val="auto"/>
        </w:rPr>
        <w:t>. The aggregate maximum number of shares of Common Stock that may be issued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Incentive Stock Options is the number of shares specified in Section 2(b).</w:t>
      </w:r>
    </w:p>
    <w:p>
      <w:pPr>
        <w:spacing w:after="0" w:line="154" w:lineRule="exact"/>
        <w:rPr>
          <w:rFonts w:ascii="Times New Roman" w:cs="Times New Roman" w:eastAsia="Times New Roman" w:hAnsi="Times New Roman"/>
          <w:sz w:val="18"/>
          <w:szCs w:val="18"/>
          <w:b w:val="1"/>
          <w:bCs w:val="1"/>
          <w:color w:val="auto"/>
        </w:rPr>
      </w:pPr>
    </w:p>
    <w:p>
      <w:pPr>
        <w:ind w:right="180" w:firstLine="1153"/>
        <w:spacing w:after="0" w:line="271" w:lineRule="auto"/>
        <w:tabs>
          <w:tab w:leader="none" w:pos="1408" w:val="left"/>
        </w:tabs>
        <w:numPr>
          <w:ilvl w:val="2"/>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Non-Employee Director Compensation Limit</w:t>
      </w:r>
      <w:r>
        <w:rPr>
          <w:rFonts w:ascii="Times New Roman" w:cs="Times New Roman" w:eastAsia="Times New Roman" w:hAnsi="Times New Roman"/>
          <w:sz w:val="17"/>
          <w:szCs w:val="17"/>
          <w:color w:val="auto"/>
        </w:rPr>
        <w:t>. The aggregate value of all compensation granted or paid, as applicable, in each case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Effective Date, to any individual for service as a Non-Employee Director with respect to any fiscal year, including Awards granted and cash fees paid by the Company to such Non-Employee Director for his or her service as a Non-Employee Director, will not exceed (i) $750,000 in total value or</w:t>
      </w:r>
    </w:p>
    <w:p>
      <w:pPr>
        <w:spacing w:after="0" w:line="1" w:lineRule="exact"/>
        <w:rPr>
          <w:rFonts w:ascii="Times New Roman" w:cs="Times New Roman" w:eastAsia="Times New Roman" w:hAnsi="Times New Roman"/>
          <w:sz w:val="17"/>
          <w:szCs w:val="17"/>
          <w:b w:val="1"/>
          <w:bCs w:val="1"/>
          <w:color w:val="auto"/>
        </w:rPr>
      </w:pPr>
    </w:p>
    <w:p>
      <w:pPr>
        <w:ind w:right="620" w:firstLine="7"/>
        <w:spacing w:after="0" w:line="255"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Non-Employee Director is first appointed or elected to the Board during such fiscal year, $1,000,000 in total value, in each case calculating the value of any equity awards based on the grant date fair value of such equity awards for financial reporting purposes.</w:t>
      </w:r>
    </w:p>
    <w:p>
      <w:pPr>
        <w:spacing w:after="0" w:line="205" w:lineRule="exact"/>
        <w:rPr>
          <w:rFonts w:ascii="Times New Roman" w:cs="Times New Roman" w:eastAsia="Times New Roman" w:hAnsi="Times New Roman"/>
          <w:sz w:val="18"/>
          <w:szCs w:val="18"/>
          <w:color w:val="auto"/>
        </w:rPr>
      </w:pPr>
    </w:p>
    <w:p>
      <w:pPr>
        <w:ind w:left="540" w:hanging="400"/>
        <w:spacing w:after="0"/>
        <w:tabs>
          <w:tab w:leader="none" w:pos="54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IGHTS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1146"/>
        <w:spacing w:after="0" w:line="253"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3" w:lineRule="exact"/>
        <w:rPr>
          <w:sz w:val="20"/>
          <w:szCs w:val="20"/>
          <w:color w:val="auto"/>
        </w:rPr>
      </w:pPr>
    </w:p>
    <w:p>
      <w:pPr>
        <w:ind w:right="40" w:firstLine="1153"/>
        <w:spacing w:after="0" w:line="282" w:lineRule="auto"/>
        <w:tabs>
          <w:tab w:leader="none" w:pos="139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Subject to Section 3(b) regarding Ten Percent Stockholders, no Option or SAR will be exercisable after the expiration of ten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date of grant of such Award or such shorter period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right="40" w:firstLine="1153"/>
        <w:spacing w:after="0" w:line="256" w:lineRule="auto"/>
        <w:tabs>
          <w:tab w:leader="none" w:pos="140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or Strike Price</w:t>
      </w:r>
      <w:r>
        <w:rPr>
          <w:rFonts w:ascii="Times New Roman" w:cs="Times New Roman" w:eastAsia="Times New Roman" w:hAnsi="Times New Roman"/>
          <w:sz w:val="18"/>
          <w:szCs w:val="18"/>
          <w:color w:val="auto"/>
        </w:rPr>
        <w:t>. Subject to Section 3(b) regarding Ten Percent Stockholders, the exercise or strike price of each Option or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8" w:lineRule="exact"/>
        <w:rPr>
          <w:rFonts w:ascii="Times New Roman" w:cs="Times New Roman" w:eastAsia="Times New Roman" w:hAnsi="Times New Roman"/>
          <w:sz w:val="18"/>
          <w:szCs w:val="18"/>
          <w:b w:val="1"/>
          <w:bCs w:val="1"/>
          <w:color w:val="auto"/>
        </w:rPr>
      </w:pPr>
    </w:p>
    <w:p>
      <w:pPr>
        <w:ind w:right="80" w:firstLine="1153"/>
        <w:spacing w:after="0" w:line="254" w:lineRule="auto"/>
        <w:tabs>
          <w:tab w:leader="none" w:pos="138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Procedure and Payment of Exercise Price for Options</w:t>
      </w:r>
      <w:r>
        <w:rPr>
          <w:rFonts w:ascii="Times New Roman" w:cs="Times New Roman" w:eastAsia="Times New Roman" w:hAnsi="Times New Roman"/>
          <w:sz w:val="18"/>
          <w:szCs w:val="18"/>
          <w:color w:val="auto"/>
        </w:rPr>
        <w:t>. 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5" w:lineRule="exact"/>
        <w:rPr>
          <w:rFonts w:ascii="Times New Roman" w:cs="Times New Roman" w:eastAsia="Times New Roman" w:hAnsi="Times New Roman"/>
          <w:sz w:val="18"/>
          <w:szCs w:val="18"/>
          <w:b w:val="1"/>
          <w:bCs w:val="1"/>
          <w:color w:val="auto"/>
        </w:rPr>
      </w:pPr>
    </w:p>
    <w:p>
      <w:pPr>
        <w:ind w:left="1880" w:hanging="218"/>
        <w:spacing w:after="0"/>
        <w:tabs>
          <w:tab w:leader="none" w:pos="18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53" w:lineRule="exact"/>
        <w:rPr>
          <w:rFonts w:ascii="Times New Roman" w:cs="Times New Roman" w:eastAsia="Times New Roman" w:hAnsi="Times New Roman"/>
          <w:sz w:val="18"/>
          <w:szCs w:val="18"/>
          <w:b w:val="1"/>
          <w:bCs w:val="1"/>
          <w:color w:val="auto"/>
        </w:rPr>
      </w:pPr>
    </w:p>
    <w:p>
      <w:pPr>
        <w:jc w:val="both"/>
        <w:ind w:right="100" w:firstLine="1662"/>
        <w:spacing w:after="0" w:line="262" w:lineRule="auto"/>
        <w:tabs>
          <w:tab w:leader="none" w:pos="1917"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78" w:lineRule="exact"/>
        <w:rPr>
          <w:sz w:val="20"/>
          <w:szCs w:val="20"/>
          <w:color w:val="auto"/>
        </w:rPr>
      </w:pPr>
    </w:p>
    <w:p>
      <w:pPr>
        <w:ind w:left="-20" w:right="60" w:firstLine="1662"/>
        <w:spacing w:after="0" w:line="252" w:lineRule="auto"/>
        <w:tabs>
          <w:tab w:leader="none" w:pos="194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ind w:left="-20" w:right="60" w:firstLine="1662"/>
        <w:spacing w:after="0" w:line="257" w:lineRule="auto"/>
        <w:tabs>
          <w:tab w:leader="none" w:pos="193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2" w:lineRule="exact"/>
        <w:rPr>
          <w:rFonts w:ascii="Times New Roman" w:cs="Times New Roman" w:eastAsia="Times New Roman" w:hAnsi="Times New Roman"/>
          <w:sz w:val="18"/>
          <w:szCs w:val="18"/>
          <w:b w:val="1"/>
          <w:bCs w:val="1"/>
          <w:color w:val="auto"/>
        </w:rPr>
      </w:pPr>
    </w:p>
    <w:p>
      <w:pPr>
        <w:ind w:left="1900" w:hanging="258"/>
        <w:spacing w:after="0"/>
        <w:tabs>
          <w:tab w:leader="none" w:pos="190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16" w:lineRule="exact"/>
        <w:rPr>
          <w:rFonts w:ascii="Times New Roman" w:cs="Times New Roman" w:eastAsia="Times New Roman" w:hAnsi="Times New Roman"/>
          <w:sz w:val="18"/>
          <w:szCs w:val="18"/>
          <w:b w:val="1"/>
          <w:bCs w:val="1"/>
          <w:color w:val="auto"/>
        </w:rPr>
      </w:pPr>
    </w:p>
    <w:p>
      <w:pPr>
        <w:ind w:left="-20" w:right="60" w:firstLine="1153"/>
        <w:spacing w:after="0" w:line="254" w:lineRule="auto"/>
        <w:tabs>
          <w:tab w:leader="none" w:pos="138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Procedure and Payment of Appreciation Distribution for SARs</w:t>
      </w:r>
      <w:r>
        <w:rPr>
          <w:rFonts w:ascii="Times New Roman" w:cs="Times New Roman" w:eastAsia="Times New Roman" w:hAnsi="Times New Roman"/>
          <w:sz w:val="18"/>
          <w:szCs w:val="18"/>
          <w:color w:val="auto"/>
        </w:rPr>
        <w:t>. 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1" w:lineRule="exact"/>
        <w:rPr>
          <w:rFonts w:ascii="Times New Roman" w:cs="Times New Roman" w:eastAsia="Times New Roman" w:hAnsi="Times New Roman"/>
          <w:sz w:val="18"/>
          <w:szCs w:val="18"/>
          <w:b w:val="1"/>
          <w:bCs w:val="1"/>
          <w:color w:val="auto"/>
        </w:rPr>
      </w:pPr>
    </w:p>
    <w:p>
      <w:pPr>
        <w:ind w:left="-20" w:right="240" w:firstLine="1153"/>
        <w:spacing w:after="0" w:line="256" w:lineRule="auto"/>
        <w:tabs>
          <w:tab w:leader="none" w:pos="136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Options and SARs may not be transferred to third-party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spacing w:after="0" w:line="178" w:lineRule="exact"/>
        <w:rPr>
          <w:rFonts w:ascii="Times New Roman" w:cs="Times New Roman" w:eastAsia="Times New Roman" w:hAnsi="Times New Roman"/>
          <w:sz w:val="18"/>
          <w:szCs w:val="18"/>
          <w:b w:val="1"/>
          <w:bCs w:val="1"/>
          <w:color w:val="auto"/>
        </w:rPr>
      </w:pPr>
    </w:p>
    <w:p>
      <w:pPr>
        <w:ind w:left="-20" w:firstLine="1662"/>
        <w:spacing w:after="0" w:line="256" w:lineRule="auto"/>
        <w:tabs>
          <w:tab w:leader="none" w:pos="1848"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An Option or SAR will not be transferable, except by will or by the laws of descent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spacing w:after="0" w:line="178" w:lineRule="exact"/>
        <w:rPr>
          <w:rFonts w:ascii="Times New Roman" w:cs="Times New Roman" w:eastAsia="Times New Roman" w:hAnsi="Times New Roman"/>
          <w:sz w:val="18"/>
          <w:szCs w:val="18"/>
          <w:b w:val="1"/>
          <w:bCs w:val="1"/>
          <w:color w:val="auto"/>
        </w:rPr>
      </w:pPr>
    </w:p>
    <w:p>
      <w:pPr>
        <w:ind w:left="-20" w:right="500" w:firstLine="1662"/>
        <w:spacing w:after="0" w:line="265" w:lineRule="auto"/>
        <w:tabs>
          <w:tab w:leader="none" w:pos="189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Notwithstanding the foregoing, subject to the execution of transfer documentation in a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Company and subject to the approval of the Board or a duly authorized Officer, an Option or SAR may be transferred pursuant to a domestic relations order.</w:t>
      </w:r>
    </w:p>
    <w:p>
      <w:pPr>
        <w:spacing w:after="0" w:line="102" w:lineRule="exact"/>
        <w:rPr>
          <w:rFonts w:ascii="Times New Roman" w:cs="Times New Roman" w:eastAsia="Times New Roman" w:hAnsi="Times New Roman"/>
          <w:sz w:val="18"/>
          <w:szCs w:val="18"/>
          <w:b w:val="1"/>
          <w:bCs w:val="1"/>
          <w:color w:val="auto"/>
        </w:rPr>
      </w:pPr>
    </w:p>
    <w:p>
      <w:pPr>
        <w:jc w:val="both"/>
        <w:ind w:left="-20" w:right="40" w:firstLine="1153"/>
        <w:spacing w:after="0" w:line="265" w:lineRule="auto"/>
        <w:tabs>
          <w:tab w:leader="none" w:pos="13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Board may impose such restrictions on or conditions to the vesting and/or exercisability of an Option or SAR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Except as otherwise provided in the applicable Award Agreement or other written agreement between a Participant and the Company, vesting of Options and SARs will cease upon termination of the Participant’s Continuous Service.</w:t>
      </w:r>
    </w:p>
    <w:p>
      <w:pPr>
        <w:spacing w:after="0" w:line="169" w:lineRule="exact"/>
        <w:rPr>
          <w:rFonts w:ascii="Times New Roman" w:cs="Times New Roman" w:eastAsia="Times New Roman" w:hAnsi="Times New Roman"/>
          <w:sz w:val="18"/>
          <w:szCs w:val="18"/>
          <w:b w:val="1"/>
          <w:bCs w:val="1"/>
          <w:color w:val="auto"/>
        </w:rPr>
      </w:pPr>
    </w:p>
    <w:p>
      <w:pPr>
        <w:ind w:left="-20" w:right="240" w:firstLine="1153"/>
        <w:spacing w:after="0" w:line="265" w:lineRule="auto"/>
        <w:tabs>
          <w:tab w:leader="none" w:pos="137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Continuous Service for Cause</w:t>
      </w:r>
      <w:r>
        <w:rPr>
          <w:rFonts w:ascii="Times New Roman" w:cs="Times New Roman" w:eastAsia="Times New Roman" w:hAnsi="Times New Roman"/>
          <w:sz w:val="18"/>
          <w:szCs w:val="18"/>
          <w:color w:val="auto"/>
        </w:rPr>
        <w:t>. Except as explicitly otherwise provided in the Award Agreement or other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a Participant and the Company, if a Participant’s Continuous Service is terminated for Cause, the Participant’s Options and SARs will terminate and be forfeited immediately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631190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 w:name="page11"/>
    <w:bookmarkEnd w:id="10"/>
    <w:p>
      <w:pPr>
        <w:spacing w:after="0" w:line="178" w:lineRule="exact"/>
        <w:rPr>
          <w:sz w:val="20"/>
          <w:szCs w:val="20"/>
          <w:color w:val="auto"/>
        </w:rPr>
      </w:pPr>
    </w:p>
    <w:p>
      <w:pPr>
        <w:jc w:val="both"/>
        <w:ind w:right="480"/>
        <w:spacing w:after="0" w:line="262" w:lineRule="auto"/>
        <w:rPr>
          <w:sz w:val="20"/>
          <w:szCs w:val="20"/>
          <w:color w:val="auto"/>
        </w:rPr>
      </w:pPr>
      <w:r>
        <w:rPr>
          <w:rFonts w:ascii="Times New Roman" w:cs="Times New Roman" w:eastAsia="Times New Roman" w:hAnsi="Times New Roman"/>
          <w:sz w:val="18"/>
          <w:szCs w:val="18"/>
          <w:color w:val="auto"/>
        </w:rPr>
        <w:t>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73" w:lineRule="exact"/>
        <w:rPr>
          <w:sz w:val="20"/>
          <w:szCs w:val="20"/>
          <w:color w:val="auto"/>
        </w:rPr>
      </w:pPr>
    </w:p>
    <w:p>
      <w:pPr>
        <w:ind w:firstLine="1153"/>
        <w:spacing w:after="0" w:line="256" w:lineRule="auto"/>
        <w:tabs>
          <w:tab w:leader="none" w:pos="140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Exercise Period Following Termination of Continuous Service for Reasons Other than Cause</w:t>
      </w:r>
      <w:r>
        <w:rPr>
          <w:rFonts w:ascii="Times New Roman" w:cs="Times New Roman" w:eastAsia="Times New Roman" w:hAnsi="Times New Roman"/>
          <w:sz w:val="18"/>
          <w:szCs w:val="18"/>
          <w:color w:val="auto"/>
        </w:rPr>
        <w:t>. Subject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spacing w:after="0" w:line="182" w:lineRule="exact"/>
        <w:rPr>
          <w:rFonts w:ascii="Times New Roman" w:cs="Times New Roman" w:eastAsia="Times New Roman" w:hAnsi="Times New Roman"/>
          <w:sz w:val="18"/>
          <w:szCs w:val="18"/>
          <w:b w:val="1"/>
          <w:bCs w:val="1"/>
          <w:color w:val="auto"/>
        </w:rPr>
      </w:pPr>
    </w:p>
    <w:p>
      <w:pPr>
        <w:ind w:right="80" w:firstLine="1662"/>
        <w:spacing w:after="0" w:line="277" w:lineRule="auto"/>
        <w:tabs>
          <w:tab w:leader="none" w:pos="1868"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3" w:lineRule="exact"/>
        <w:rPr>
          <w:rFonts w:ascii="Times New Roman" w:cs="Times New Roman" w:eastAsia="Times New Roman" w:hAnsi="Times New Roman"/>
          <w:sz w:val="18"/>
          <w:szCs w:val="18"/>
          <w:b w:val="1"/>
          <w:bCs w:val="1"/>
          <w:color w:val="auto"/>
        </w:rPr>
      </w:pPr>
    </w:p>
    <w:p>
      <w:pPr>
        <w:ind w:left="1920" w:hanging="258"/>
        <w:spacing w:after="0"/>
        <w:tabs>
          <w:tab w:leader="none" w:pos="192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0" w:lineRule="exact"/>
        <w:rPr>
          <w:rFonts w:ascii="Times New Roman" w:cs="Times New Roman" w:eastAsia="Times New Roman" w:hAnsi="Times New Roman"/>
          <w:sz w:val="18"/>
          <w:szCs w:val="18"/>
          <w:b w:val="1"/>
          <w:bCs w:val="1"/>
          <w:color w:val="auto"/>
        </w:rPr>
      </w:pPr>
    </w:p>
    <w:p>
      <w:pPr>
        <w:ind w:left="1980" w:hanging="318"/>
        <w:spacing w:after="0"/>
        <w:tabs>
          <w:tab w:leader="none" w:pos="19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0" w:lineRule="exact"/>
        <w:rPr>
          <w:rFonts w:ascii="Times New Roman" w:cs="Times New Roman" w:eastAsia="Times New Roman" w:hAnsi="Times New Roman"/>
          <w:sz w:val="18"/>
          <w:szCs w:val="18"/>
          <w:b w:val="1"/>
          <w:bCs w:val="1"/>
          <w:color w:val="auto"/>
        </w:rPr>
      </w:pPr>
    </w:p>
    <w:p>
      <w:pPr>
        <w:ind w:right="80" w:firstLine="1662"/>
        <w:spacing w:after="0" w:line="277" w:lineRule="auto"/>
        <w:tabs>
          <w:tab w:leader="none" w:pos="1956"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178" w:lineRule="exact"/>
        <w:rPr>
          <w:sz w:val="20"/>
          <w:szCs w:val="20"/>
          <w:color w:val="auto"/>
        </w:rPr>
      </w:pPr>
    </w:p>
    <w:p>
      <w:pPr>
        <w:ind w:right="40" w:firstLine="1153"/>
        <w:spacing w:after="0" w:line="251" w:lineRule="auto"/>
        <w:tabs>
          <w:tab w:leader="none" w:pos="135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Exercise; Extension of Exercisability</w:t>
      </w:r>
      <w:r>
        <w:rPr>
          <w:rFonts w:ascii="Times New Roman" w:cs="Times New Roman" w:eastAsia="Times New Roman" w:hAnsi="Times New Roman"/>
          <w:sz w:val="18"/>
          <w:szCs w:val="18"/>
          <w:color w:val="auto"/>
        </w:rPr>
        <w:t>. 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19" w:lineRule="exact"/>
        <w:rPr>
          <w:rFonts w:ascii="Times New Roman" w:cs="Times New Roman" w:eastAsia="Times New Roman" w:hAnsi="Times New Roman"/>
          <w:sz w:val="18"/>
          <w:szCs w:val="18"/>
          <w:b w:val="1"/>
          <w:bCs w:val="1"/>
          <w:color w:val="auto"/>
        </w:rPr>
      </w:pPr>
    </w:p>
    <w:p>
      <w:pPr>
        <w:ind w:right="160" w:firstLine="1153"/>
        <w:spacing w:after="0" w:line="269" w:lineRule="auto"/>
        <w:tabs>
          <w:tab w:leader="none" w:pos="1368"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Non-Exempt Employees</w:t>
      </w:r>
      <w:r>
        <w:rPr>
          <w:rFonts w:ascii="Times New Roman" w:cs="Times New Roman" w:eastAsia="Times New Roman" w:hAnsi="Times New Roman"/>
          <w:sz w:val="17"/>
          <w:szCs w:val="17"/>
          <w:color w:val="auto"/>
        </w:rPr>
        <w:t>. No Option or SAR, whether or not vested, granted to an Employee who is a non-exempt employee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74" w:lineRule="exact"/>
        <w:rPr>
          <w:sz w:val="20"/>
          <w:szCs w:val="20"/>
          <w:color w:val="auto"/>
        </w:rPr>
      </w:pPr>
    </w:p>
    <w:p>
      <w:pPr>
        <w:ind w:left="1420" w:hanging="267"/>
        <w:spacing w:after="0"/>
        <w:tabs>
          <w:tab w:leader="none" w:pos="14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 Stock or their equivalents.</w:t>
      </w:r>
    </w:p>
    <w:p>
      <w:pPr>
        <w:spacing w:after="0" w:line="247" w:lineRule="exact"/>
        <w:rPr>
          <w:rFonts w:ascii="Times New Roman" w:cs="Times New Roman" w:eastAsia="Times New Roman" w:hAnsi="Times New Roman"/>
          <w:sz w:val="18"/>
          <w:szCs w:val="18"/>
          <w:b w:val="1"/>
          <w:bCs w:val="1"/>
          <w:color w:val="auto"/>
        </w:rPr>
      </w:pPr>
    </w:p>
    <w:p>
      <w:pPr>
        <w:ind w:left="400" w:hanging="273"/>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IGHTS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right="20" w:firstLine="1153"/>
        <w:spacing w:after="0" w:line="265" w:lineRule="auto"/>
        <w:tabs>
          <w:tab w:leader="none" w:pos="1398"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Awards and RSU Awards</w:t>
      </w:r>
      <w:r>
        <w:rPr>
          <w:rFonts w:ascii="Times New Roman" w:cs="Times New Roman" w:eastAsia="Times New Roman" w:hAnsi="Times New Roman"/>
          <w:sz w:val="18"/>
          <w:szCs w:val="18"/>
          <w:color w:val="auto"/>
        </w:rPr>
        <w:t>. 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69" w:lineRule="exact"/>
        <w:rPr>
          <w:rFonts w:ascii="Times New Roman" w:cs="Times New Roman" w:eastAsia="Times New Roman" w:hAnsi="Times New Roman"/>
          <w:sz w:val="18"/>
          <w:szCs w:val="18"/>
          <w:b w:val="1"/>
          <w:bCs w:val="1"/>
          <w:color w:val="auto"/>
        </w:rPr>
      </w:pPr>
    </w:p>
    <w:p>
      <w:pPr>
        <w:ind w:left="1880" w:hanging="218"/>
        <w:spacing w:after="0"/>
        <w:tabs>
          <w:tab w:leader="none" w:pos="1880"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jc w:val="both"/>
        <w:ind w:right="80" w:firstLine="2299"/>
        <w:spacing w:after="0" w:line="277" w:lineRule="auto"/>
        <w:tabs>
          <w:tab w:leader="none" w:pos="2544" w:val="left"/>
        </w:tabs>
        <w:numPr>
          <w:ilvl w:val="3"/>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66" w:lineRule="exact"/>
        <w:rPr>
          <w:rFonts w:ascii="Times New Roman" w:cs="Times New Roman" w:eastAsia="Times New Roman" w:hAnsi="Times New Roman"/>
          <w:sz w:val="17"/>
          <w:szCs w:val="17"/>
          <w:b w:val="1"/>
          <w:bCs w:val="1"/>
          <w:color w:val="auto"/>
        </w:rPr>
      </w:pPr>
    </w:p>
    <w:p>
      <w:pPr>
        <w:ind w:right="160" w:firstLine="2299"/>
        <w:spacing w:after="0" w:line="253" w:lineRule="auto"/>
        <w:tabs>
          <w:tab w:leader="none" w:pos="2544" w:val="left"/>
        </w:tabs>
        <w:numPr>
          <w:ilvl w:val="3"/>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2" w:lineRule="exact"/>
        <w:rPr>
          <w:rFonts w:ascii="Times New Roman" w:cs="Times New Roman" w:eastAsia="Times New Roman" w:hAnsi="Times New Roman"/>
          <w:sz w:val="18"/>
          <w:szCs w:val="18"/>
          <w:b w:val="1"/>
          <w:bCs w:val="1"/>
          <w:color w:val="auto"/>
        </w:rPr>
      </w:pPr>
    </w:p>
    <w:p>
      <w:pPr>
        <w:ind w:left="1920" w:hanging="258"/>
        <w:spacing w:after="0"/>
        <w:tabs>
          <w:tab w:leader="none" w:pos="1920"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right="520" w:firstLine="2299"/>
        <w:spacing w:after="0" w:line="262" w:lineRule="auto"/>
        <w:tabs>
          <w:tab w:leader="none" w:pos="2544" w:val="left"/>
        </w:tabs>
        <w:numPr>
          <w:ilvl w:val="3"/>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spacing w:after="0" w:line="177" w:lineRule="exact"/>
        <w:rPr>
          <w:rFonts w:ascii="Times New Roman" w:cs="Times New Roman" w:eastAsia="Times New Roman" w:hAnsi="Times New Roman"/>
          <w:sz w:val="18"/>
          <w:szCs w:val="18"/>
          <w:b w:val="1"/>
          <w:bCs w:val="1"/>
          <w:color w:val="auto"/>
        </w:rPr>
      </w:pPr>
    </w:p>
    <w:p>
      <w:pPr>
        <w:ind w:firstLine="2299"/>
        <w:spacing w:after="0" w:line="257" w:lineRule="auto"/>
        <w:tabs>
          <w:tab w:leader="none" w:pos="2544" w:val="left"/>
        </w:tabs>
        <w:numPr>
          <w:ilvl w:val="3"/>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w:t>
      </w:r>
    </w:p>
    <w:p>
      <w:pPr>
        <w:spacing w:after="0" w:line="115"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18"/>
          <w:szCs w:val="18"/>
          <w:color w:val="auto"/>
        </w:rPr>
        <w:t>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59" w:lineRule="exact"/>
        <w:rPr>
          <w:sz w:val="20"/>
          <w:szCs w:val="20"/>
          <w:color w:val="auto"/>
        </w:rPr>
      </w:pPr>
    </w:p>
    <w:p>
      <w:pPr>
        <w:ind w:right="140" w:firstLine="1662"/>
        <w:spacing w:after="0" w:line="265" w:lineRule="auto"/>
        <w:tabs>
          <w:tab w:leader="none" w:pos="196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69" w:lineRule="exact"/>
        <w:rPr>
          <w:rFonts w:ascii="Times New Roman" w:cs="Times New Roman" w:eastAsia="Times New Roman" w:hAnsi="Times New Roman"/>
          <w:sz w:val="18"/>
          <w:szCs w:val="18"/>
          <w:b w:val="1"/>
          <w:bCs w:val="1"/>
          <w:color w:val="auto"/>
        </w:rPr>
      </w:pPr>
    </w:p>
    <w:p>
      <w:pPr>
        <w:ind w:firstLine="1662"/>
        <w:spacing w:after="0" w:line="259" w:lineRule="auto"/>
        <w:tabs>
          <w:tab w:leader="none" w:pos="195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Continuous Service</w:t>
      </w:r>
      <w:r>
        <w:rPr>
          <w:rFonts w:ascii="Times New Roman" w:cs="Times New Roman" w:eastAsia="Times New Roman" w:hAnsi="Times New Roman"/>
          <w:sz w:val="18"/>
          <w:szCs w:val="18"/>
          <w:color w:val="auto"/>
        </w:rPr>
        <w:t>. Except as otherwise provided in the Award Agreement or other written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7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59" w:lineRule="exact"/>
        <w:rPr>
          <w:sz w:val="20"/>
          <w:szCs w:val="20"/>
          <w:color w:val="auto"/>
        </w:rPr>
      </w:pPr>
    </w:p>
    <w:p>
      <w:pPr>
        <w:ind w:right="120" w:firstLine="1662"/>
        <w:spacing w:after="0" w:line="282" w:lineRule="auto"/>
        <w:tabs>
          <w:tab w:leader="none" w:pos="1907"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Dividend Equivalents</w:t>
      </w:r>
      <w:r>
        <w:rPr>
          <w:rFonts w:ascii="Times New Roman" w:cs="Times New Roman" w:eastAsia="Times New Roman" w:hAnsi="Times New Roman"/>
          <w:sz w:val="18"/>
          <w:szCs w:val="18"/>
          <w:color w:val="auto"/>
        </w:rPr>
        <w:t>. Dividends or dividend equivalents may be paid or credited, as applicable,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of Common Stock subject to a Restricted Stock Award or RSU Award, as determined by the Board and specified in the Award Agreement).</w:t>
      </w:r>
    </w:p>
    <w:p>
      <w:pPr>
        <w:spacing w:after="0" w:line="154" w:lineRule="exact"/>
        <w:rPr>
          <w:rFonts w:ascii="Times New Roman" w:cs="Times New Roman" w:eastAsia="Times New Roman" w:hAnsi="Times New Roman"/>
          <w:sz w:val="18"/>
          <w:szCs w:val="18"/>
          <w:b w:val="1"/>
          <w:bCs w:val="1"/>
          <w:color w:val="auto"/>
        </w:rPr>
      </w:pPr>
    </w:p>
    <w:p>
      <w:pPr>
        <w:ind w:right="360" w:firstLine="1662"/>
        <w:spacing w:after="0" w:line="265" w:lineRule="auto"/>
        <w:tabs>
          <w:tab w:leader="none" w:pos="1957"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69" w:lineRule="exact"/>
        <w:rPr>
          <w:rFonts w:ascii="Times New Roman" w:cs="Times New Roman" w:eastAsia="Times New Roman" w:hAnsi="Times New Roman"/>
          <w:sz w:val="18"/>
          <w:szCs w:val="18"/>
          <w:b w:val="1"/>
          <w:bCs w:val="1"/>
          <w:color w:val="auto"/>
        </w:rPr>
      </w:pPr>
    </w:p>
    <w:p>
      <w:pPr>
        <w:ind w:right="240" w:firstLine="1153"/>
        <w:spacing w:after="0" w:line="265" w:lineRule="auto"/>
        <w:tabs>
          <w:tab w:leader="none" w:pos="140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169" w:lineRule="exact"/>
        <w:rPr>
          <w:rFonts w:ascii="Times New Roman" w:cs="Times New Roman" w:eastAsia="Times New Roman" w:hAnsi="Times New Roman"/>
          <w:sz w:val="18"/>
          <w:szCs w:val="18"/>
          <w:b w:val="1"/>
          <w:bCs w:val="1"/>
          <w:color w:val="auto"/>
        </w:rPr>
      </w:pPr>
    </w:p>
    <w:p>
      <w:pPr>
        <w:ind w:firstLine="1153"/>
        <w:spacing w:after="0" w:line="259" w:lineRule="auto"/>
        <w:tabs>
          <w:tab w:leader="none" w:pos="1388"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Awards may be granted either alone or in addition to Awards provided for under Section 4 and the preceding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01" w:lineRule="exact"/>
        <w:rPr>
          <w:rFonts w:ascii="Times New Roman" w:cs="Times New Roman" w:eastAsia="Times New Roman" w:hAnsi="Times New Roman"/>
          <w:sz w:val="18"/>
          <w:szCs w:val="18"/>
          <w:b w:val="1"/>
          <w:bCs w:val="1"/>
          <w:color w:val="auto"/>
        </w:rPr>
      </w:pPr>
    </w:p>
    <w:p>
      <w:pPr>
        <w:ind w:left="360" w:hanging="233"/>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5"/>
          <w:szCs w:val="15"/>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5"/>
          <w:szCs w:val="15"/>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5"/>
          <w:szCs w:val="15"/>
          <w:b w:val="1"/>
          <w:bCs w:val="1"/>
          <w:color w:val="auto"/>
        </w:rPr>
        <w:t>VENTS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right="40" w:firstLine="1153"/>
        <w:spacing w:after="0" w:line="252" w:lineRule="auto"/>
        <w:tabs>
          <w:tab w:leader="none" w:pos="139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18" w:lineRule="exact"/>
        <w:rPr>
          <w:rFonts w:ascii="Times New Roman" w:cs="Times New Roman" w:eastAsia="Times New Roman" w:hAnsi="Times New Roman"/>
          <w:sz w:val="18"/>
          <w:szCs w:val="18"/>
          <w:b w:val="1"/>
          <w:bCs w:val="1"/>
          <w:color w:val="auto"/>
        </w:rPr>
      </w:pPr>
    </w:p>
    <w:p>
      <w:pPr>
        <w:ind w:right="20" w:firstLine="1153"/>
        <w:spacing w:after="0" w:line="253" w:lineRule="auto"/>
        <w:tabs>
          <w:tab w:leader="none" w:pos="140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right="20" w:firstLine="1153"/>
        <w:spacing w:after="0" w:line="265" w:lineRule="auto"/>
        <w:tabs>
          <w:tab w:leader="none" w:pos="138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The following provisions will apply to Awards in the event of a Corporate Transaction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169" w:lineRule="exact"/>
        <w:rPr>
          <w:rFonts w:ascii="Times New Roman" w:cs="Times New Roman" w:eastAsia="Times New Roman" w:hAnsi="Times New Roman"/>
          <w:sz w:val="18"/>
          <w:szCs w:val="18"/>
          <w:b w:val="1"/>
          <w:bCs w:val="1"/>
          <w:color w:val="auto"/>
        </w:rPr>
      </w:pPr>
    </w:p>
    <w:p>
      <w:pPr>
        <w:ind w:firstLine="1662"/>
        <w:spacing w:after="0" w:line="265" w:lineRule="auto"/>
        <w:tabs>
          <w:tab w:leader="none" w:pos="1868"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May Be Assumed</w:t>
      </w:r>
      <w:r>
        <w:rPr>
          <w:rFonts w:ascii="Times New Roman" w:cs="Times New Roman" w:eastAsia="Times New Roman" w:hAnsi="Times New Roman"/>
          <w:sz w:val="18"/>
          <w:szCs w:val="18"/>
          <w:color w:val="auto"/>
        </w:rPr>
        <w:t>. 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7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3" w:lineRule="exact"/>
        <w:rPr>
          <w:sz w:val="20"/>
          <w:szCs w:val="20"/>
          <w:color w:val="auto"/>
        </w:rPr>
      </w:pPr>
    </w:p>
    <w:p>
      <w:pPr>
        <w:ind w:firstLine="1662"/>
        <w:spacing w:after="0" w:line="264" w:lineRule="auto"/>
        <w:tabs>
          <w:tab w:leader="none" w:pos="1917" w:val="left"/>
        </w:tabs>
        <w:numPr>
          <w:ilvl w:val="1"/>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Awards Held by Current Participants</w:t>
      </w:r>
      <w:r>
        <w:rPr>
          <w:rFonts w:ascii="Times New Roman" w:cs="Times New Roman" w:eastAsia="Times New Roman" w:hAnsi="Times New Roman"/>
          <w:sz w:val="17"/>
          <w:szCs w:val="17"/>
          <w:color w:val="auto"/>
        </w:rPr>
        <w:t>. In the event of a Corporate Transaction in which the surviving corporation or acquiring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7"/>
          <w:szCs w:val="17"/>
          <w:b w:val="1"/>
          <w:bCs w:val="1"/>
          <w:color w:val="auto"/>
        </w:rPr>
        <w:t>Current Participants</w:t>
      </w:r>
      <w:r>
        <w:rPr>
          <w:rFonts w:ascii="Times New Roman" w:cs="Times New Roman" w:eastAsia="Times New Roman" w:hAnsi="Times New Roman"/>
          <w:sz w:val="17"/>
          <w:szCs w:val="17"/>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w:t>
      </w:r>
    </w:p>
    <w:p>
      <w:pPr>
        <w:spacing w:after="0" w:line="7" w:lineRule="exact"/>
        <w:rPr>
          <w:rFonts w:ascii="Times New Roman" w:cs="Times New Roman" w:eastAsia="Times New Roman" w:hAnsi="Times New Roman"/>
          <w:sz w:val="17"/>
          <w:szCs w:val="17"/>
          <w:b w:val="1"/>
          <w:bCs w:val="1"/>
          <w:color w:val="auto"/>
        </w:rPr>
      </w:pPr>
    </w:p>
    <w:p>
      <w:pPr>
        <w:ind w:right="800" w:firstLine="7"/>
        <w:spacing w:after="0" w:line="255" w:lineRule="auto"/>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are settled in the form of a cash payment, such cash payment will be made no later than 30 days following the occurrence of the Corporate Transaction.</w:t>
      </w:r>
    </w:p>
    <w:p>
      <w:pPr>
        <w:spacing w:after="0" w:line="178" w:lineRule="exact"/>
        <w:rPr>
          <w:rFonts w:ascii="Times New Roman" w:cs="Times New Roman" w:eastAsia="Times New Roman" w:hAnsi="Times New Roman"/>
          <w:sz w:val="18"/>
          <w:szCs w:val="18"/>
          <w:color w:val="auto"/>
        </w:rPr>
      </w:pPr>
    </w:p>
    <w:p>
      <w:pPr>
        <w:jc w:val="both"/>
        <w:ind w:right="360" w:firstLine="1662"/>
        <w:spacing w:after="0" w:line="259" w:lineRule="auto"/>
        <w:tabs>
          <w:tab w:leader="none" w:pos="1967"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Awards Held by Persons other than Current Participants</w:t>
      </w:r>
      <w:r>
        <w:rPr>
          <w:rFonts w:ascii="Times New Roman" w:cs="Times New Roman" w:eastAsia="Times New Roman" w:hAnsi="Times New Roman"/>
          <w:sz w:val="18"/>
          <w:szCs w:val="18"/>
          <w:color w:val="auto"/>
        </w:rPr>
        <w:t>. 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w:t>
      </w:r>
    </w:p>
    <w:p>
      <w:pPr>
        <w:spacing w:after="0" w:line="11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Transaction; provided, however, that any reacquisition or repurchase rights held by the Company with respect to such Awards will not terminate and may continue to be exercised notwithstanding the Corporate Transaction.</w:t>
      </w:r>
    </w:p>
    <w:p>
      <w:pPr>
        <w:spacing w:after="0" w:line="159" w:lineRule="exact"/>
        <w:rPr>
          <w:sz w:val="20"/>
          <w:szCs w:val="20"/>
          <w:color w:val="auto"/>
        </w:rPr>
      </w:pPr>
    </w:p>
    <w:p>
      <w:pPr>
        <w:ind w:right="100" w:firstLine="1662"/>
        <w:spacing w:after="0" w:line="256" w:lineRule="auto"/>
        <w:tabs>
          <w:tab w:leader="none" w:pos="1957"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for Awards in Lieu of Exercise</w:t>
      </w:r>
      <w:r>
        <w:rPr>
          <w:rFonts w:ascii="Times New Roman" w:cs="Times New Roman" w:eastAsia="Times New Roman" w:hAnsi="Times New Roman"/>
          <w:sz w:val="18"/>
          <w:szCs w:val="18"/>
          <w:color w:val="auto"/>
        </w:rPr>
        <w:t>. Notwithstanding the foregoing, in the event an Award will terminate if not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8" w:lineRule="exact"/>
        <w:rPr>
          <w:rFonts w:ascii="Times New Roman" w:cs="Times New Roman" w:eastAsia="Times New Roman" w:hAnsi="Times New Roman"/>
          <w:sz w:val="18"/>
          <w:szCs w:val="18"/>
          <w:b w:val="1"/>
          <w:bCs w:val="1"/>
          <w:color w:val="auto"/>
        </w:rPr>
      </w:pPr>
    </w:p>
    <w:p>
      <w:pPr>
        <w:ind w:right="20" w:firstLine="1153"/>
        <w:spacing w:after="0" w:line="259" w:lineRule="auto"/>
        <w:tabs>
          <w:tab w:leader="none" w:pos="140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Stockholder Representative</w:t>
      </w:r>
      <w:r>
        <w:rPr>
          <w:rFonts w:ascii="Times New Roman" w:cs="Times New Roman" w:eastAsia="Times New Roman" w:hAnsi="Times New Roman"/>
          <w:sz w:val="18"/>
          <w:szCs w:val="18"/>
          <w:color w:val="auto"/>
        </w:rPr>
        <w:t>. As a condition to the receipt of an Award under this Plan, a Participant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5" w:lineRule="exact"/>
        <w:rPr>
          <w:rFonts w:ascii="Times New Roman" w:cs="Times New Roman" w:eastAsia="Times New Roman" w:hAnsi="Times New Roman"/>
          <w:sz w:val="18"/>
          <w:szCs w:val="18"/>
          <w:b w:val="1"/>
          <w:bCs w:val="1"/>
          <w:color w:val="auto"/>
        </w:rPr>
      </w:pPr>
    </w:p>
    <w:p>
      <w:pPr>
        <w:ind w:right="20" w:firstLine="1153"/>
        <w:spacing w:after="0" w:line="256" w:lineRule="auto"/>
        <w:tabs>
          <w:tab w:leader="none" w:pos="138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7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exchangeable for Common Stock, or the dissolution or liquidation of the Company, or any sale or transfer of all or any part of its assets or business, or any other corporate act or proceeding, whether of a similar character or otherwise.</w:t>
      </w:r>
    </w:p>
    <w:p>
      <w:pPr>
        <w:spacing w:after="0" w:line="186" w:lineRule="exact"/>
        <w:rPr>
          <w:sz w:val="20"/>
          <w:szCs w:val="20"/>
          <w:color w:val="auto"/>
        </w:rPr>
      </w:pPr>
    </w:p>
    <w:p>
      <w:pPr>
        <w:ind w:left="1240" w:hanging="913"/>
        <w:spacing w:after="0"/>
        <w:tabs>
          <w:tab w:leader="none" w:pos="12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DMINISTRATION</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right="500" w:firstLine="1153"/>
        <w:spacing w:after="0" w:line="282" w:lineRule="auto"/>
        <w:tabs>
          <w:tab w:leader="none" w:pos="1398"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by Board</w:t>
      </w:r>
      <w:r>
        <w:rPr>
          <w:rFonts w:ascii="Times New Roman" w:cs="Times New Roman" w:eastAsia="Times New Roman" w:hAnsi="Times New Roman"/>
          <w:sz w:val="18"/>
          <w:szCs w:val="18"/>
          <w:color w:val="auto"/>
        </w:rPr>
        <w:t>. The Board will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as provided in subsection (c) below.</w:t>
      </w:r>
    </w:p>
    <w:p>
      <w:pPr>
        <w:spacing w:after="0" w:line="154"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Board</w:t>
      </w:r>
      <w:r>
        <w:rPr>
          <w:rFonts w:ascii="Times New Roman" w:cs="Times New Roman" w:eastAsia="Times New Roman" w:hAnsi="Times New Roman"/>
          <w:sz w:val="18"/>
          <w:szCs w:val="18"/>
          <w:color w:val="auto"/>
        </w:rPr>
        <w:t>. The Board will have the power, subject to, and within the limitations of, the express provisions of the Plan:</w:t>
      </w:r>
    </w:p>
    <w:p>
      <w:pPr>
        <w:spacing w:after="0" w:line="224" w:lineRule="exact"/>
        <w:rPr>
          <w:rFonts w:ascii="Times New Roman" w:cs="Times New Roman" w:eastAsia="Times New Roman" w:hAnsi="Times New Roman"/>
          <w:sz w:val="18"/>
          <w:szCs w:val="18"/>
          <w:b w:val="1"/>
          <w:bCs w:val="1"/>
          <w:color w:val="auto"/>
        </w:rPr>
      </w:pPr>
    </w:p>
    <w:p>
      <w:pPr>
        <w:ind w:right="100" w:firstLine="1662"/>
        <w:spacing w:after="0" w:line="253" w:lineRule="auto"/>
        <w:tabs>
          <w:tab w:leader="none" w:pos="1868"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6" w:lineRule="exact"/>
        <w:rPr>
          <w:rFonts w:ascii="Times New Roman" w:cs="Times New Roman" w:eastAsia="Times New Roman" w:hAnsi="Times New Roman"/>
          <w:sz w:val="18"/>
          <w:szCs w:val="18"/>
          <w:b w:val="1"/>
          <w:bCs w:val="1"/>
          <w:color w:val="auto"/>
        </w:rPr>
      </w:pPr>
    </w:p>
    <w:p>
      <w:pPr>
        <w:ind w:right="220" w:firstLine="1662"/>
        <w:spacing w:after="0" w:line="262" w:lineRule="auto"/>
        <w:tabs>
          <w:tab w:leader="none" w:pos="1917"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7" w:lineRule="exact"/>
        <w:rPr>
          <w:rFonts w:ascii="Times New Roman" w:cs="Times New Roman" w:eastAsia="Times New Roman" w:hAnsi="Times New Roman"/>
          <w:sz w:val="18"/>
          <w:szCs w:val="18"/>
          <w:b w:val="1"/>
          <w:bCs w:val="1"/>
          <w:color w:val="auto"/>
        </w:rPr>
      </w:pPr>
    </w:p>
    <w:p>
      <w:pPr>
        <w:ind w:left="1980" w:hanging="318"/>
        <w:spacing w:after="0"/>
        <w:tabs>
          <w:tab w:leader="none" w:pos="198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0" w:lineRule="exact"/>
        <w:rPr>
          <w:rFonts w:ascii="Times New Roman" w:cs="Times New Roman" w:eastAsia="Times New Roman" w:hAnsi="Times New Roman"/>
          <w:sz w:val="18"/>
          <w:szCs w:val="18"/>
          <w:b w:val="1"/>
          <w:bCs w:val="1"/>
          <w:color w:val="auto"/>
        </w:rPr>
      </w:pPr>
    </w:p>
    <w:p>
      <w:pPr>
        <w:ind w:right="60" w:firstLine="1662"/>
        <w:spacing w:after="0" w:line="277" w:lineRule="auto"/>
        <w:tabs>
          <w:tab w:leader="none" w:pos="1956"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96" w:lineRule="exact"/>
        <w:rPr>
          <w:rFonts w:ascii="Times New Roman" w:cs="Times New Roman" w:eastAsia="Times New Roman" w:hAnsi="Times New Roman"/>
          <w:sz w:val="18"/>
          <w:szCs w:val="18"/>
          <w:b w:val="1"/>
          <w:bCs w:val="1"/>
          <w:color w:val="auto"/>
        </w:rPr>
      </w:pPr>
    </w:p>
    <w:p>
      <w:pPr>
        <w:ind w:right="100" w:firstLine="1662"/>
        <w:spacing w:after="0" w:line="257" w:lineRule="auto"/>
        <w:tabs>
          <w:tab w:leader="none" w:pos="1907"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2" w:lineRule="exact"/>
        <w:rPr>
          <w:rFonts w:ascii="Times New Roman" w:cs="Times New Roman" w:eastAsia="Times New Roman" w:hAnsi="Times New Roman"/>
          <w:sz w:val="18"/>
          <w:szCs w:val="18"/>
          <w:b w:val="1"/>
          <w:bCs w:val="1"/>
          <w:color w:val="auto"/>
        </w:rPr>
      </w:pPr>
    </w:p>
    <w:p>
      <w:pPr>
        <w:ind w:right="640" w:firstLine="1662"/>
        <w:spacing w:after="0" w:line="277" w:lineRule="auto"/>
        <w:tabs>
          <w:tab w:leader="none" w:pos="1956"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63" w:lineRule="exact"/>
        <w:rPr>
          <w:rFonts w:ascii="Times New Roman" w:cs="Times New Roman" w:eastAsia="Times New Roman" w:hAnsi="Times New Roman"/>
          <w:sz w:val="18"/>
          <w:szCs w:val="18"/>
          <w:b w:val="1"/>
          <w:bCs w:val="1"/>
          <w:color w:val="auto"/>
        </w:rPr>
      </w:pPr>
    </w:p>
    <w:p>
      <w:pPr>
        <w:jc w:val="both"/>
        <w:ind w:right="80" w:firstLine="1662"/>
        <w:spacing w:after="0" w:line="257" w:lineRule="auto"/>
        <w:tabs>
          <w:tab w:leader="none" w:pos="2006"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82" w:lineRule="exact"/>
        <w:rPr>
          <w:rFonts w:ascii="Times New Roman" w:cs="Times New Roman" w:eastAsia="Times New Roman" w:hAnsi="Times New Roman"/>
          <w:sz w:val="18"/>
          <w:szCs w:val="18"/>
          <w:b w:val="1"/>
          <w:bCs w:val="1"/>
          <w:color w:val="auto"/>
        </w:rPr>
      </w:pPr>
    </w:p>
    <w:p>
      <w:pPr>
        <w:ind w:left="2060" w:hanging="398"/>
        <w:spacing w:after="0"/>
        <w:tabs>
          <w:tab w:leader="none" w:pos="206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0" w:lineRule="exact"/>
        <w:rPr>
          <w:rFonts w:ascii="Times New Roman" w:cs="Times New Roman" w:eastAsia="Times New Roman" w:hAnsi="Times New Roman"/>
          <w:sz w:val="18"/>
          <w:szCs w:val="18"/>
          <w:b w:val="1"/>
          <w:bCs w:val="1"/>
          <w:color w:val="auto"/>
        </w:rPr>
      </w:pPr>
    </w:p>
    <w:p>
      <w:pPr>
        <w:ind w:firstLine="1662"/>
        <w:spacing w:after="0" w:line="257" w:lineRule="auto"/>
        <w:tabs>
          <w:tab w:leader="none" w:pos="1956"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(1) the Board shall not, without stockholder approval, reduce the exercise or strike price of an Option or SAR (other than in connection with a Capitalization Adjustment) and, at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7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any time when the exercise or strike price of an Option or SAR is above the Fair Market Value of a share of Common Stock, the Board shall not, without stockholder approval, cancel and re-grant or exchange such Option or SAR for a new Award with a lower (or no) purchase price or for cash, and (2) a Participant’s rights under any Award will not be Materially Impaired by any such amendment unless (A) the Company requests the consent of the affected Participant, and (B) such Participant consents in writing.</w:t>
      </w:r>
    </w:p>
    <w:p>
      <w:pPr>
        <w:spacing w:after="0" w:line="182" w:lineRule="exact"/>
        <w:rPr>
          <w:sz w:val="20"/>
          <w:szCs w:val="20"/>
          <w:color w:val="auto"/>
        </w:rPr>
      </w:pPr>
    </w:p>
    <w:p>
      <w:pPr>
        <w:ind w:right="540" w:firstLine="1662"/>
        <w:spacing w:after="0" w:line="277" w:lineRule="auto"/>
        <w:tabs>
          <w:tab w:leader="none" w:pos="1907"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3" w:lineRule="exact"/>
        <w:rPr>
          <w:rFonts w:ascii="Times New Roman" w:cs="Times New Roman" w:eastAsia="Times New Roman" w:hAnsi="Times New Roman"/>
          <w:sz w:val="18"/>
          <w:szCs w:val="18"/>
          <w:b w:val="1"/>
          <w:bCs w:val="1"/>
          <w:color w:val="auto"/>
        </w:rPr>
      </w:pPr>
    </w:p>
    <w:p>
      <w:pPr>
        <w:jc w:val="both"/>
        <w:ind w:right="240" w:firstLine="1662"/>
        <w:spacing w:after="0" w:line="257" w:lineRule="auto"/>
        <w:tabs>
          <w:tab w:leader="none" w:pos="1956"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78"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b w:val="1"/>
          <w:bCs w:val="1"/>
          <w:color w:val="auto"/>
        </w:rPr>
      </w:pPr>
    </w:p>
    <w:p>
      <w:pPr>
        <w:ind w:firstLine="1662"/>
        <w:spacing w:after="0" w:line="252" w:lineRule="auto"/>
        <w:tabs>
          <w:tab w:leader="none" w:pos="1868"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Board may delegate some or all of the administration of the Plan to a Committee or Committees. If administration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18" w:lineRule="exact"/>
        <w:rPr>
          <w:rFonts w:ascii="Times New Roman" w:cs="Times New Roman" w:eastAsia="Times New Roman" w:hAnsi="Times New Roman"/>
          <w:sz w:val="18"/>
          <w:szCs w:val="18"/>
          <w:b w:val="1"/>
          <w:bCs w:val="1"/>
          <w:color w:val="auto"/>
        </w:rPr>
      </w:pPr>
    </w:p>
    <w:p>
      <w:pPr>
        <w:ind w:firstLine="1662"/>
        <w:spacing w:after="0" w:line="259" w:lineRule="auto"/>
        <w:tabs>
          <w:tab w:leader="none" w:pos="1917"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16b-3 Compliance</w:t>
      </w:r>
      <w:r>
        <w:rPr>
          <w:rFonts w:ascii="Times New Roman" w:cs="Times New Roman" w:eastAsia="Times New Roman" w:hAnsi="Times New Roman"/>
          <w:sz w:val="18"/>
          <w:szCs w:val="18"/>
          <w:color w:val="auto"/>
        </w:rPr>
        <w:t>. To the extent an Award is intended to qualify for the exemption from Section 16(b)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5" w:lineRule="exact"/>
        <w:rPr>
          <w:rFonts w:ascii="Times New Roman" w:cs="Times New Roman" w:eastAsia="Times New Roman" w:hAnsi="Times New Roman"/>
          <w:sz w:val="18"/>
          <w:szCs w:val="18"/>
          <w:b w:val="1"/>
          <w:bCs w:val="1"/>
          <w:color w:val="auto"/>
        </w:rPr>
      </w:pPr>
    </w:p>
    <w:p>
      <w:pPr>
        <w:ind w:right="20" w:firstLine="1153"/>
        <w:spacing w:after="0" w:line="282" w:lineRule="auto"/>
        <w:tabs>
          <w:tab w:leader="none" w:pos="140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Board’s Decision</w:t>
      </w:r>
      <w:r>
        <w:rPr>
          <w:rFonts w:ascii="Times New Roman" w:cs="Times New Roman" w:eastAsia="Times New Roman" w:hAnsi="Times New Roman"/>
          <w:sz w:val="18"/>
          <w:szCs w:val="18"/>
          <w:color w:val="auto"/>
        </w:rPr>
        <w:t>. All determinations, interpretations and constructions made by the Board or any Committee in good faith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right="40" w:firstLine="1153"/>
        <w:spacing w:after="0" w:line="252" w:lineRule="auto"/>
        <w:tabs>
          <w:tab w:leader="none" w:pos="138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an Officer</w:t>
      </w:r>
      <w:r>
        <w:rPr>
          <w:rFonts w:ascii="Times New Roman" w:cs="Times New Roman" w:eastAsia="Times New Roman" w:hAnsi="Times New Roman"/>
          <w:sz w:val="18"/>
          <w:szCs w:val="18"/>
          <w:color w:val="auto"/>
        </w:rPr>
        <w:t>. The Board or any Committee may delegate to one or more Officers the authority to do one or both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08" w:lineRule="exact"/>
        <w:rPr>
          <w:rFonts w:ascii="Times New Roman" w:cs="Times New Roman" w:eastAsia="Times New Roman" w:hAnsi="Times New Roman"/>
          <w:sz w:val="18"/>
          <w:szCs w:val="18"/>
          <w:b w:val="1"/>
          <w:bCs w:val="1"/>
          <w:color w:val="auto"/>
        </w:rPr>
      </w:pPr>
    </w:p>
    <w:p>
      <w:pPr>
        <w:ind w:left="1100" w:hanging="826"/>
        <w:spacing w:after="0"/>
        <w:tabs>
          <w:tab w:leader="none" w:pos="11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ITHHOLDING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74" w:lineRule="exact"/>
        <w:rPr>
          <w:sz w:val="20"/>
          <w:szCs w:val="20"/>
          <w:color w:val="auto"/>
        </w:rPr>
      </w:pPr>
    </w:p>
    <w:p>
      <w:pPr>
        <w:ind w:left="-20" w:firstLine="1153"/>
        <w:spacing w:after="0" w:line="254" w:lineRule="auto"/>
        <w:tabs>
          <w:tab w:leader="none" w:pos="1378"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Authorization</w:t>
      </w:r>
      <w:r>
        <w:rPr>
          <w:rFonts w:ascii="Times New Roman" w:cs="Times New Roman" w:eastAsia="Times New Roman" w:hAnsi="Times New Roman"/>
          <w:sz w:val="18"/>
          <w:szCs w:val="18"/>
          <w:color w:val="auto"/>
        </w:rPr>
        <w:t>. As a condition to acceptance of any Award under the Plan, a Participant authorizes withholding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and any other amounts payable to such Participant, and otherwise agrees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1" w:lineRule="exact"/>
        <w:rPr>
          <w:rFonts w:ascii="Times New Roman" w:cs="Times New Roman" w:eastAsia="Times New Roman" w:hAnsi="Times New Roman"/>
          <w:sz w:val="18"/>
          <w:szCs w:val="18"/>
          <w:b w:val="1"/>
          <w:bCs w:val="1"/>
          <w:color w:val="auto"/>
        </w:rPr>
      </w:pPr>
    </w:p>
    <w:p>
      <w:pPr>
        <w:ind w:left="-20" w:right="20" w:firstLine="1153"/>
        <w:spacing w:after="0" w:line="253" w:lineRule="auto"/>
        <w:tabs>
          <w:tab w:leader="none" w:pos="1388"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Satisfaction of Withholding Obligation</w:t>
      </w:r>
      <w:r>
        <w:rPr>
          <w:rFonts w:ascii="Times New Roman" w:cs="Times New Roman" w:eastAsia="Times New Roman" w:hAnsi="Times New Roman"/>
          <w:sz w:val="18"/>
          <w:szCs w:val="18"/>
          <w:color w:val="auto"/>
        </w:rPr>
        <w:t>. 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spacing w:after="0" w:line="182" w:lineRule="exact"/>
        <w:rPr>
          <w:rFonts w:ascii="Times New Roman" w:cs="Times New Roman" w:eastAsia="Times New Roman" w:hAnsi="Times New Roman"/>
          <w:sz w:val="18"/>
          <w:szCs w:val="18"/>
          <w:b w:val="1"/>
          <w:bCs w:val="1"/>
          <w:color w:val="auto"/>
        </w:rPr>
      </w:pPr>
    </w:p>
    <w:p>
      <w:pPr>
        <w:ind w:left="-20" w:right="40" w:firstLine="1153"/>
        <w:spacing w:after="0" w:line="250" w:lineRule="auto"/>
        <w:tabs>
          <w:tab w:leader="none" w:pos="1368"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Obligation to Notify or Minimize Taxes; No Liability to Claims</w:t>
      </w:r>
      <w:r>
        <w:rPr>
          <w:rFonts w:ascii="Times New Roman" w:cs="Times New Roman" w:eastAsia="Times New Roman" w:hAnsi="Times New Roman"/>
          <w:sz w:val="18"/>
          <w:szCs w:val="18"/>
          <w:color w:val="auto"/>
        </w:rPr>
        <w:t>. Except as required by Applicable Law, the Company has no duty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spacing w:after="0" w:line="187" w:lineRule="exact"/>
        <w:rPr>
          <w:rFonts w:ascii="Times New Roman" w:cs="Times New Roman" w:eastAsia="Times New Roman" w:hAnsi="Times New Roman"/>
          <w:sz w:val="18"/>
          <w:szCs w:val="18"/>
          <w:b w:val="1"/>
          <w:bCs w:val="1"/>
          <w:color w:val="auto"/>
        </w:rPr>
      </w:pPr>
    </w:p>
    <w:p>
      <w:pPr>
        <w:ind w:left="-20" w:right="40" w:firstLine="1153"/>
        <w:spacing w:after="0" w:line="259" w:lineRule="auto"/>
        <w:tabs>
          <w:tab w:leader="none" w:pos="1388"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Indemnification</w:t>
      </w:r>
      <w:r>
        <w:rPr>
          <w:rFonts w:ascii="Times New Roman" w:cs="Times New Roman" w:eastAsia="Times New Roman" w:hAnsi="Times New Roman"/>
          <w:sz w:val="18"/>
          <w:szCs w:val="18"/>
          <w:color w:val="auto"/>
        </w:rPr>
        <w:t>. As a condition to accepting an Award under the Plan, in the event that the amount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1" w:lineRule="exact"/>
        <w:rPr>
          <w:rFonts w:ascii="Times New Roman" w:cs="Times New Roman" w:eastAsia="Times New Roman" w:hAnsi="Times New Roman"/>
          <w:sz w:val="18"/>
          <w:szCs w:val="18"/>
          <w:b w:val="1"/>
          <w:bCs w:val="1"/>
          <w:color w:val="auto"/>
        </w:rPr>
      </w:pPr>
    </w:p>
    <w:p>
      <w:pPr>
        <w:ind w:left="1260" w:hanging="953"/>
        <w:spacing w:after="0"/>
        <w:tabs>
          <w:tab w:leader="none" w:pos="12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5"/>
          <w:szCs w:val="15"/>
          <w:b w:val="1"/>
          <w:bCs w:val="1"/>
          <w:color w:val="auto"/>
        </w:rPr>
        <w:t>ISCELLANEOUS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left="-20" w:right="200" w:firstLine="1153"/>
        <w:spacing w:after="0" w:line="282" w:lineRule="auto"/>
        <w:tabs>
          <w:tab w:leader="none" w:pos="1378"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of Shares</w:t>
      </w:r>
      <w:r>
        <w:rPr>
          <w:rFonts w:ascii="Times New Roman" w:cs="Times New Roman" w:eastAsia="Times New Roman" w:hAnsi="Times New Roman"/>
          <w:sz w:val="18"/>
          <w:szCs w:val="18"/>
          <w:color w:val="auto"/>
        </w:rPr>
        <w:t>. 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20" w:right="120" w:firstLine="1153"/>
        <w:spacing w:after="0" w:line="282" w:lineRule="auto"/>
        <w:tabs>
          <w:tab w:leader="none" w:pos="1388"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Proceeds from Sales of Common Stock</w:t>
      </w:r>
      <w:r>
        <w:rPr>
          <w:rFonts w:ascii="Times New Roman" w:cs="Times New Roman" w:eastAsia="Times New Roman" w:hAnsi="Times New Roman"/>
          <w:sz w:val="18"/>
          <w:szCs w:val="18"/>
          <w:color w:val="auto"/>
        </w:rPr>
        <w:t>. 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20" w:firstLine="1153"/>
        <w:spacing w:after="0" w:line="265" w:lineRule="auto"/>
        <w:tabs>
          <w:tab w:leader="none" w:pos="1368"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completed as of the date of such corporate action, unless otherwise determined by the Board, regardless of when the instrument, certificate, or letter evidencing the Award is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631190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7" w:name="page18"/>
    <w:bookmarkEnd w:id="17"/>
    <w:p>
      <w:pPr>
        <w:spacing w:after="0" w:line="17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62" w:lineRule="exact"/>
        <w:rPr>
          <w:sz w:val="20"/>
          <w:szCs w:val="20"/>
          <w:color w:val="auto"/>
        </w:rPr>
      </w:pPr>
    </w:p>
    <w:p>
      <w:pPr>
        <w:jc w:val="both"/>
        <w:ind w:right="20" w:firstLine="1153"/>
        <w:spacing w:after="0" w:line="265" w:lineRule="auto"/>
        <w:tabs>
          <w:tab w:leader="none" w:pos="140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Rights</w:t>
      </w:r>
      <w:r>
        <w:rPr>
          <w:rFonts w:ascii="Times New Roman" w:cs="Times New Roman" w:eastAsia="Times New Roman" w:hAnsi="Times New Roman"/>
          <w:sz w:val="18"/>
          <w:szCs w:val="18"/>
          <w:color w:val="auto"/>
        </w:rPr>
        <w:t>. No Participant will be deemed to be the holder of, or to have any of the rights of a holder with respect to,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69" w:lineRule="exact"/>
        <w:rPr>
          <w:rFonts w:ascii="Times New Roman" w:cs="Times New Roman" w:eastAsia="Times New Roman" w:hAnsi="Times New Roman"/>
          <w:sz w:val="18"/>
          <w:szCs w:val="18"/>
          <w:b w:val="1"/>
          <w:bCs w:val="1"/>
          <w:color w:val="auto"/>
        </w:rPr>
      </w:pPr>
    </w:p>
    <w:p>
      <w:pPr>
        <w:ind w:right="40" w:firstLine="1153"/>
        <w:spacing w:after="0" w:line="251" w:lineRule="auto"/>
        <w:tabs>
          <w:tab w:leader="none" w:pos="138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Employment or Other Service Rights</w:t>
      </w:r>
      <w:r>
        <w:rPr>
          <w:rFonts w:ascii="Times New Roman" w:cs="Times New Roman" w:eastAsia="Times New Roman" w:hAnsi="Times New Roman"/>
          <w:sz w:val="18"/>
          <w:szCs w:val="18"/>
          <w:color w:val="auto"/>
        </w:rPr>
        <w:t>. Nothing in the Plan, any Award Agreement or any other instrument executed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6" w:lineRule="exact"/>
        <w:rPr>
          <w:rFonts w:ascii="Times New Roman" w:cs="Times New Roman" w:eastAsia="Times New Roman" w:hAnsi="Times New Roman"/>
          <w:sz w:val="18"/>
          <w:szCs w:val="18"/>
          <w:b w:val="1"/>
          <w:bCs w:val="1"/>
          <w:color w:val="auto"/>
        </w:rPr>
      </w:pPr>
    </w:p>
    <w:p>
      <w:pPr>
        <w:ind w:firstLine="1153"/>
        <w:spacing w:after="0" w:line="253" w:lineRule="auto"/>
        <w:tabs>
          <w:tab w:leader="none" w:pos="136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right="200" w:firstLine="1153"/>
        <w:spacing w:after="0" w:line="265" w:lineRule="auto"/>
        <w:tabs>
          <w:tab w:leader="none" w:pos="139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Execution of Additional Documents</w:t>
      </w:r>
      <w:r>
        <w:rPr>
          <w:rFonts w:ascii="Times New Roman" w:cs="Times New Roman" w:eastAsia="Times New Roman" w:hAnsi="Times New Roman"/>
          <w:sz w:val="18"/>
          <w:szCs w:val="18"/>
          <w:color w:val="auto"/>
        </w:rPr>
        <w:t>. As a condition to accepting an Award under the Plan, the Participant agrees to execute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69" w:lineRule="exact"/>
        <w:rPr>
          <w:rFonts w:ascii="Times New Roman" w:cs="Times New Roman" w:eastAsia="Times New Roman" w:hAnsi="Times New Roman"/>
          <w:sz w:val="18"/>
          <w:szCs w:val="18"/>
          <w:b w:val="1"/>
          <w:bCs w:val="1"/>
          <w:color w:val="auto"/>
        </w:rPr>
      </w:pPr>
    </w:p>
    <w:p>
      <w:pPr>
        <w:ind w:right="180" w:firstLine="1153"/>
        <w:spacing w:after="0" w:line="254" w:lineRule="auto"/>
        <w:tabs>
          <w:tab w:leader="none" w:pos="140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1" w:lineRule="exact"/>
        <w:rPr>
          <w:rFonts w:ascii="Times New Roman" w:cs="Times New Roman" w:eastAsia="Times New Roman" w:hAnsi="Times New Roman"/>
          <w:sz w:val="18"/>
          <w:szCs w:val="18"/>
          <w:b w:val="1"/>
          <w:bCs w:val="1"/>
          <w:color w:val="auto"/>
        </w:rPr>
      </w:pPr>
    </w:p>
    <w:p>
      <w:pPr>
        <w:ind w:right="20" w:firstLine="1153"/>
        <w:spacing w:after="0" w:line="259" w:lineRule="auto"/>
        <w:tabs>
          <w:tab w:leader="none" w:pos="1359"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7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62" w:lineRule="exact"/>
        <w:rPr>
          <w:sz w:val="20"/>
          <w:szCs w:val="20"/>
          <w:color w:val="auto"/>
        </w:rPr>
      </w:pPr>
    </w:p>
    <w:p>
      <w:pPr>
        <w:ind w:right="100" w:firstLine="1153"/>
        <w:spacing w:after="0" w:line="259" w:lineRule="auto"/>
        <w:tabs>
          <w:tab w:leader="none" w:pos="1368"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A Participant will not be issued any shares in respect of an Award unless either (i) the shares are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5" w:lineRule="exact"/>
        <w:rPr>
          <w:rFonts w:ascii="Times New Roman" w:cs="Times New Roman" w:eastAsia="Times New Roman" w:hAnsi="Times New Roman"/>
          <w:sz w:val="18"/>
          <w:szCs w:val="18"/>
          <w:b w:val="1"/>
          <w:bCs w:val="1"/>
          <w:color w:val="auto"/>
        </w:rPr>
      </w:pPr>
    </w:p>
    <w:p>
      <w:pPr>
        <w:ind w:firstLine="1153"/>
        <w:spacing w:after="0" w:line="256" w:lineRule="auto"/>
        <w:tabs>
          <w:tab w:leader="none" w:pos="1408"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or Assignment of Awards; Issued Shares</w:t>
      </w:r>
      <w:r>
        <w:rPr>
          <w:rFonts w:ascii="Times New Roman" w:cs="Times New Roman" w:eastAsia="Times New Roman" w:hAnsi="Times New Roman"/>
          <w:sz w:val="18"/>
          <w:szCs w:val="18"/>
          <w:color w:val="auto"/>
        </w:rPr>
        <w:t>. 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8" w:lineRule="exact"/>
        <w:rPr>
          <w:rFonts w:ascii="Times New Roman" w:cs="Times New Roman" w:eastAsia="Times New Roman" w:hAnsi="Times New Roman"/>
          <w:sz w:val="18"/>
          <w:szCs w:val="18"/>
          <w:b w:val="1"/>
          <w:bCs w:val="1"/>
          <w:color w:val="auto"/>
        </w:rPr>
      </w:pPr>
    </w:p>
    <w:p>
      <w:pPr>
        <w:ind w:right="280" w:firstLine="1153"/>
        <w:spacing w:after="0" w:line="259" w:lineRule="auto"/>
        <w:tabs>
          <w:tab w:leader="none" w:pos="135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on Other Employee Benefit Plans</w:t>
      </w:r>
      <w:r>
        <w:rPr>
          <w:rFonts w:ascii="Times New Roman" w:cs="Times New Roman" w:eastAsia="Times New Roman" w:hAnsi="Times New Roman"/>
          <w:sz w:val="18"/>
          <w:szCs w:val="18"/>
          <w:color w:val="auto"/>
        </w:rPr>
        <w:t>. The value of any Award granted under the Plan, as determined upon grant, vesting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5" w:lineRule="exact"/>
        <w:rPr>
          <w:rFonts w:ascii="Times New Roman" w:cs="Times New Roman" w:eastAsia="Times New Roman" w:hAnsi="Times New Roman"/>
          <w:sz w:val="18"/>
          <w:szCs w:val="18"/>
          <w:b w:val="1"/>
          <w:bCs w:val="1"/>
          <w:color w:val="auto"/>
        </w:rPr>
      </w:pPr>
    </w:p>
    <w:p>
      <w:pPr>
        <w:jc w:val="both"/>
        <w:ind w:right="340" w:firstLine="1153"/>
        <w:spacing w:after="0" w:line="287" w:lineRule="auto"/>
        <w:tabs>
          <w:tab w:leader="none" w:pos="1457" w:val="left"/>
        </w:tabs>
        <w:numPr>
          <w:ilvl w:val="1"/>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Deferrals</w:t>
      </w:r>
      <w:r>
        <w:rPr>
          <w:rFonts w:ascii="Times New Roman" w:cs="Times New Roman" w:eastAsia="Times New Roman" w:hAnsi="Times New Roman"/>
          <w:sz w:val="17"/>
          <w:szCs w:val="17"/>
          <w:color w:val="auto"/>
        </w:rPr>
        <w:t>. To the extent permitted by Applicable Law, the Board, in its sole discretion, may determine that the delivery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or the payment of cash, upon the exercise, vesting or settlement of all or a portion of any Award may be deferred and may establish programs and procedures for deferral elections to be made by Participants. Deferrals will be made in accordance with the requirements of Section 409A.</w:t>
      </w:r>
    </w:p>
    <w:p>
      <w:pPr>
        <w:spacing w:after="0" w:line="153" w:lineRule="exact"/>
        <w:rPr>
          <w:rFonts w:ascii="Times New Roman" w:cs="Times New Roman" w:eastAsia="Times New Roman" w:hAnsi="Times New Roman"/>
          <w:sz w:val="17"/>
          <w:szCs w:val="17"/>
          <w:b w:val="1"/>
          <w:bCs w:val="1"/>
          <w:color w:val="auto"/>
        </w:rPr>
      </w:pPr>
    </w:p>
    <w:p>
      <w:pPr>
        <w:ind w:right="60" w:firstLine="1153"/>
        <w:spacing w:after="0" w:line="250" w:lineRule="auto"/>
        <w:tabs>
          <w:tab w:leader="none" w:pos="1408"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Unless otherwise expressly provided for in an Award Agreement, the Plan and Award Agreements will be interpreted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91" w:lineRule="exact"/>
        <w:rPr>
          <w:rFonts w:ascii="Times New Roman" w:cs="Times New Roman" w:eastAsia="Times New Roman" w:hAnsi="Times New Roman"/>
          <w:sz w:val="18"/>
          <w:szCs w:val="18"/>
          <w:b w:val="1"/>
          <w:bCs w:val="1"/>
          <w:color w:val="auto"/>
        </w:rPr>
      </w:pPr>
    </w:p>
    <w:p>
      <w:pPr>
        <w:ind w:right="40" w:firstLine="1153"/>
        <w:spacing w:after="0" w:line="265" w:lineRule="auto"/>
        <w:tabs>
          <w:tab w:leader="none" w:pos="1398"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Plan and any controversy arising out of or relating to this Plan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internal laws of the State of Delaware, without regard to conflict of law principles that would result in any application of any law other than the law of the State of Delaware.</w:t>
      </w:r>
    </w:p>
    <w:p>
      <w:pPr>
        <w:spacing w:after="0" w:line="196" w:lineRule="exact"/>
        <w:rPr>
          <w:rFonts w:ascii="Times New Roman" w:cs="Times New Roman" w:eastAsia="Times New Roman" w:hAnsi="Times New Roman"/>
          <w:sz w:val="18"/>
          <w:szCs w:val="18"/>
          <w:b w:val="1"/>
          <w:bCs w:val="1"/>
          <w:color w:val="auto"/>
        </w:rPr>
      </w:pPr>
    </w:p>
    <w:p>
      <w:pPr>
        <w:ind w:left="1100" w:hanging="906"/>
        <w:spacing w:after="0"/>
        <w:tabs>
          <w:tab w:leader="none" w:pos="11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74" w:lineRule="exact"/>
        <w:rPr>
          <w:sz w:val="20"/>
          <w:szCs w:val="20"/>
          <w:color w:val="auto"/>
        </w:rPr>
      </w:pPr>
    </w:p>
    <w:p>
      <w:pPr>
        <w:ind w:left="-20" w:right="20" w:firstLine="1153"/>
        <w:spacing w:after="0" w:line="252" w:lineRule="auto"/>
        <w:tabs>
          <w:tab w:leader="none" w:pos="1378"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The Company will seek to obtain from each regulatory commission or agency, as may be deemed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18" w:lineRule="exact"/>
        <w:rPr>
          <w:rFonts w:ascii="Times New Roman" w:cs="Times New Roman" w:eastAsia="Times New Roman" w:hAnsi="Times New Roman"/>
          <w:sz w:val="18"/>
          <w:szCs w:val="18"/>
          <w:b w:val="1"/>
          <w:bCs w:val="1"/>
          <w:color w:val="auto"/>
        </w:rPr>
      </w:pPr>
    </w:p>
    <w:p>
      <w:pPr>
        <w:ind w:left="580" w:hanging="473"/>
        <w:spacing w:after="0"/>
        <w:tabs>
          <w:tab w:leader="none" w:pos="5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220" w:lineRule="exact"/>
        <w:rPr>
          <w:rFonts w:ascii="Times New Roman" w:cs="Times New Roman" w:eastAsia="Times New Roman" w:hAnsi="Times New Roman"/>
          <w:sz w:val="18"/>
          <w:szCs w:val="18"/>
          <w:b w:val="1"/>
          <w:bCs w:val="1"/>
          <w:color w:val="auto"/>
        </w:rPr>
      </w:pPr>
    </w:p>
    <w:p>
      <w:pPr>
        <w:ind w:left="-20" w:right="500" w:firstLine="1153"/>
        <w:spacing w:after="0" w:line="265" w:lineRule="auto"/>
        <w:tabs>
          <w:tab w:leader="none" w:pos="137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Unless the provisions of this Section of the Plan are expressly superseded by the provisions in the form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provisions of this Section shall apply and shall supersede anything to the contrary set forth in the Award Agreement for a Non-Exempt Award.</w:t>
      </w:r>
    </w:p>
    <w:p>
      <w:pPr>
        <w:spacing w:after="0" w:line="169" w:lineRule="exact"/>
        <w:rPr>
          <w:rFonts w:ascii="Times New Roman" w:cs="Times New Roman" w:eastAsia="Times New Roman" w:hAnsi="Times New Roman"/>
          <w:sz w:val="18"/>
          <w:szCs w:val="18"/>
          <w:b w:val="1"/>
          <w:bCs w:val="1"/>
          <w:color w:val="auto"/>
        </w:rPr>
      </w:pPr>
    </w:p>
    <w:p>
      <w:pPr>
        <w:ind w:left="-20" w:right="320" w:firstLine="1153"/>
        <w:spacing w:after="0" w:line="282" w:lineRule="auto"/>
        <w:tabs>
          <w:tab w:leader="none" w:pos="138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Awards Subject to Non-Exempt Severance Arrangements</w:t>
      </w:r>
      <w:r>
        <w:rPr>
          <w:rFonts w:ascii="Times New Roman" w:cs="Times New Roman" w:eastAsia="Times New Roman" w:hAnsi="Times New Roman"/>
          <w:sz w:val="18"/>
          <w:szCs w:val="18"/>
          <w:color w:val="auto"/>
        </w:rPr>
        <w:t>. To the extent a Non-Exempt Award is subject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409A due to application of a Non-Exempt Severance Arrangement, the following provisions of this subsection (b) apply.</w:t>
      </w:r>
    </w:p>
    <w:p>
      <w:pPr>
        <w:spacing w:after="0" w:line="158" w:lineRule="exact"/>
        <w:rPr>
          <w:rFonts w:ascii="Times New Roman" w:cs="Times New Roman" w:eastAsia="Times New Roman" w:hAnsi="Times New Roman"/>
          <w:sz w:val="18"/>
          <w:szCs w:val="18"/>
          <w:b w:val="1"/>
          <w:bCs w:val="1"/>
          <w:color w:val="auto"/>
        </w:rPr>
      </w:pPr>
    </w:p>
    <w:p>
      <w:pPr>
        <w:ind w:left="-20" w:right="120" w:firstLine="1662"/>
        <w:spacing w:after="0" w:line="257" w:lineRule="auto"/>
        <w:tabs>
          <w:tab w:leader="none" w:pos="1848"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day that follows the applicable vesting date.</w:t>
      </w:r>
    </w:p>
    <w:p>
      <w:pPr>
        <w:spacing w:after="0" w:line="182" w:lineRule="exact"/>
        <w:rPr>
          <w:rFonts w:ascii="Times New Roman" w:cs="Times New Roman" w:eastAsia="Times New Roman" w:hAnsi="Times New Roman"/>
          <w:sz w:val="18"/>
          <w:szCs w:val="18"/>
          <w:b w:val="1"/>
          <w:bCs w:val="1"/>
          <w:color w:val="auto"/>
        </w:rPr>
      </w:pPr>
    </w:p>
    <w:p>
      <w:pPr>
        <w:ind w:left="-20" w:firstLine="1662"/>
        <w:spacing w:after="0" w:line="252" w:lineRule="auto"/>
        <w:tabs>
          <w:tab w:leader="none" w:pos="1897"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4" w:lineRule="exact"/>
        <w:rPr>
          <w:rFonts w:ascii="Times New Roman" w:cs="Times New Roman" w:eastAsia="Times New Roman" w:hAnsi="Times New Roman"/>
          <w:sz w:val="18"/>
          <w:szCs w:val="18"/>
          <w:b w:val="1"/>
          <w:bCs w:val="1"/>
          <w:color w:val="auto"/>
        </w:rPr>
      </w:pPr>
    </w:p>
    <w:p>
      <w:pPr>
        <w:ind w:left="-20" w:right="20" w:firstLine="1662"/>
        <w:spacing w:after="0" w:line="252" w:lineRule="auto"/>
        <w:tabs>
          <w:tab w:leader="none" w:pos="1946"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4" w:lineRule="exact"/>
        <w:rPr>
          <w:rFonts w:ascii="Times New Roman" w:cs="Times New Roman" w:eastAsia="Times New Roman" w:hAnsi="Times New Roman"/>
          <w:sz w:val="18"/>
          <w:szCs w:val="18"/>
          <w:b w:val="1"/>
          <w:bCs w:val="1"/>
          <w:color w:val="auto"/>
        </w:rPr>
      </w:pPr>
    </w:p>
    <w:p>
      <w:pPr>
        <w:ind w:left="-20" w:right="20" w:firstLine="1153"/>
        <w:spacing w:after="0" w:line="259" w:lineRule="auto"/>
        <w:tabs>
          <w:tab w:leader="none" w:pos="136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Treatment of Non-Exempt Awards Upon a Corporate Transaction for Employees and Consultants</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631190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0" w:name="page21"/>
    <w:bookmarkEnd w:id="20"/>
    <w:p>
      <w:pPr>
        <w:spacing w:after="0" w:line="174" w:lineRule="exact"/>
        <w:rPr>
          <w:sz w:val="20"/>
          <w:szCs w:val="20"/>
          <w:color w:val="auto"/>
        </w:rPr>
      </w:pPr>
    </w:p>
    <w:p>
      <w:pPr>
        <w:ind w:left="1880" w:hanging="218"/>
        <w:spacing w:after="0"/>
        <w:tabs>
          <w:tab w:leader="none" w:pos="18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Vested Non-Exempt Awards</w:t>
      </w:r>
      <w:r>
        <w:rPr>
          <w:rFonts w:ascii="Times New Roman" w:cs="Times New Roman" w:eastAsia="Times New Roman" w:hAnsi="Times New Roman"/>
          <w:sz w:val="18"/>
          <w:szCs w:val="18"/>
          <w:color w:val="auto"/>
        </w:rPr>
        <w:t>. The following provisions shall apply to any Vested Non-Exempt Award in connection with 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Transaction:</w:t>
      </w:r>
    </w:p>
    <w:p>
      <w:pPr>
        <w:spacing w:after="0" w:line="202" w:lineRule="exact"/>
        <w:rPr>
          <w:sz w:val="20"/>
          <w:szCs w:val="20"/>
          <w:color w:val="auto"/>
        </w:rPr>
      </w:pPr>
    </w:p>
    <w:p>
      <w:pPr>
        <w:ind w:firstLine="2299"/>
        <w:spacing w:after="0" w:line="255" w:lineRule="auto"/>
        <w:tabs>
          <w:tab w:leader="none" w:pos="2544" w:val="left"/>
        </w:tabs>
        <w:numPr>
          <w:ilvl w:val="2"/>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 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15" w:lineRule="exact"/>
        <w:rPr>
          <w:rFonts w:ascii="Times New Roman" w:cs="Times New Roman" w:eastAsia="Times New Roman" w:hAnsi="Times New Roman"/>
          <w:sz w:val="18"/>
          <w:szCs w:val="18"/>
          <w:b w:val="1"/>
          <w:bCs w:val="1"/>
          <w:color w:val="auto"/>
        </w:rPr>
      </w:pPr>
    </w:p>
    <w:p>
      <w:pPr>
        <w:ind w:right="20" w:firstLine="2299"/>
        <w:spacing w:after="0" w:line="253" w:lineRule="auto"/>
        <w:tabs>
          <w:tab w:leader="none" w:pos="2544" w:val="left"/>
        </w:tabs>
        <w:numPr>
          <w:ilvl w:val="2"/>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2" w:lineRule="exact"/>
        <w:rPr>
          <w:rFonts w:ascii="Times New Roman" w:cs="Times New Roman" w:eastAsia="Times New Roman" w:hAnsi="Times New Roman"/>
          <w:sz w:val="18"/>
          <w:szCs w:val="18"/>
          <w:b w:val="1"/>
          <w:bCs w:val="1"/>
          <w:color w:val="auto"/>
        </w:rPr>
      </w:pPr>
    </w:p>
    <w:p>
      <w:pPr>
        <w:ind w:right="340" w:firstLine="1662"/>
        <w:spacing w:after="0" w:line="282" w:lineRule="auto"/>
        <w:tabs>
          <w:tab w:leader="none" w:pos="1917"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Unvested Non-Exempt Awards</w:t>
      </w:r>
      <w:r>
        <w:rPr>
          <w:rFonts w:ascii="Times New Roman" w:cs="Times New Roman" w:eastAsia="Times New Roman" w:hAnsi="Times New Roman"/>
          <w:sz w:val="18"/>
          <w:szCs w:val="18"/>
          <w:color w:val="auto"/>
        </w:rPr>
        <w:t>. 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58" w:lineRule="exact"/>
        <w:rPr>
          <w:rFonts w:ascii="Times New Roman" w:cs="Times New Roman" w:eastAsia="Times New Roman" w:hAnsi="Times New Roman"/>
          <w:sz w:val="18"/>
          <w:szCs w:val="18"/>
          <w:b w:val="1"/>
          <w:bCs w:val="1"/>
          <w:color w:val="auto"/>
        </w:rPr>
      </w:pPr>
    </w:p>
    <w:p>
      <w:pPr>
        <w:ind w:right="300" w:firstLine="2299"/>
        <w:spacing w:after="0" w:line="252" w:lineRule="auto"/>
        <w:tabs>
          <w:tab w:leader="none" w:pos="2544"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right="60" w:firstLine="2299"/>
        <w:spacing w:after="0" w:line="252" w:lineRule="auto"/>
        <w:tabs>
          <w:tab w:leader="none" w:pos="2544"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4" w:lineRule="exact"/>
        <w:rPr>
          <w:rFonts w:ascii="Times New Roman" w:cs="Times New Roman" w:eastAsia="Times New Roman" w:hAnsi="Times New Roman"/>
          <w:sz w:val="18"/>
          <w:szCs w:val="18"/>
          <w:b w:val="1"/>
          <w:bCs w:val="1"/>
          <w:color w:val="auto"/>
        </w:rPr>
      </w:pPr>
    </w:p>
    <w:p>
      <w:pPr>
        <w:ind w:right="160" w:firstLine="2299"/>
        <w:spacing w:after="0" w:line="277" w:lineRule="auto"/>
        <w:tabs>
          <w:tab w:leader="none" w:pos="2544"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59" w:lineRule="exact"/>
        <w:rPr>
          <w:rFonts w:ascii="Times New Roman" w:cs="Times New Roman" w:eastAsia="Times New Roman" w:hAnsi="Times New Roman"/>
          <w:sz w:val="18"/>
          <w:szCs w:val="18"/>
          <w:b w:val="1"/>
          <w:bCs w:val="1"/>
          <w:color w:val="auto"/>
        </w:rPr>
      </w:pPr>
    </w:p>
    <w:p>
      <w:pPr>
        <w:ind w:right="200" w:firstLine="1153"/>
        <w:spacing w:after="0" w:line="265" w:lineRule="auto"/>
        <w:tabs>
          <w:tab w:leader="none" w:pos="140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Treatment of Non-Exempt Awards Upon a Corporate Transaction for Non-Employee Directors</w:t>
      </w:r>
      <w:r>
        <w:rPr>
          <w:rFonts w:ascii="Times New Roman" w:cs="Times New Roman" w:eastAsia="Times New Roman" w:hAnsi="Times New Roman"/>
          <w:sz w:val="18"/>
          <w:szCs w:val="18"/>
          <w:color w:val="auto"/>
        </w:rPr>
        <w:t>. 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3" w:lineRule="exact"/>
        <w:rPr>
          <w:rFonts w:ascii="Times New Roman" w:cs="Times New Roman" w:eastAsia="Times New Roman" w:hAnsi="Times New Roman"/>
          <w:sz w:val="18"/>
          <w:szCs w:val="18"/>
          <w:b w:val="1"/>
          <w:bCs w:val="1"/>
          <w:color w:val="auto"/>
        </w:rPr>
      </w:pPr>
    </w:p>
    <w:p>
      <w:pPr>
        <w:ind w:right="180" w:firstLine="1662"/>
        <w:spacing w:after="0" w:line="262" w:lineRule="auto"/>
        <w:tabs>
          <w:tab w:leader="none" w:pos="1868"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78"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10" w:lineRule="exact"/>
        <w:rPr>
          <w:sz w:val="20"/>
          <w:szCs w:val="20"/>
          <w:color w:val="auto"/>
        </w:rPr>
      </w:pPr>
    </w:p>
    <w:p>
      <w:pPr>
        <w:ind w:firstLine="1662"/>
        <w:spacing w:after="0" w:line="252" w:lineRule="auto"/>
        <w:tabs>
          <w:tab w:leader="none" w:pos="191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ind w:right="200" w:firstLine="1153"/>
        <w:spacing w:after="0" w:line="277" w:lineRule="auto"/>
        <w:tabs>
          <w:tab w:leader="none" w:pos="138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63" w:lineRule="exact"/>
        <w:rPr>
          <w:rFonts w:ascii="Times New Roman" w:cs="Times New Roman" w:eastAsia="Times New Roman" w:hAnsi="Times New Roman"/>
          <w:sz w:val="18"/>
          <w:szCs w:val="18"/>
          <w:b w:val="1"/>
          <w:bCs w:val="1"/>
          <w:color w:val="auto"/>
        </w:rPr>
      </w:pPr>
    </w:p>
    <w:p>
      <w:pPr>
        <w:ind w:firstLine="1662"/>
        <w:spacing w:after="0" w:line="262" w:lineRule="auto"/>
        <w:tabs>
          <w:tab w:leader="none" w:pos="1868"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7" w:lineRule="exact"/>
        <w:rPr>
          <w:sz w:val="20"/>
          <w:szCs w:val="20"/>
          <w:color w:val="auto"/>
        </w:rPr>
      </w:pPr>
    </w:p>
    <w:p>
      <w:pPr>
        <w:ind w:right="40" w:firstLine="1662"/>
        <w:spacing w:after="0" w:line="277" w:lineRule="auto"/>
        <w:tabs>
          <w:tab w:leader="none" w:pos="191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3" w:lineRule="exact"/>
        <w:rPr>
          <w:rFonts w:ascii="Times New Roman" w:cs="Times New Roman" w:eastAsia="Times New Roman" w:hAnsi="Times New Roman"/>
          <w:sz w:val="18"/>
          <w:szCs w:val="18"/>
          <w:b w:val="1"/>
          <w:bCs w:val="1"/>
          <w:color w:val="auto"/>
        </w:rPr>
      </w:pPr>
    </w:p>
    <w:p>
      <w:pPr>
        <w:ind w:right="60" w:firstLine="1662"/>
        <w:spacing w:after="0" w:line="268" w:lineRule="auto"/>
        <w:tabs>
          <w:tab w:leader="none" w:pos="1966"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77" w:lineRule="exact"/>
        <w:rPr>
          <w:rFonts w:ascii="Times New Roman" w:cs="Times New Roman" w:eastAsia="Times New Roman" w:hAnsi="Times New Roman"/>
          <w:sz w:val="17"/>
          <w:szCs w:val="17"/>
          <w:b w:val="1"/>
          <w:bCs w:val="1"/>
          <w:color w:val="auto"/>
        </w:rPr>
      </w:pPr>
    </w:p>
    <w:p>
      <w:pPr>
        <w:ind w:right="80" w:firstLine="1662"/>
        <w:spacing w:after="0" w:line="262" w:lineRule="auto"/>
        <w:tabs>
          <w:tab w:leader="none" w:pos="195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00" w:lineRule="exact"/>
        <w:rPr>
          <w:sz w:val="20"/>
          <w:szCs w:val="20"/>
          <w:color w:val="auto"/>
        </w:rPr>
      </w:pPr>
    </w:p>
    <w:p>
      <w:pPr>
        <w:ind w:left="3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EVERABILITY</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200" w:firstLine="1146"/>
        <w:spacing w:after="0" w:line="257"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11" w:lineRule="exact"/>
        <w:rPr>
          <w:sz w:val="20"/>
          <w:szCs w:val="20"/>
          <w:color w:val="auto"/>
        </w:rPr>
      </w:pPr>
    </w:p>
    <w:p>
      <w:pPr>
        <w:ind w:left="1200" w:hanging="993"/>
        <w:spacing w:after="0"/>
        <w:tabs>
          <w:tab w:leader="none" w:pos="12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of: (i) the Adoption Date, or (ii) the date the Plan is approved by the Company’s stockholders. No Awards may be granted under the Plan while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is suspended or after it is terminated.</w:t>
      </w:r>
    </w:p>
    <w:p>
      <w:pPr>
        <w:spacing w:after="0" w:line="224" w:lineRule="exact"/>
        <w:rPr>
          <w:sz w:val="20"/>
          <w:szCs w:val="20"/>
          <w:color w:val="auto"/>
        </w:rPr>
      </w:pPr>
    </w:p>
    <w:p>
      <w:pPr>
        <w:ind w:left="40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EFINITIONS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0" w:lineRule="exact"/>
        <w:rPr>
          <w:sz w:val="20"/>
          <w:szCs w:val="20"/>
          <w:color w:val="auto"/>
        </w:rPr>
      </w:pPr>
    </w:p>
    <w:p>
      <w:pPr>
        <w:ind w:left="1400" w:hanging="247"/>
        <w:spacing w:after="0"/>
        <w:tabs>
          <w:tab w:leader="none" w:pos="14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20"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20" w:lineRule="exact"/>
        <w:rPr>
          <w:rFonts w:ascii="Times New Roman" w:cs="Times New Roman" w:eastAsia="Times New Roman" w:hAnsi="Times New Roman"/>
          <w:sz w:val="18"/>
          <w:szCs w:val="18"/>
          <w:b w:val="1"/>
          <w:bCs w:val="1"/>
          <w:color w:val="auto"/>
        </w:rPr>
      </w:pPr>
    </w:p>
    <w:p>
      <w:pPr>
        <w:ind w:right="480" w:firstLine="1153"/>
        <w:spacing w:after="0" w:line="265" w:lineRule="auto"/>
        <w:tabs>
          <w:tab w:leader="none" w:pos="138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69" w:lineRule="exact"/>
        <w:rPr>
          <w:rFonts w:ascii="Times New Roman" w:cs="Times New Roman" w:eastAsia="Times New Roman" w:hAnsi="Times New Roman"/>
          <w:sz w:val="18"/>
          <w:szCs w:val="18"/>
          <w:b w:val="1"/>
          <w:bCs w:val="1"/>
          <w:color w:val="auto"/>
        </w:rPr>
      </w:pPr>
    </w:p>
    <w:p>
      <w:pPr>
        <w:ind w:firstLine="1153"/>
        <w:spacing w:after="0" w:line="256" w:lineRule="auto"/>
        <w:tabs>
          <w:tab w:leader="none" w:pos="140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8" w:lineRule="exact"/>
        <w:rPr>
          <w:rFonts w:ascii="Times New Roman" w:cs="Times New Roman" w:eastAsia="Times New Roman" w:hAnsi="Times New Roman"/>
          <w:sz w:val="18"/>
          <w:szCs w:val="18"/>
          <w:b w:val="1"/>
          <w:bCs w:val="1"/>
          <w:color w:val="auto"/>
        </w:rPr>
      </w:pPr>
    </w:p>
    <w:p>
      <w:pPr>
        <w:ind w:right="80" w:firstLine="1153"/>
        <w:spacing w:after="0" w:line="282" w:lineRule="auto"/>
        <w:tabs>
          <w:tab w:leader="none" w:pos="138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ind w:right="60" w:firstLine="1153"/>
        <w:spacing w:after="0" w:line="265" w:lineRule="auto"/>
        <w:tabs>
          <w:tab w:leader="none" w:pos="136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69" w:lineRule="exact"/>
        <w:rPr>
          <w:rFonts w:ascii="Times New Roman" w:cs="Times New Roman" w:eastAsia="Times New Roman" w:hAnsi="Times New Roman"/>
          <w:sz w:val="18"/>
          <w:szCs w:val="18"/>
          <w:b w:val="1"/>
          <w:bCs w:val="1"/>
          <w:color w:val="auto"/>
        </w:rPr>
      </w:pPr>
    </w:p>
    <w:p>
      <w:pPr>
        <w:ind w:right="200" w:firstLine="1153"/>
        <w:spacing w:after="0" w:line="265" w:lineRule="auto"/>
        <w:tabs>
          <w:tab w:leader="none" w:pos="139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69" w:lineRule="exact"/>
        <w:rPr>
          <w:rFonts w:ascii="Times New Roman" w:cs="Times New Roman" w:eastAsia="Times New Roman" w:hAnsi="Times New Roman"/>
          <w:sz w:val="18"/>
          <w:szCs w:val="18"/>
          <w:b w:val="1"/>
          <w:bCs w:val="1"/>
          <w:color w:val="auto"/>
        </w:rPr>
      </w:pPr>
    </w:p>
    <w:p>
      <w:pPr>
        <w:ind w:right="40" w:firstLine="1153"/>
        <w:spacing w:after="0" w:line="254" w:lineRule="auto"/>
        <w:tabs>
          <w:tab w:leader="none" w:pos="140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1" w:lineRule="exact"/>
        <w:rPr>
          <w:rFonts w:ascii="Times New Roman" w:cs="Times New Roman" w:eastAsia="Times New Roman" w:hAnsi="Times New Roman"/>
          <w:sz w:val="18"/>
          <w:szCs w:val="18"/>
          <w:b w:val="1"/>
          <w:bCs w:val="1"/>
          <w:color w:val="auto"/>
        </w:rPr>
      </w:pPr>
    </w:p>
    <w:p>
      <w:pPr>
        <w:ind w:right="280" w:firstLine="1153"/>
        <w:spacing w:after="0" w:line="253" w:lineRule="auto"/>
        <w:tabs>
          <w:tab w:leader="none" w:pos="135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the Participant’s theft, dishonesty, willful misconduct, breach of fiduciary duty for personal profit, or intentional falsification of any Company or Affiliate documents or records; (ii) the Participant’s material failure to abide by the Company’s Code of Business Conduct and Ethics or other policies (including, without limitation, policies relating to confidentiality and reasonable workplace conduct and policies of any Affiliate, as applicable); (iii) the Participant’s unauthorized use, misappropriation, destruction or diversion of any tangible or intangible asset or corporate opportunity of the Company or any of its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7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 xml:space="preserve">(including, without limitation, the Participant’s improper use or disclosure of Company or Affiliate confidential or proprietary information); (iv) any intentional act by the Participant which has a material detrimental effect on the Company’s or its Affiliate’s reputation or business; (v) the Participant’s repeated failure or inability to perform any reasonable assigned duties after written notice from the Company (or its Affiliate, as applicable) of, and a reasonable opportunity to cure, such failure or inability; (vi) any material breach by the Participant of any employment or service agreement between the Participant and the Company (or its Affiliate, as applicable), which breach is not cured pursuant to the terms of such agreement; or (vii) the Participant’s conviction (including any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of any criminal act involving fraud, dishonesty, misappropriation or moral turpitude, or which impairs the Participant’s ability to perform his or her duties with the Company (or its Affiliate, as applicable). The determination that a termination of the Participant’s Continuous Service is either for Cause or without Cause will be made by the Board with respect to Participants who are executive officers of the Company and by the Company’s Chief Executive Officer or his or her designee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7" w:lineRule="exact"/>
        <w:rPr>
          <w:sz w:val="20"/>
          <w:szCs w:val="20"/>
          <w:color w:val="auto"/>
        </w:rPr>
      </w:pPr>
    </w:p>
    <w:p>
      <w:pPr>
        <w:ind w:right="200" w:firstLine="1153"/>
        <w:spacing w:after="0" w:line="265" w:lineRule="auto"/>
        <w:tabs>
          <w:tab w:leader="none" w:pos="136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3" w:lineRule="exact"/>
        <w:rPr>
          <w:rFonts w:ascii="Times New Roman" w:cs="Times New Roman" w:eastAsia="Times New Roman" w:hAnsi="Times New Roman"/>
          <w:sz w:val="18"/>
          <w:szCs w:val="18"/>
          <w:b w:val="1"/>
          <w:bCs w:val="1"/>
          <w:color w:val="auto"/>
        </w:rPr>
      </w:pPr>
    </w:p>
    <w:p>
      <w:pPr>
        <w:ind w:firstLine="1662"/>
        <w:spacing w:after="0" w:line="250" w:lineRule="auto"/>
        <w:tabs>
          <w:tab w:leader="none" w:pos="1868"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3" w:lineRule="exact"/>
        <w:rPr>
          <w:rFonts w:ascii="Times New Roman" w:cs="Times New Roman" w:eastAsia="Times New Roman" w:hAnsi="Times New Roman"/>
          <w:sz w:val="18"/>
          <w:szCs w:val="18"/>
          <w:b w:val="1"/>
          <w:bCs w:val="1"/>
          <w:color w:val="auto"/>
        </w:rPr>
      </w:pPr>
    </w:p>
    <w:p>
      <w:pPr>
        <w:ind w:right="80" w:firstLine="1662"/>
        <w:spacing w:after="0" w:line="253" w:lineRule="auto"/>
        <w:tabs>
          <w:tab w:leader="none" w:pos="1917"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20" w:lineRule="exact"/>
        <w:rPr>
          <w:rFonts w:ascii="Times New Roman" w:cs="Times New Roman" w:eastAsia="Times New Roman" w:hAnsi="Times New Roman"/>
          <w:sz w:val="18"/>
          <w:szCs w:val="18"/>
          <w:b w:val="1"/>
          <w:bCs w:val="1"/>
          <w:color w:val="auto"/>
        </w:rPr>
      </w:pPr>
    </w:p>
    <w:p>
      <w:pPr>
        <w:ind w:right="20" w:firstLine="1662"/>
        <w:spacing w:after="0" w:line="277" w:lineRule="auto"/>
        <w:tabs>
          <w:tab w:leader="none" w:pos="1966"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63" w:lineRule="exact"/>
        <w:rPr>
          <w:rFonts w:ascii="Times New Roman" w:cs="Times New Roman" w:eastAsia="Times New Roman" w:hAnsi="Times New Roman"/>
          <w:sz w:val="18"/>
          <w:szCs w:val="18"/>
          <w:b w:val="1"/>
          <w:bCs w:val="1"/>
          <w:color w:val="auto"/>
        </w:rPr>
      </w:pPr>
    </w:p>
    <w:p>
      <w:pPr>
        <w:ind w:firstLine="1662"/>
        <w:spacing w:after="0" w:line="255" w:lineRule="auto"/>
        <w:tabs>
          <w:tab w:leader="none" w:pos="1956"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74" w:lineRule="exact"/>
        <w:rPr>
          <w:sz w:val="20"/>
          <w:szCs w:val="20"/>
          <w:color w:val="auto"/>
        </w:rPr>
      </w:pPr>
    </w:p>
    <w:p>
      <w:pPr>
        <w:ind w:right="140" w:firstLine="1662"/>
        <w:spacing w:after="0" w:line="259" w:lineRule="auto"/>
        <w:tabs>
          <w:tab w:leader="none" w:pos="190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9" w:lineRule="exact"/>
        <w:rPr>
          <w:sz w:val="20"/>
          <w:szCs w:val="20"/>
          <w:color w:val="auto"/>
        </w:rPr>
      </w:pPr>
    </w:p>
    <w:p>
      <w:pPr>
        <w:ind w:right="180" w:firstLine="1146"/>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1420" w:hanging="267"/>
        <w:spacing w:after="0"/>
        <w:tabs>
          <w:tab w:leader="none" w:pos="14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220" w:lineRule="exact"/>
        <w:rPr>
          <w:rFonts w:ascii="Times New Roman" w:cs="Times New Roman" w:eastAsia="Times New Roman" w:hAnsi="Times New Roman"/>
          <w:sz w:val="18"/>
          <w:szCs w:val="18"/>
          <w:b w:val="1"/>
          <w:bCs w:val="1"/>
          <w:color w:val="auto"/>
        </w:rPr>
      </w:pPr>
    </w:p>
    <w:p>
      <w:pPr>
        <w:ind w:right="620" w:firstLine="1153"/>
        <w:spacing w:after="0" w:line="282" w:lineRule="auto"/>
        <w:tabs>
          <w:tab w:leader="none" w:pos="135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54" w:lineRule="exact"/>
        <w:rPr>
          <w:rFonts w:ascii="Times New Roman" w:cs="Times New Roman" w:eastAsia="Times New Roman" w:hAnsi="Times New Roman"/>
          <w:sz w:val="18"/>
          <w:szCs w:val="18"/>
          <w:b w:val="1"/>
          <w:bCs w:val="1"/>
          <w:color w:val="auto"/>
        </w:rPr>
      </w:pPr>
    </w:p>
    <w:p>
      <w:pPr>
        <w:ind w:left="1460" w:hanging="307"/>
        <w:spacing w:after="0"/>
        <w:tabs>
          <w:tab w:leader="none" w:pos="14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0"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Scilex Holding Company, a Delaware corporation, and any successor corporation thereto.</w:t>
      </w:r>
    </w:p>
    <w:p>
      <w:pPr>
        <w:spacing w:after="0" w:line="220"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0" w:lineRule="exact"/>
        <w:rPr>
          <w:rFonts w:ascii="Times New Roman" w:cs="Times New Roman" w:eastAsia="Times New Roman" w:hAnsi="Times New Roman"/>
          <w:sz w:val="18"/>
          <w:szCs w:val="18"/>
          <w:b w:val="1"/>
          <w:bCs w:val="1"/>
          <w:color w:val="auto"/>
        </w:rPr>
      </w:pPr>
    </w:p>
    <w:p>
      <w:pPr>
        <w:ind w:right="80" w:firstLine="1153"/>
        <w:spacing w:after="0" w:line="256" w:lineRule="auto"/>
        <w:tabs>
          <w:tab w:leader="none" w:pos="140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8" w:lineRule="exact"/>
        <w:rPr>
          <w:rFonts w:ascii="Times New Roman" w:cs="Times New Roman" w:eastAsia="Times New Roman" w:hAnsi="Times New Roman"/>
          <w:sz w:val="18"/>
          <w:szCs w:val="18"/>
          <w:b w:val="1"/>
          <w:bCs w:val="1"/>
          <w:color w:val="auto"/>
        </w:rPr>
      </w:pPr>
    </w:p>
    <w:p>
      <w:pPr>
        <w:ind w:firstLine="1153"/>
        <w:spacing w:after="0" w:line="250" w:lineRule="auto"/>
        <w:tabs>
          <w:tab w:leader="none" w:pos="140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74" w:lineRule="exact"/>
        <w:rPr>
          <w:sz w:val="20"/>
          <w:szCs w:val="20"/>
          <w:color w:val="auto"/>
        </w:rPr>
      </w:pPr>
    </w:p>
    <w:p>
      <w:pPr>
        <w:ind w:left="1400" w:hanging="247"/>
        <w:spacing w:after="0"/>
        <w:tabs>
          <w:tab w:leader="none" w:pos="140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means the consummation, in a single transaction or in a series of related transactions, of any one or more of the</w:t>
      </w:r>
    </w:p>
    <w:p>
      <w:pPr>
        <w:spacing w:after="0" w:line="4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following events:</w:t>
      </w:r>
    </w:p>
    <w:p>
      <w:pPr>
        <w:spacing w:after="0" w:line="94" w:lineRule="exact"/>
        <w:rPr>
          <w:rFonts w:ascii="Times New Roman" w:cs="Times New Roman" w:eastAsia="Times New Roman" w:hAnsi="Times New Roman"/>
          <w:sz w:val="17"/>
          <w:szCs w:val="17"/>
          <w:b w:val="1"/>
          <w:bCs w:val="1"/>
          <w:color w:val="auto"/>
        </w:rPr>
      </w:pPr>
    </w:p>
    <w:p>
      <w:pPr>
        <w:ind w:left="1880" w:hanging="218"/>
        <w:spacing w:after="0"/>
        <w:tabs>
          <w:tab w:leader="none" w:pos="1880"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sale or other disposition of all or substantially all, as determined by the Board, of the consolidated assets of the Company and its</w:t>
      </w:r>
    </w:p>
    <w:p>
      <w:pPr>
        <w:spacing w:after="0" w:line="37"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Subsidiaries;</w:t>
      </w:r>
    </w:p>
    <w:p>
      <w:pPr>
        <w:spacing w:after="0" w:line="201" w:lineRule="exact"/>
        <w:rPr>
          <w:rFonts w:ascii="Times New Roman" w:cs="Times New Roman" w:eastAsia="Times New Roman" w:hAnsi="Times New Roman"/>
          <w:sz w:val="17"/>
          <w:szCs w:val="17"/>
          <w:b w:val="1"/>
          <w:bCs w:val="1"/>
          <w:color w:val="auto"/>
        </w:rPr>
      </w:pPr>
    </w:p>
    <w:p>
      <w:pPr>
        <w:ind w:left="1920" w:hanging="258"/>
        <w:spacing w:after="0"/>
        <w:tabs>
          <w:tab w:leader="none" w:pos="19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20" w:lineRule="exact"/>
        <w:rPr>
          <w:rFonts w:ascii="Times New Roman" w:cs="Times New Roman" w:eastAsia="Times New Roman" w:hAnsi="Times New Roman"/>
          <w:sz w:val="18"/>
          <w:szCs w:val="18"/>
          <w:b w:val="1"/>
          <w:bCs w:val="1"/>
          <w:color w:val="auto"/>
        </w:rPr>
      </w:pPr>
    </w:p>
    <w:p>
      <w:pPr>
        <w:ind w:left="1980" w:hanging="318"/>
        <w:spacing w:after="0"/>
        <w:tabs>
          <w:tab w:leader="none" w:pos="198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0" w:lineRule="exact"/>
        <w:rPr>
          <w:rFonts w:ascii="Times New Roman" w:cs="Times New Roman" w:eastAsia="Times New Roman" w:hAnsi="Times New Roman"/>
          <w:sz w:val="18"/>
          <w:szCs w:val="18"/>
          <w:b w:val="1"/>
          <w:bCs w:val="1"/>
          <w:color w:val="auto"/>
        </w:rPr>
      </w:pPr>
    </w:p>
    <w:p>
      <w:pPr>
        <w:ind w:right="400" w:firstLine="1662"/>
        <w:spacing w:after="0" w:line="262" w:lineRule="auto"/>
        <w:tabs>
          <w:tab w:leader="none" w:pos="195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3" w:lineRule="exact"/>
        <w:rPr>
          <w:rFonts w:ascii="Times New Roman" w:cs="Times New Roman" w:eastAsia="Times New Roman" w:hAnsi="Times New Roman"/>
          <w:sz w:val="18"/>
          <w:szCs w:val="18"/>
          <w:b w:val="1"/>
          <w:bCs w:val="1"/>
          <w:color w:val="auto"/>
        </w:rPr>
      </w:pPr>
    </w:p>
    <w:p>
      <w:pPr>
        <w:ind w:left="1380" w:hanging="227"/>
        <w:spacing w:after="0"/>
        <w:tabs>
          <w:tab w:leader="none" w:pos="1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0" w:lineRule="exact"/>
        <w:rPr>
          <w:rFonts w:ascii="Times New Roman" w:cs="Times New Roman" w:eastAsia="Times New Roman" w:hAnsi="Times New Roman"/>
          <w:sz w:val="18"/>
          <w:szCs w:val="18"/>
          <w:b w:val="1"/>
          <w:bCs w:val="1"/>
          <w:color w:val="auto"/>
        </w:rPr>
      </w:pPr>
    </w:p>
    <w:p>
      <w:pPr>
        <w:ind w:left="1380" w:hanging="227"/>
        <w:spacing w:after="0"/>
        <w:tabs>
          <w:tab w:leader="none" w:pos="1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0" w:lineRule="exact"/>
        <w:rPr>
          <w:rFonts w:ascii="Times New Roman" w:cs="Times New Roman" w:eastAsia="Times New Roman" w:hAnsi="Times New Roman"/>
          <w:sz w:val="18"/>
          <w:szCs w:val="18"/>
          <w:b w:val="1"/>
          <w:bCs w:val="1"/>
          <w:color w:val="auto"/>
        </w:rPr>
      </w:pPr>
    </w:p>
    <w:p>
      <w:pPr>
        <w:ind w:right="80" w:firstLine="1153"/>
        <w:spacing w:after="0" w:line="259" w:lineRule="auto"/>
        <w:tabs>
          <w:tab w:leader="none" w:pos="140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5" w:lineRule="exact"/>
        <w:rPr>
          <w:rFonts w:ascii="Times New Roman" w:cs="Times New Roman" w:eastAsia="Times New Roman" w:hAnsi="Times New Roman"/>
          <w:sz w:val="18"/>
          <w:szCs w:val="18"/>
          <w:b w:val="1"/>
          <w:bCs w:val="1"/>
          <w:color w:val="auto"/>
        </w:rPr>
      </w:pPr>
    </w:p>
    <w:p>
      <w:pPr>
        <w:jc w:val="both"/>
        <w:ind w:right="280" w:firstLine="1153"/>
        <w:spacing w:after="0" w:line="265" w:lineRule="auto"/>
        <w:tabs>
          <w:tab w:leader="none" w:pos="139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later of (i) the date on which the Plan is approved by the stockholders of the Company in accordance with Section 13, and (ii) the day that is one day prior to the date of the closing of the transactions contemplated by that certain Agreement and Plan of Merger, dated as of March 17, 2022 (as amended), by and among the Company and the other parties thereto.</w:t>
      </w:r>
    </w:p>
    <w:p>
      <w:pPr>
        <w:spacing w:after="0" w:line="169" w:lineRule="exact"/>
        <w:rPr>
          <w:rFonts w:ascii="Times New Roman" w:cs="Times New Roman" w:eastAsia="Times New Roman" w:hAnsi="Times New Roman"/>
          <w:sz w:val="18"/>
          <w:szCs w:val="18"/>
          <w:b w:val="1"/>
          <w:bCs w:val="1"/>
          <w:color w:val="auto"/>
        </w:rPr>
      </w:pPr>
    </w:p>
    <w:p>
      <w:pPr>
        <w:ind w:right="80" w:firstLine="1153"/>
        <w:spacing w:after="0" w:line="282" w:lineRule="auto"/>
        <w:tabs>
          <w:tab w:leader="none" w:pos="143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that employs the Participant.</w:t>
      </w:r>
    </w:p>
    <w:p>
      <w:pPr>
        <w:spacing w:after="0" w:line="153"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0"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0" w:lineRule="exact"/>
        <w:rPr>
          <w:sz w:val="20"/>
          <w:szCs w:val="20"/>
          <w:color w:val="auto"/>
        </w:rPr>
      </w:pPr>
    </w:p>
    <w:p>
      <w:pPr>
        <w:ind w:firstLine="1153"/>
        <w:spacing w:after="0" w:line="270" w:lineRule="auto"/>
        <w:tabs>
          <w:tab w:leader="none" w:pos="1487"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 Person</w:t>
      </w:r>
      <w:r>
        <w:rPr>
          <w:rFonts w:ascii="Times New Roman" w:cs="Times New Roman" w:eastAsia="Times New Roman" w:hAnsi="Times New Roman"/>
          <w:sz w:val="17"/>
          <w:szCs w:val="17"/>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0" w:lineRule="exact"/>
        <w:rPr>
          <w:rFonts w:ascii="Times New Roman" w:cs="Times New Roman" w:eastAsia="Times New Roman" w:hAnsi="Times New Roman"/>
          <w:sz w:val="17"/>
          <w:szCs w:val="17"/>
          <w:b w:val="1"/>
          <w:bCs w:val="1"/>
          <w:color w:val="auto"/>
        </w:rPr>
      </w:pPr>
    </w:p>
    <w:p>
      <w:pPr>
        <w:ind w:right="60" w:firstLine="1153"/>
        <w:spacing w:after="0" w:line="282" w:lineRule="auto"/>
        <w:tabs>
          <w:tab w:leader="none" w:pos="150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 (i) if</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(ii) if there is no closing sales price for the Common Stock on the date of determination, then the Fair Market Value will be the closing selling price on the last preceding date for which such quotation exists; or (iii) in the absence of such markets for the Common Stock, or if otherwise determined by the Board, the Fair Market Value will be determined by the Board in good faith and in a manner that complies with Sections 409A and 422 of the Code.</w:t>
      </w:r>
    </w:p>
    <w:p>
      <w:pPr>
        <w:spacing w:after="0" w:line="183" w:lineRule="exact"/>
        <w:rPr>
          <w:sz w:val="20"/>
          <w:szCs w:val="20"/>
          <w:color w:val="auto"/>
        </w:rPr>
      </w:pPr>
    </w:p>
    <w:p>
      <w:pPr>
        <w:ind w:right="60" w:firstLine="1153"/>
        <w:spacing w:after="0" w:line="254" w:lineRule="auto"/>
        <w:tabs>
          <w:tab w:leader="none" w:pos="146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1" w:lineRule="exact"/>
        <w:rPr>
          <w:rFonts w:ascii="Times New Roman" w:cs="Times New Roman" w:eastAsia="Times New Roman" w:hAnsi="Times New Roman"/>
          <w:sz w:val="18"/>
          <w:szCs w:val="18"/>
          <w:b w:val="1"/>
          <w:bCs w:val="1"/>
          <w:color w:val="auto"/>
        </w:rPr>
      </w:pPr>
    </w:p>
    <w:p>
      <w:pPr>
        <w:ind w:right="80" w:firstLine="1153"/>
        <w:spacing w:after="0" w:line="265" w:lineRule="auto"/>
        <w:tabs>
          <w:tab w:leader="none" w:pos="150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69" w:lineRule="exact"/>
        <w:rPr>
          <w:rFonts w:ascii="Times New Roman" w:cs="Times New Roman" w:eastAsia="Times New Roman" w:hAnsi="Times New Roman"/>
          <w:sz w:val="18"/>
          <w:szCs w:val="18"/>
          <w:b w:val="1"/>
          <w:bCs w:val="1"/>
          <w:color w:val="auto"/>
        </w:rPr>
      </w:pPr>
    </w:p>
    <w:p>
      <w:pPr>
        <w:ind w:firstLine="1153"/>
        <w:spacing w:after="0" w:line="282" w:lineRule="auto"/>
        <w:tabs>
          <w:tab w:leader="none" w:pos="146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right="80" w:firstLine="1153"/>
        <w:spacing w:after="0" w:line="252" w:lineRule="auto"/>
        <w:tabs>
          <w:tab w:leader="none" w:pos="142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4" w:lineRule="exact"/>
        <w:rPr>
          <w:rFonts w:ascii="Times New Roman" w:cs="Times New Roman" w:eastAsia="Times New Roman" w:hAnsi="Times New Roman"/>
          <w:sz w:val="18"/>
          <w:szCs w:val="18"/>
          <w:b w:val="1"/>
          <w:bCs w:val="1"/>
          <w:color w:val="auto"/>
        </w:rPr>
      </w:pPr>
    </w:p>
    <w:p>
      <w:pPr>
        <w:ind w:firstLine="1153"/>
        <w:spacing w:after="0" w:line="254" w:lineRule="auto"/>
        <w:tabs>
          <w:tab w:leader="none" w:pos="148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1" w:lineRule="exact"/>
        <w:rPr>
          <w:rFonts w:ascii="Times New Roman" w:cs="Times New Roman" w:eastAsia="Times New Roman" w:hAnsi="Times New Roman"/>
          <w:sz w:val="18"/>
          <w:szCs w:val="18"/>
          <w:b w:val="1"/>
          <w:bCs w:val="1"/>
          <w:color w:val="auto"/>
        </w:rPr>
      </w:pPr>
    </w:p>
    <w:p>
      <w:pPr>
        <w:ind w:right="120" w:firstLine="1153"/>
        <w:spacing w:after="0" w:line="265" w:lineRule="auto"/>
        <w:tabs>
          <w:tab w:leader="none" w:pos="150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69" w:lineRule="exact"/>
        <w:rPr>
          <w:rFonts w:ascii="Times New Roman" w:cs="Times New Roman" w:eastAsia="Times New Roman" w:hAnsi="Times New Roman"/>
          <w:sz w:val="18"/>
          <w:szCs w:val="18"/>
          <w:b w:val="1"/>
          <w:bCs w:val="1"/>
          <w:color w:val="auto"/>
        </w:rPr>
      </w:pPr>
    </w:p>
    <w:p>
      <w:pPr>
        <w:ind w:right="260" w:firstLine="1153"/>
        <w:spacing w:after="0" w:line="282" w:lineRule="auto"/>
        <w:tabs>
          <w:tab w:leader="none" w:pos="140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154" w:lineRule="exact"/>
        <w:rPr>
          <w:rFonts w:ascii="Times New Roman" w:cs="Times New Roman" w:eastAsia="Times New Roman" w:hAnsi="Times New Roman"/>
          <w:sz w:val="18"/>
          <w:szCs w:val="18"/>
          <w:b w:val="1"/>
          <w:bCs w:val="1"/>
          <w:color w:val="auto"/>
        </w:rPr>
      </w:pPr>
    </w:p>
    <w:p>
      <w:pPr>
        <w:ind w:right="140" w:firstLine="1153"/>
        <w:spacing w:after="0" w:line="282" w:lineRule="auto"/>
        <w:tabs>
          <w:tab w:leader="none" w:pos="142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provides for acceleration of vesting of an Award and issuance of the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78"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7"/>
          <w:szCs w:val="17"/>
          <w:color w:val="auto"/>
        </w:rPr>
        <w:t>shares in respect of such Award upon the Participant’s termination of employment or separation from service (as such term is defined in Section 409A(a)(2) (A)(i) of the Code (and without regard to any alternative definition thereunder)) (“</w:t>
      </w:r>
      <w:r>
        <w:rPr>
          <w:rFonts w:ascii="Times New Roman" w:cs="Times New Roman" w:eastAsia="Times New Roman" w:hAnsi="Times New Roman"/>
          <w:sz w:val="17"/>
          <w:szCs w:val="17"/>
          <w:b w:val="1"/>
          <w:bCs w:val="1"/>
          <w:i w:val="1"/>
          <w:iCs w:val="1"/>
          <w:color w:val="auto"/>
        </w:rPr>
        <w:t>Separation from Service</w:t>
      </w:r>
      <w:r>
        <w:rPr>
          <w:rFonts w:ascii="Times New Roman" w:cs="Times New Roman" w:eastAsia="Times New Roman" w:hAnsi="Times New Roman"/>
          <w:sz w:val="17"/>
          <w:szCs w:val="17"/>
          <w:color w:val="auto"/>
        </w:rPr>
        <w:t>”) and such severance benefit does not satisfy the requirements for an exemption from application of Section 409A provided under Treasury Regulations Section 1.409A-1(b)(4), 1.409A-1(b)(9) or otherwise.</w:t>
      </w:r>
    </w:p>
    <w:p>
      <w:pPr>
        <w:spacing w:after="0" w:line="155" w:lineRule="exact"/>
        <w:rPr>
          <w:sz w:val="20"/>
          <w:szCs w:val="20"/>
          <w:color w:val="auto"/>
        </w:rPr>
      </w:pPr>
    </w:p>
    <w:p>
      <w:pPr>
        <w:ind w:left="1520" w:hanging="367"/>
        <w:spacing w:after="0"/>
        <w:tabs>
          <w:tab w:leader="none" w:pos="1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198" w:lineRule="exact"/>
        <w:rPr>
          <w:sz w:val="20"/>
          <w:szCs w:val="20"/>
          <w:color w:val="auto"/>
        </w:rPr>
      </w:pPr>
    </w:p>
    <w:p>
      <w:pPr>
        <w:ind w:left="1420" w:hanging="267"/>
        <w:spacing w:after="0"/>
        <w:tabs>
          <w:tab w:leader="none" w:pos="14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0" w:lineRule="exact"/>
        <w:rPr>
          <w:rFonts w:ascii="Times New Roman" w:cs="Times New Roman" w:eastAsia="Times New Roman" w:hAnsi="Times New Roman"/>
          <w:sz w:val="18"/>
          <w:szCs w:val="18"/>
          <w:b w:val="1"/>
          <w:bCs w:val="1"/>
          <w:color w:val="auto"/>
        </w:rPr>
      </w:pPr>
    </w:p>
    <w:p>
      <w:pPr>
        <w:ind w:left="1620" w:hanging="467"/>
        <w:spacing w:after="0"/>
        <w:tabs>
          <w:tab w:leader="none" w:pos="16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198" w:lineRule="exact"/>
        <w:rPr>
          <w:sz w:val="20"/>
          <w:szCs w:val="20"/>
          <w:color w:val="auto"/>
        </w:rPr>
      </w:pPr>
    </w:p>
    <w:p>
      <w:pPr>
        <w:jc w:val="both"/>
        <w:ind w:right="260" w:firstLine="1153"/>
        <w:spacing w:after="0" w:line="259" w:lineRule="auto"/>
        <w:tabs>
          <w:tab w:leader="none" w:pos="15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1500" w:hanging="347"/>
        <w:spacing w:after="0"/>
        <w:tabs>
          <w:tab w:leader="none" w:pos="1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outstanding Option.</w:t>
      </w:r>
    </w:p>
    <w:p>
      <w:pPr>
        <w:spacing w:after="0" w:line="197" w:lineRule="exact"/>
        <w:rPr>
          <w:rFonts w:ascii="Times New Roman" w:cs="Times New Roman" w:eastAsia="Times New Roman" w:hAnsi="Times New Roman"/>
          <w:sz w:val="18"/>
          <w:szCs w:val="18"/>
          <w:b w:val="1"/>
          <w:bCs w:val="1"/>
          <w:color w:val="auto"/>
        </w:rPr>
      </w:pPr>
    </w:p>
    <w:p>
      <w:pPr>
        <w:ind w:right="120" w:firstLine="1153"/>
        <w:spacing w:after="0" w:line="265" w:lineRule="auto"/>
        <w:tabs>
          <w:tab w:leader="none" w:pos="15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Options, Nonstatutory Stock Option, SAR, Restricted Stock Award, RSU Award or Performance Award.</w:t>
      </w:r>
    </w:p>
    <w:p>
      <w:pPr>
        <w:spacing w:after="0" w:line="169" w:lineRule="exact"/>
        <w:rPr>
          <w:rFonts w:ascii="Times New Roman" w:cs="Times New Roman" w:eastAsia="Times New Roman" w:hAnsi="Times New Roman"/>
          <w:sz w:val="18"/>
          <w:szCs w:val="18"/>
          <w:b w:val="1"/>
          <w:bCs w:val="1"/>
          <w:color w:val="auto"/>
        </w:rPr>
      </w:pPr>
    </w:p>
    <w:p>
      <w:pPr>
        <w:ind w:right="40" w:firstLine="1153"/>
        <w:spacing w:after="0" w:line="282" w:lineRule="auto"/>
        <w:tabs>
          <w:tab w:leader="none" w:pos="15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87" w:lineRule="exact"/>
        <w:rPr>
          <w:rFonts w:ascii="Times New Roman" w:cs="Times New Roman" w:eastAsia="Times New Roman" w:hAnsi="Times New Roman"/>
          <w:sz w:val="18"/>
          <w:szCs w:val="18"/>
          <w:b w:val="1"/>
          <w:bCs w:val="1"/>
          <w:color w:val="auto"/>
        </w:rPr>
      </w:pPr>
    </w:p>
    <w:p>
      <w:pPr>
        <w:ind w:firstLine="1153"/>
        <w:spacing w:after="0" w:line="265" w:lineRule="auto"/>
        <w:tabs>
          <w:tab w:leader="none" w:pos="146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9" w:lineRule="exact"/>
        <w:rPr>
          <w:rFonts w:ascii="Times New Roman" w:cs="Times New Roman" w:eastAsia="Times New Roman" w:hAnsi="Times New Roman"/>
          <w:sz w:val="18"/>
          <w:szCs w:val="18"/>
          <w:b w:val="1"/>
          <w:bCs w:val="1"/>
          <w:color w:val="auto"/>
        </w:rPr>
      </w:pPr>
    </w:p>
    <w:p>
      <w:pPr>
        <w:ind w:right="20" w:firstLine="1153"/>
        <w:spacing w:after="0" w:line="282" w:lineRule="auto"/>
        <w:tabs>
          <w:tab w:leader="none" w:pos="144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ind w:right="240" w:firstLine="1153"/>
        <w:spacing w:after="0" w:line="256" w:lineRule="auto"/>
        <w:tabs>
          <w:tab w:leader="none" w:pos="142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8" w:lineRule="exact"/>
        <w:rPr>
          <w:rFonts w:ascii="Times New Roman" w:cs="Times New Roman" w:eastAsia="Times New Roman" w:hAnsi="Times New Roman"/>
          <w:sz w:val="18"/>
          <w:szCs w:val="18"/>
          <w:b w:val="1"/>
          <w:bCs w:val="1"/>
          <w:color w:val="auto"/>
        </w:rPr>
      </w:pPr>
    </w:p>
    <w:p>
      <w:pPr>
        <w:ind w:firstLine="1153"/>
        <w:spacing w:after="0" w:line="254" w:lineRule="auto"/>
        <w:tabs>
          <w:tab w:leader="none" w:pos="150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pre-clinical development related compound goals;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Board or Committee.</w:t>
      </w:r>
    </w:p>
    <w:p>
      <w:pPr>
        <w:spacing w:after="0" w:line="193" w:lineRule="exact"/>
        <w:rPr>
          <w:sz w:val="20"/>
          <w:szCs w:val="20"/>
          <w:color w:val="auto"/>
        </w:rPr>
      </w:pPr>
    </w:p>
    <w:p>
      <w:pPr>
        <w:ind w:right="20" w:firstLine="1153"/>
        <w:spacing w:after="0" w:line="249" w:lineRule="auto"/>
        <w:tabs>
          <w:tab w:leader="none" w:pos="148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94" w:lineRule="exact"/>
        <w:rPr>
          <w:rFonts w:ascii="Times New Roman" w:cs="Times New Roman" w:eastAsia="Times New Roman" w:hAnsi="Times New Roman"/>
          <w:sz w:val="18"/>
          <w:szCs w:val="18"/>
          <w:b w:val="1"/>
          <w:bCs w:val="1"/>
          <w:color w:val="auto"/>
        </w:rPr>
      </w:pPr>
    </w:p>
    <w:p>
      <w:pPr>
        <w:ind w:right="220" w:firstLine="1153"/>
        <w:spacing w:after="0" w:line="265" w:lineRule="auto"/>
        <w:tabs>
          <w:tab w:leader="none" w:pos="156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69" w:lineRule="exact"/>
        <w:rPr>
          <w:rFonts w:ascii="Times New Roman" w:cs="Times New Roman" w:eastAsia="Times New Roman" w:hAnsi="Times New Roman"/>
          <w:sz w:val="18"/>
          <w:szCs w:val="18"/>
          <w:b w:val="1"/>
          <w:bCs w:val="1"/>
          <w:color w:val="auto"/>
        </w:rPr>
      </w:pPr>
    </w:p>
    <w:p>
      <w:pPr>
        <w:ind w:left="1500" w:hanging="347"/>
        <w:spacing w:after="0"/>
        <w:tabs>
          <w:tab w:leader="none" w:pos="1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Scilex Holding Company 2022 Equity Incentive Plan, as amended from time to time.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74" w:lineRule="exact"/>
        <w:rPr>
          <w:sz w:val="20"/>
          <w:szCs w:val="20"/>
          <w:color w:val="auto"/>
        </w:rPr>
      </w:pPr>
    </w:p>
    <w:p>
      <w:pPr>
        <w:ind w:firstLine="1153"/>
        <w:spacing w:after="0" w:line="282" w:lineRule="auto"/>
        <w:tabs>
          <w:tab w:leader="none" w:pos="148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day-to-day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right="260" w:firstLine="1153"/>
        <w:spacing w:after="0" w:line="282" w:lineRule="auto"/>
        <w:tabs>
          <w:tab w:leader="none" w:pos="146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5" w:lineRule="exact"/>
        <w:rPr>
          <w:sz w:val="20"/>
          <w:szCs w:val="20"/>
          <w:color w:val="auto"/>
        </w:rPr>
      </w:pPr>
    </w:p>
    <w:p>
      <w:pPr>
        <w:ind w:left="1580" w:hanging="427"/>
        <w:spacing w:after="0"/>
        <w:tabs>
          <w:tab w:leader="none" w:pos="15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Company’s 2019 Equity Incentive Plan, as amended.</w:t>
      </w:r>
    </w:p>
    <w:p>
      <w:pPr>
        <w:spacing w:after="0" w:line="220" w:lineRule="exact"/>
        <w:rPr>
          <w:rFonts w:ascii="Times New Roman" w:cs="Times New Roman" w:eastAsia="Times New Roman" w:hAnsi="Times New Roman"/>
          <w:sz w:val="18"/>
          <w:szCs w:val="18"/>
          <w:b w:val="1"/>
          <w:bCs w:val="1"/>
          <w:color w:val="auto"/>
        </w:rPr>
      </w:pPr>
    </w:p>
    <w:p>
      <w:pPr>
        <w:ind w:left="1620" w:hanging="467"/>
        <w:spacing w:after="0"/>
        <w:tabs>
          <w:tab w:leader="none" w:pos="16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granted pursuant to the terms and conditions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5(a).</w:t>
      </w:r>
    </w:p>
    <w:p>
      <w:pPr>
        <w:spacing w:after="0" w:line="198" w:lineRule="exact"/>
        <w:rPr>
          <w:sz w:val="20"/>
          <w:szCs w:val="20"/>
          <w:color w:val="auto"/>
        </w:rPr>
      </w:pPr>
    </w:p>
    <w:p>
      <w:pPr>
        <w:ind w:right="20" w:firstLine="1153"/>
        <w:spacing w:after="0" w:line="279" w:lineRule="auto"/>
        <w:tabs>
          <w:tab w:leader="none" w:pos="1546"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59" w:lineRule="exact"/>
        <w:rPr>
          <w:rFonts w:ascii="Times New Roman" w:cs="Times New Roman" w:eastAsia="Times New Roman" w:hAnsi="Times New Roman"/>
          <w:sz w:val="17"/>
          <w:szCs w:val="17"/>
          <w:b w:val="1"/>
          <w:bCs w:val="1"/>
          <w:color w:val="auto"/>
        </w:rPr>
      </w:pPr>
    </w:p>
    <w:p>
      <w:pPr>
        <w:ind w:right="120" w:firstLine="1153"/>
        <w:spacing w:after="0" w:line="256" w:lineRule="auto"/>
        <w:tabs>
          <w:tab w:leader="none" w:pos="160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78" w:lineRule="exact"/>
        <w:rPr>
          <w:rFonts w:ascii="Times New Roman" w:cs="Times New Roman" w:eastAsia="Times New Roman" w:hAnsi="Times New Roman"/>
          <w:sz w:val="18"/>
          <w:szCs w:val="18"/>
          <w:b w:val="1"/>
          <w:bCs w:val="1"/>
          <w:color w:val="auto"/>
        </w:rPr>
      </w:pPr>
    </w:p>
    <w:p>
      <w:pPr>
        <w:ind w:right="120" w:firstLine="1153"/>
        <w:spacing w:after="0" w:line="282" w:lineRule="auto"/>
        <w:tabs>
          <w:tab w:leader="none" w:pos="154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ind w:right="80" w:firstLine="1153"/>
        <w:spacing w:after="0" w:line="259" w:lineRule="auto"/>
        <w:tabs>
          <w:tab w:leader="none" w:pos="148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1580" w:hanging="427"/>
        <w:spacing w:after="0"/>
        <w:tabs>
          <w:tab w:leader="none" w:pos="15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0" w:lineRule="exact"/>
        <w:rPr>
          <w:rFonts w:ascii="Times New Roman" w:cs="Times New Roman" w:eastAsia="Times New Roman" w:hAnsi="Times New Roman"/>
          <w:sz w:val="18"/>
          <w:szCs w:val="18"/>
          <w:b w:val="1"/>
          <w:bCs w:val="1"/>
          <w:color w:val="auto"/>
        </w:rPr>
      </w:pPr>
    </w:p>
    <w:p>
      <w:pPr>
        <w:ind w:left="1620" w:hanging="467"/>
        <w:spacing w:after="0"/>
        <w:tabs>
          <w:tab w:leader="none" w:pos="16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0" w:lineRule="exact"/>
        <w:rPr>
          <w:rFonts w:ascii="Times New Roman" w:cs="Times New Roman" w:eastAsia="Times New Roman" w:hAnsi="Times New Roman"/>
          <w:sz w:val="18"/>
          <w:szCs w:val="18"/>
          <w:b w:val="1"/>
          <w:bCs w:val="1"/>
          <w:color w:val="auto"/>
        </w:rPr>
      </w:pPr>
    </w:p>
    <w:p>
      <w:pPr>
        <w:ind w:left="1460" w:hanging="307"/>
        <w:spacing w:after="0"/>
        <w:tabs>
          <w:tab w:leader="none" w:pos="1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0" w:lineRule="exact"/>
        <w:rPr>
          <w:rFonts w:ascii="Times New Roman" w:cs="Times New Roman" w:eastAsia="Times New Roman" w:hAnsi="Times New Roman"/>
          <w:sz w:val="18"/>
          <w:szCs w:val="18"/>
          <w:b w:val="1"/>
          <w:bCs w:val="1"/>
          <w:color w:val="auto"/>
        </w:rPr>
      </w:pPr>
    </w:p>
    <w:p>
      <w:pPr>
        <w:ind w:firstLine="1153"/>
        <w:spacing w:after="0" w:line="265" w:lineRule="auto"/>
        <w:tabs>
          <w:tab w:leader="none" w:pos="148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69" w:lineRule="exact"/>
        <w:rPr>
          <w:rFonts w:ascii="Times New Roman" w:cs="Times New Roman" w:eastAsia="Times New Roman" w:hAnsi="Times New Roman"/>
          <w:sz w:val="18"/>
          <w:szCs w:val="18"/>
          <w:b w:val="1"/>
          <w:bCs w:val="1"/>
          <w:color w:val="auto"/>
        </w:rPr>
      </w:pPr>
    </w:p>
    <w:p>
      <w:pPr>
        <w:ind w:left="1620" w:hanging="467"/>
        <w:spacing w:after="0"/>
        <w:tabs>
          <w:tab w:leader="none" w:pos="16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0" w:lineRule="exact"/>
        <w:rPr>
          <w:rFonts w:ascii="Times New Roman" w:cs="Times New Roman" w:eastAsia="Times New Roman" w:hAnsi="Times New Roman"/>
          <w:sz w:val="18"/>
          <w:szCs w:val="18"/>
          <w:b w:val="1"/>
          <w:bCs w:val="1"/>
          <w:color w:val="auto"/>
        </w:rPr>
      </w:pPr>
    </w:p>
    <w:p>
      <w:pPr>
        <w:ind w:left="1460" w:hanging="307"/>
        <w:spacing w:after="0"/>
        <w:tabs>
          <w:tab w:leader="none" w:pos="1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0" w:name="page31"/>
    <w:bookmarkEnd w:id="30"/>
    <w:p>
      <w:pPr>
        <w:spacing w:after="0" w:line="174" w:lineRule="exact"/>
        <w:rPr>
          <w:sz w:val="20"/>
          <w:szCs w:val="20"/>
          <w:color w:val="auto"/>
        </w:rPr>
      </w:pPr>
    </w:p>
    <w:p>
      <w:pPr>
        <w:ind w:right="280" w:firstLine="1153"/>
        <w:spacing w:after="0" w:line="282" w:lineRule="auto"/>
        <w:tabs>
          <w:tab w:leader="none" w:pos="175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ind w:right="120" w:firstLine="1153"/>
        <w:spacing w:after="0" w:line="259" w:lineRule="auto"/>
        <w:tabs>
          <w:tab w:leader="none" w:pos="160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right="20" w:firstLine="1153"/>
        <w:spacing w:after="0" w:line="256" w:lineRule="auto"/>
        <w:tabs>
          <w:tab w:leader="none" w:pos="157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Common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8" w:lineRule="exact"/>
        <w:rPr>
          <w:rFonts w:ascii="Times New Roman" w:cs="Times New Roman" w:eastAsia="Times New Roman" w:hAnsi="Times New Roman"/>
          <w:sz w:val="18"/>
          <w:szCs w:val="18"/>
          <w:b w:val="1"/>
          <w:bCs w:val="1"/>
          <w:color w:val="auto"/>
        </w:rPr>
      </w:pPr>
    </w:p>
    <w:p>
      <w:pPr>
        <w:ind w:firstLine="1153"/>
        <w:spacing w:after="0" w:line="282" w:lineRule="auto"/>
        <w:tabs>
          <w:tab w:leader="none" w:pos="160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87" w:lineRule="exact"/>
        <w:rPr>
          <w:rFonts w:ascii="Times New Roman" w:cs="Times New Roman" w:eastAsia="Times New Roman" w:hAnsi="Times New Roman"/>
          <w:sz w:val="18"/>
          <w:szCs w:val="18"/>
          <w:b w:val="1"/>
          <w:bCs w:val="1"/>
          <w:color w:val="auto"/>
        </w:rPr>
      </w:pPr>
    </w:p>
    <w:p>
      <w:pPr>
        <w:ind w:right="240" w:firstLine="1153"/>
        <w:spacing w:after="0" w:line="282" w:lineRule="auto"/>
        <w:tabs>
          <w:tab w:leader="none" w:pos="160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4" w:lineRule="exact"/>
        <w:rPr>
          <w:rFonts w:ascii="Times New Roman" w:cs="Times New Roman" w:eastAsia="Times New Roman" w:hAnsi="Times New Roman"/>
          <w:sz w:val="18"/>
          <w:szCs w:val="18"/>
          <w:b w:val="1"/>
          <w:bCs w:val="1"/>
          <w:color w:val="auto"/>
        </w:rPr>
      </w:pPr>
    </w:p>
    <w:p>
      <w:pPr>
        <w:ind w:right="20" w:firstLine="1153"/>
        <w:spacing w:after="0" w:line="282" w:lineRule="auto"/>
        <w:tabs>
          <w:tab w:leader="none" w:pos="1546"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right="120" w:firstLine="1153"/>
        <w:spacing w:after="0" w:line="282" w:lineRule="auto"/>
        <w:tabs>
          <w:tab w:leader="none" w:pos="151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631190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725170</wp:posOffset>
            </wp:positionH>
            <wp:positionV relativeFrom="page">
              <wp:posOffset>495935</wp:posOffset>
            </wp:positionV>
            <wp:extent cx="1552575" cy="457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552575" cy="457835"/>
                    </a:xfrm>
                    <a:prstGeom prst="rect">
                      <a:avLst/>
                    </a:prstGeom>
                    <a:noFill/>
                  </pic:spPr>
                </pic:pic>
              </a:graphicData>
            </a:graphic>
          </wp:anchor>
        </w:drawing>
      </w:r>
    </w:p>
    <w:p>
      <w:pPr>
        <w:jc w:val="right"/>
        <w:ind w:right="339"/>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29, 2026</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Scilex Holding Company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960 San Antonio Road</w:t>
      </w:r>
    </w:p>
    <w:p>
      <w:pPr>
        <w:ind w:left="340"/>
        <w:spacing w:after="0"/>
        <w:rPr>
          <w:sz w:val="20"/>
          <w:szCs w:val="20"/>
          <w:color w:val="auto"/>
        </w:rPr>
      </w:pPr>
      <w:r>
        <w:rPr>
          <w:rFonts w:ascii="Arial" w:cs="Arial" w:eastAsia="Arial" w:hAnsi="Arial"/>
          <w:sz w:val="18"/>
          <w:szCs w:val="18"/>
          <w:color w:val="auto"/>
        </w:rPr>
        <w:t>Palo Alto, CA 94303</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  Registration Statement on Form S-8</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jc w:val="both"/>
        <w:ind w:left="340" w:right="359"/>
        <w:spacing w:after="0" w:line="239" w:lineRule="auto"/>
        <w:rPr>
          <w:sz w:val="20"/>
          <w:szCs w:val="20"/>
          <w:color w:val="auto"/>
        </w:rPr>
      </w:pPr>
      <w:r>
        <w:rPr>
          <w:rFonts w:ascii="Arial" w:cs="Arial" w:eastAsia="Arial" w:hAnsi="Arial"/>
          <w:sz w:val="18"/>
          <w:szCs w:val="18"/>
          <w:color w:val="auto"/>
        </w:rPr>
        <w:t>We have acted as counsel to Scilex Holding Company,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preparation of the registration statement on Form S-8 to be filed by the Company with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or about the date hereof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effect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an aggregate of 1,300,000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reserved for awards available for future issuance under the Scilex Holding Company 2022 Equity 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60" w:lineRule="exact"/>
        <w:rPr>
          <w:sz w:val="20"/>
          <w:szCs w:val="20"/>
          <w:color w:val="auto"/>
        </w:rPr>
      </w:pPr>
    </w:p>
    <w:p>
      <w:pPr>
        <w:jc w:val="both"/>
        <w:ind w:left="340" w:right="359"/>
        <w:spacing w:after="0" w:line="238" w:lineRule="auto"/>
        <w:rPr>
          <w:sz w:val="20"/>
          <w:szCs w:val="20"/>
          <w:color w:val="auto"/>
        </w:rPr>
      </w:pPr>
      <w:r>
        <w:rPr>
          <w:rFonts w:ascii="Arial" w:cs="Arial" w:eastAsia="Arial" w:hAnsi="Arial"/>
          <w:sz w:val="18"/>
          <w:szCs w:val="18"/>
          <w:color w:val="auto"/>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spacing w:after="0" w:line="171" w:lineRule="exact"/>
        <w:rPr>
          <w:sz w:val="20"/>
          <w:szCs w:val="20"/>
          <w:color w:val="auto"/>
        </w:rPr>
      </w:pPr>
    </w:p>
    <w:p>
      <w:pPr>
        <w:ind w:left="1360" w:hanging="401"/>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07" w:lineRule="exact"/>
        <w:rPr>
          <w:rFonts w:ascii="Arial" w:cs="Arial" w:eastAsia="Arial" w:hAnsi="Arial"/>
          <w:sz w:val="18"/>
          <w:szCs w:val="18"/>
          <w:color w:val="auto"/>
        </w:rPr>
      </w:pPr>
    </w:p>
    <w:p>
      <w:pPr>
        <w:ind w:left="1580" w:right="379" w:hanging="621"/>
        <w:spacing w:after="0" w:line="262" w:lineRule="auto"/>
        <w:tabs>
          <w:tab w:leader="none" w:pos="13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Company, as amended, as certified as of June 29, 2026 by the Office of the Secretary of State of the State of Delaware;</w:t>
      </w:r>
    </w:p>
    <w:p>
      <w:pPr>
        <w:spacing w:after="0" w:line="163" w:lineRule="exact"/>
        <w:rPr>
          <w:sz w:val="20"/>
          <w:szCs w:val="20"/>
          <w:color w:val="auto"/>
        </w:rPr>
      </w:pPr>
    </w:p>
    <w:p>
      <w:pPr>
        <w:ind w:left="1580" w:right="359" w:hanging="621"/>
        <w:spacing w:after="0" w:line="262" w:lineRule="auto"/>
        <w:tabs>
          <w:tab w:leader="none" w:pos="13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Bylaws of the Company as presently in effect, as certified by an officer of the Company on June 29, 2026;</w:t>
      </w:r>
    </w:p>
    <w:p>
      <w:pPr>
        <w:spacing w:after="0" w:line="162" w:lineRule="exact"/>
        <w:rPr>
          <w:rFonts w:ascii="Arial" w:cs="Arial" w:eastAsia="Arial" w:hAnsi="Arial"/>
          <w:sz w:val="18"/>
          <w:szCs w:val="18"/>
          <w:color w:val="auto"/>
        </w:rPr>
      </w:pPr>
    </w:p>
    <w:p>
      <w:pPr>
        <w:ind w:left="1580" w:right="359" w:hanging="621"/>
        <w:spacing w:after="0" w:line="247" w:lineRule="auto"/>
        <w:tabs>
          <w:tab w:leader="none" w:pos="13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Plan and the forms of award agreements related thereto that were attached as exhibits to the Registration Statement or otherwise incorporated by reference into the exhibits of the Registration Statement;</w:t>
      </w:r>
    </w:p>
    <w:p>
      <w:pPr>
        <w:spacing w:after="0" w:line="175" w:lineRule="exact"/>
        <w:rPr>
          <w:rFonts w:ascii="Arial" w:cs="Arial" w:eastAsia="Arial" w:hAnsi="Arial"/>
          <w:sz w:val="18"/>
          <w:szCs w:val="18"/>
          <w:color w:val="auto"/>
        </w:rPr>
      </w:pPr>
    </w:p>
    <w:p>
      <w:pPr>
        <w:ind w:left="1580" w:right="359" w:hanging="603"/>
        <w:spacing w:after="0" w:line="253" w:lineRule="auto"/>
        <w:tabs>
          <w:tab w:leader="none" w:pos="13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certificate, dated as of June 29, 2026, from the Office of the Secretary of State of the State of Delaware, as to the existence and good standing of the Company in the State of Delaware (the “</w:t>
      </w:r>
      <w:r>
        <w:rPr>
          <w:rFonts w:ascii="Arial" w:cs="Arial" w:eastAsia="Arial" w:hAnsi="Arial"/>
          <w:sz w:val="18"/>
          <w:szCs w:val="18"/>
          <w:b w:val="1"/>
          <w:bCs w:val="1"/>
          <w:i w:val="1"/>
          <w:iCs w:val="1"/>
          <w:color w:val="auto"/>
        </w:rPr>
        <w:t>Good Standing Certificate</w:t>
      </w:r>
      <w:r>
        <w:rPr>
          <w:rFonts w:ascii="Arial" w:cs="Arial" w:eastAsia="Arial" w:hAnsi="Arial"/>
          <w:sz w:val="18"/>
          <w:szCs w:val="18"/>
          <w:color w:val="auto"/>
        </w:rPr>
        <w:t>”); and</w:t>
      </w:r>
    </w:p>
    <w:p>
      <w:pPr>
        <w:spacing w:after="0" w:line="160" w:lineRule="exact"/>
        <w:rPr>
          <w:sz w:val="20"/>
          <w:szCs w:val="20"/>
          <w:color w:val="auto"/>
        </w:rPr>
      </w:pPr>
    </w:p>
    <w:p>
      <w:pPr>
        <w:ind w:left="1580" w:right="359" w:hanging="621"/>
        <w:spacing w:after="0" w:line="269" w:lineRule="auto"/>
        <w:tabs>
          <w:tab w:leader="none" w:pos="135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resolutions adopted by the board of directors of the Company and its Compensation Committee and approvals by the stockholders of the Company regarding the Plan, and other matters related thereto, as certified by an officer of the Company on June 29, 2026.</w:t>
      </w:r>
    </w:p>
    <w:p>
      <w:pPr>
        <w:spacing w:after="0" w:line="158" w:lineRule="exact"/>
        <w:rPr>
          <w:sz w:val="20"/>
          <w:szCs w:val="20"/>
          <w:color w:val="auto"/>
        </w:rPr>
      </w:pPr>
    </w:p>
    <w:p>
      <w:pPr>
        <w:ind w:left="340" w:right="359"/>
        <w:spacing w:after="0" w:line="262" w:lineRule="auto"/>
        <w:rPr>
          <w:sz w:val="20"/>
          <w:szCs w:val="20"/>
          <w:color w:val="auto"/>
        </w:rPr>
      </w:pPr>
      <w:r>
        <w:rPr>
          <w:rFonts w:ascii="Arial" w:cs="Arial" w:eastAsia="Arial" w:hAnsi="Arial"/>
          <w:sz w:val="18"/>
          <w:szCs w:val="18"/>
          <w:color w:val="auto"/>
        </w:rPr>
        <w:t>In addition to the foregoing, we have made such investigations of law as we have deemed necessary or appropriate as a basis for the opinion set forth in this opinion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991870</wp:posOffset>
            </wp:positionV>
            <wp:extent cx="696404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64045" cy="42545"/>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368300</wp:posOffset>
            </wp:positionV>
            <wp:extent cx="3842385" cy="245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842385" cy="2457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725170</wp:posOffset>
            </wp:positionH>
            <wp:positionV relativeFrom="page">
              <wp:posOffset>495935</wp:posOffset>
            </wp:positionV>
            <wp:extent cx="1221740" cy="356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221740" cy="3562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Scilex Holding Company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29, 2026</w:t>
      </w:r>
    </w:p>
    <w:p>
      <w:pPr>
        <w:ind w:left="34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40" w:right="339"/>
        <w:spacing w:after="0" w:line="233" w:lineRule="auto"/>
        <w:rPr>
          <w:sz w:val="20"/>
          <w:szCs w:val="20"/>
          <w:color w:val="auto"/>
        </w:rPr>
      </w:pPr>
      <w:r>
        <w:rPr>
          <w:rFonts w:ascii="Arial" w:cs="Arial" w:eastAsia="Arial" w:hAnsi="Arial"/>
          <w:sz w:val="18"/>
          <w:szCs w:val="18"/>
          <w:color w:val="auto"/>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and authority of all persons or entities (other than the Company) executing all agreements, instruments, corporate records, certificates and other documents submitted to us;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 We have also assumed that the individual issuances, grants, awards or grants of purchase rights under the Plan will be duly authorized by all necessary corporate action of the Company and duly issued, granted or awarded and exercised in accordance with the requirements of law, the Plan and the agreements, forms of instrument, awards and grants duly adopted thereunder.</w:t>
      </w:r>
    </w:p>
    <w:p>
      <w:pPr>
        <w:spacing w:after="0" w:line="184" w:lineRule="exact"/>
        <w:rPr>
          <w:sz w:val="20"/>
          <w:szCs w:val="20"/>
          <w:color w:val="auto"/>
        </w:rPr>
      </w:pPr>
    </w:p>
    <w:p>
      <w:pPr>
        <w:jc w:val="both"/>
        <w:ind w:left="340" w:right="339"/>
        <w:spacing w:after="0" w:line="238" w:lineRule="auto"/>
        <w:rPr>
          <w:sz w:val="20"/>
          <w:szCs w:val="20"/>
          <w:color w:val="auto"/>
        </w:rPr>
      </w:pPr>
      <w:r>
        <w:rPr>
          <w:rFonts w:ascii="Arial" w:cs="Arial" w:eastAsia="Arial" w:hAnsi="Arial"/>
          <w:sz w:val="18"/>
          <w:szCs w:val="18"/>
          <w:color w:val="auto"/>
        </w:rPr>
        <w:t>Based upon the foregoing, and in reliance thereon, and subject to the assumptions, limitations, qualifications and exceptions set forth herein, we are of the opinion that the Shares are duly authorized and, when issued and sold as described in the Registration Statement and in accordance with the Plan and the applicable award agreements or forms of instrument evidencing purchase rights thereunder (including the receipt by the Company of the full consideration therefor), will be validly issued, fully paid and nonassessable.</w:t>
      </w:r>
    </w:p>
    <w:p>
      <w:pPr>
        <w:spacing w:after="0" w:line="171" w:lineRule="exact"/>
        <w:rPr>
          <w:sz w:val="20"/>
          <w:szCs w:val="20"/>
          <w:color w:val="auto"/>
        </w:rPr>
      </w:pPr>
    </w:p>
    <w:p>
      <w:pPr>
        <w:jc w:val="both"/>
        <w:ind w:left="340" w:right="359"/>
        <w:spacing w:after="0" w:line="247" w:lineRule="auto"/>
        <w:rPr>
          <w:sz w:val="20"/>
          <w:szCs w:val="20"/>
          <w:color w:val="auto"/>
        </w:rPr>
      </w:pPr>
      <w:r>
        <w:rPr>
          <w:rFonts w:ascii="Arial" w:cs="Arial" w:eastAsia="Arial" w:hAnsi="Arial"/>
          <w:sz w:val="18"/>
          <w:szCs w:val="18"/>
          <w:color w:val="auto"/>
        </w:rPr>
        <w:t>Without limiting any of the other limitations, exceptions and qualifications stated elsewhere herein, we express no opinion with regard to the applicability or effect of the laws of any jurisdiction other than the General Corporation Law of the State of Delaware, as in effect on the date of this opinion letter.</w:t>
      </w:r>
    </w:p>
    <w:p>
      <w:pPr>
        <w:spacing w:after="0" w:line="162" w:lineRule="exact"/>
        <w:rPr>
          <w:sz w:val="20"/>
          <w:szCs w:val="20"/>
          <w:color w:val="auto"/>
        </w:rPr>
      </w:pPr>
    </w:p>
    <w:p>
      <w:pPr>
        <w:ind w:left="340" w:right="499"/>
        <w:spacing w:after="0" w:line="292" w:lineRule="auto"/>
        <w:rPr>
          <w:sz w:val="20"/>
          <w:szCs w:val="20"/>
          <w:color w:val="auto"/>
        </w:rPr>
      </w:pPr>
      <w:r>
        <w:rPr>
          <w:rFonts w:ascii="Arial" w:cs="Arial" w:eastAsia="Arial" w:hAnsi="Arial"/>
          <w:sz w:val="17"/>
          <w:szCs w:val="17"/>
          <w:color w:val="auto"/>
        </w:rPr>
        <w:t>This opinion letter deals only with the specified legal issues expressly addressed herein, and you should not infer any opinion that is not explicitly stated herein from any matter addressed in this opinion letter.</w:t>
      </w:r>
    </w:p>
    <w:p>
      <w:pPr>
        <w:spacing w:after="0" w:line="125" w:lineRule="exact"/>
        <w:rPr>
          <w:sz w:val="20"/>
          <w:szCs w:val="20"/>
          <w:color w:val="auto"/>
        </w:rPr>
      </w:pPr>
    </w:p>
    <w:p>
      <w:pPr>
        <w:jc w:val="both"/>
        <w:ind w:left="340" w:right="339"/>
        <w:spacing w:after="0" w:line="238" w:lineRule="auto"/>
        <w:rPr>
          <w:sz w:val="20"/>
          <w:szCs w:val="20"/>
          <w:color w:val="auto"/>
        </w:rPr>
      </w:pPr>
      <w:r>
        <w:rPr>
          <w:rFonts w:ascii="Arial" w:cs="Arial" w:eastAsia="Arial" w:hAnsi="Arial"/>
          <w:sz w:val="18"/>
          <w:szCs w:val="18"/>
          <w:color w:val="auto"/>
        </w:rPr>
        <w:t>This opinion letter is rendered solely in connection with the issuance and delivery of the Shares as described in the Registration Statement and in accordance with the terms of the Plan and the applicable award agreement or form of instrument evidencing purchase rights thereunder. This opinion letter is rendered as of the date hereof, and we assume no obligation to advise you or any other person with regard to any change after the date hereof in the circumstances or the law that may bear on the matters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861695</wp:posOffset>
            </wp:positionV>
            <wp:extent cx="696404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96404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725170</wp:posOffset>
            </wp:positionH>
            <wp:positionV relativeFrom="page">
              <wp:posOffset>495935</wp:posOffset>
            </wp:positionV>
            <wp:extent cx="1221740" cy="356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21740" cy="35623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Scilex Holding Company</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29, 2026</w:t>
      </w:r>
    </w:p>
    <w:p>
      <w:pPr>
        <w:ind w:left="34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40" w:right="359"/>
        <w:spacing w:after="0" w:line="262" w:lineRule="auto"/>
        <w:rPr>
          <w:sz w:val="20"/>
          <w:szCs w:val="20"/>
          <w:color w:val="auto"/>
        </w:rPr>
      </w:pPr>
      <w:r>
        <w:rPr>
          <w:rFonts w:ascii="Arial" w:cs="Arial" w:eastAsia="Arial" w:hAnsi="Arial"/>
          <w:sz w:val="18"/>
          <w:szCs w:val="18"/>
          <w:color w:val="auto"/>
        </w:rPr>
        <w:t>after the effectiveness of the Registration Statement even if the change may affect the legal analysis or a legal conclusion or other matters in this opinion letter.</w:t>
      </w:r>
    </w:p>
    <w:p>
      <w:pPr>
        <w:spacing w:after="0" w:line="189" w:lineRule="exact"/>
        <w:rPr>
          <w:sz w:val="20"/>
          <w:szCs w:val="20"/>
          <w:color w:val="auto"/>
        </w:rPr>
      </w:pPr>
    </w:p>
    <w:p>
      <w:pPr>
        <w:jc w:val="both"/>
        <w:ind w:left="340" w:right="359"/>
        <w:spacing w:after="0" w:line="269" w:lineRule="auto"/>
        <w:rPr>
          <w:sz w:val="20"/>
          <w:szCs w:val="20"/>
          <w:color w:val="auto"/>
        </w:rPr>
      </w:pPr>
      <w:r>
        <w:rPr>
          <w:rFonts w:ascii="Arial" w:cs="Arial" w:eastAsia="Arial" w:hAnsi="Arial"/>
          <w:sz w:val="17"/>
          <w:szCs w:val="17"/>
          <w:color w:val="auto"/>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Very truly yours,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Paul Hastings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5575300</wp:posOffset>
            </wp:positionV>
            <wp:extent cx="696404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6404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We hereby consent to the incorporation by reference in this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of Scilex Holding Company of our report dated April 10, 2026 relating to the consolidated financial statements, which appears in Scilex Holding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2025.</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/s/ BPM LLP</w:t>
      </w:r>
    </w:p>
    <w:p>
      <w:pPr>
        <w:spacing w:after="0" w:line="237" w:lineRule="auto"/>
        <w:rPr>
          <w:sz w:val="20"/>
          <w:szCs w:val="20"/>
          <w:color w:val="auto"/>
        </w:rPr>
      </w:pPr>
      <w:r>
        <w:rPr>
          <w:rFonts w:ascii="Arial" w:cs="Arial" w:eastAsia="Arial" w:hAnsi="Arial"/>
          <w:sz w:val="18"/>
          <w:szCs w:val="18"/>
          <w:color w:val="auto"/>
        </w:rPr>
        <w:t>San Francisco, CA</w:t>
      </w:r>
    </w:p>
    <w:p>
      <w:pPr>
        <w:spacing w:after="0"/>
        <w:rPr>
          <w:sz w:val="20"/>
          <w:szCs w:val="20"/>
          <w:color w:val="auto"/>
        </w:rPr>
      </w:pPr>
      <w:r>
        <w:rPr>
          <w:rFonts w:ascii="Arial" w:cs="Arial" w:eastAsia="Arial" w:hAnsi="Arial"/>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662305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35" w:name="page36"/>
    <w:bookmarkEnd w:id="35"/>
    <w:p>
      <w:pPr>
        <w:spacing w:after="0" w:line="62" w:lineRule="exact"/>
        <w:rPr>
          <w:sz w:val="20"/>
          <w:szCs w:val="20"/>
          <w:color w:val="auto"/>
        </w:rPr>
      </w:pPr>
    </w:p>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Scilex Holding Co</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reserved</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for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1,300,000</w:t>
            </w:r>
          </w:p>
        </w:tc>
        <w:tc>
          <w:tcPr>
            <w:tcW w:w="2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$ 6.84</w:t>
            </w:r>
          </w:p>
        </w:tc>
        <w:tc>
          <w:tcPr>
            <w:tcW w:w="40" w:type="dxa"/>
            <w:vAlign w:val="bottom"/>
          </w:tcPr>
          <w:p>
            <w:pPr>
              <w:spacing w:after="0"/>
              <w:rPr>
                <w:sz w:val="20"/>
                <w:szCs w:val="20"/>
                <w:color w:val="auto"/>
              </w:rPr>
            </w:pPr>
          </w:p>
        </w:tc>
        <w:tc>
          <w:tcPr>
            <w:tcW w:w="14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$ 8,892,000.00</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$ 1,227.99</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shd w:val="clear" w:color="auto" w:fill="E7E7E2"/>
          </w:tcPr>
          <w:p>
            <w:pPr>
              <w:ind w:left="20"/>
              <w:spacing w:after="0" w:line="240" w:lineRule="exact"/>
              <w:rPr>
                <w:sz w:val="20"/>
                <w:szCs w:val="20"/>
                <w:color w:val="auto"/>
              </w:rPr>
            </w:pPr>
            <w:r>
              <w:rPr>
                <w:rFonts w:ascii="Arial" w:cs="Arial" w:eastAsia="Arial" w:hAnsi="Arial"/>
                <w:sz w:val="21"/>
                <w:szCs w:val="21"/>
                <w:color w:val="auto"/>
              </w:rPr>
              <w:t>under the</w:t>
            </w:r>
          </w:p>
        </w:tc>
        <w:tc>
          <w:tcPr>
            <w:tcW w:w="20" w:type="dxa"/>
            <w:vAlign w:val="bottom"/>
          </w:tcPr>
          <w:p>
            <w:pPr>
              <w:spacing w:after="0"/>
              <w:rPr>
                <w:sz w:val="14"/>
                <w:szCs w:val="14"/>
                <w:color w:val="auto"/>
              </w:rPr>
            </w:pPr>
          </w:p>
        </w:tc>
        <w:tc>
          <w:tcPr>
            <w:tcW w:w="12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Borders>
              <w:left w:val="single" w:sz="8" w:color="auto"/>
            </w:tcBorders>
          </w:tcPr>
          <w:p>
            <w:pPr>
              <w:spacing w:after="0"/>
              <w:rPr>
                <w:sz w:val="6"/>
                <w:szCs w:val="6"/>
                <w:color w:val="auto"/>
              </w:rPr>
            </w:pPr>
          </w:p>
        </w:tc>
        <w:tc>
          <w:tcPr>
            <w:tcW w:w="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Scilex</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Holding</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Company</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2022</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Plan, as</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21"/>
                <w:szCs w:val="21"/>
                <w:color w:val="auto"/>
              </w:rPr>
              <w:t>amended</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$ 8,892,000.00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$ 1,227.99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$ 1,227.99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20" w:firstLine="2"/>
        <w:spacing w:after="0" w:line="242" w:lineRule="auto"/>
        <w:tabs>
          <w:tab w:leader="none" w:pos="1121" w:val="left"/>
        </w:tabs>
        <w:numPr>
          <w:ilvl w:val="0"/>
          <w:numId w:val="63"/>
        </w:numPr>
        <w:rPr>
          <w:rFonts w:ascii="Arial" w:cs="Arial" w:eastAsia="Arial" w:hAnsi="Arial"/>
          <w:sz w:val="21"/>
          <w:szCs w:val="21"/>
          <w:color w:val="auto"/>
        </w:rPr>
      </w:pPr>
      <w:r>
        <w:rPr>
          <w:rFonts w:ascii="Arial" w:cs="Arial" w:eastAsia="Arial" w:hAnsi="Arial"/>
          <w:sz w:val="21"/>
          <w:szCs w:val="21"/>
          <w:color w:val="auto"/>
        </w:rPr>
        <w:t>Pursuant to Rule 416(a) of the Securities Act of 1933, as amended (the "Securities Act"), this Registration Statement shall also cover any additional shares of the Registrant's common stock, $0.0001 par value per share (the "Common Stock"), that become issuable under the Scilex Holding Company 2022 Equity Incentive Plan, as amended (the "Plan"), by reason of any stock dividend, stock split, recapitalization or other similar transaction effected without receipt of consideration that increases the number of outstanding shares of the Registrant's Common Stock.</w:t>
      </w:r>
    </w:p>
    <w:p>
      <w:pPr>
        <w:spacing w:after="0" w:line="1" w:lineRule="exact"/>
        <w:rPr>
          <w:rFonts w:ascii="Arial" w:cs="Arial" w:eastAsia="Arial" w:hAnsi="Arial"/>
          <w:sz w:val="21"/>
          <w:szCs w:val="21"/>
          <w:color w:val="auto"/>
        </w:rPr>
      </w:pPr>
    </w:p>
    <w:p>
      <w:pPr>
        <w:ind w:left="800" w:right="760"/>
        <w:spacing w:after="0" w:line="241" w:lineRule="auto"/>
        <w:rPr>
          <w:rFonts w:ascii="Arial" w:cs="Arial" w:eastAsia="Arial" w:hAnsi="Arial"/>
          <w:sz w:val="21"/>
          <w:szCs w:val="21"/>
          <w:color w:val="auto"/>
        </w:rPr>
      </w:pPr>
      <w:r>
        <w:rPr>
          <w:rFonts w:ascii="Arial" w:cs="Arial" w:eastAsia="Arial" w:hAnsi="Arial"/>
          <w:sz w:val="21"/>
          <w:szCs w:val="21"/>
          <w:color w:val="auto"/>
        </w:rPr>
        <w:t>The Amount Registered represents 1,300,000 shares of Common Stock that were added to the shares reserved for issuance under the Plan pursuant to an amendment thereto that was approved by the Registrant's stockholders at the Registrant's 2026 Annual Meeting of Stockholders on June 24, 2026. The Proposed Maximum Offering Price Per Unit is estimated solely for the purpose of calculating the registration fee pursuant to Rule 457(c) and Rule 457(h) of the Securities Act. The proposed maximum offering price per share and the proposed maximum aggregate offering price are calculated based on $6.84 per share, the average of the high and low price of the Common Stock on the Nasdaq Capital Market on June 24, 2026 (such date being within five business days prior to the date that this registration statement was filed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81280</wp:posOffset>
            </wp:positionV>
            <wp:extent cx="6387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1568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98360" cy="1568450"/>
                    </a:xfrm>
                    <a:prstGeom prst="rect">
                      <a:avLst/>
                    </a:prstGeom>
                    <a:noFill/>
                  </pic:spPr>
                </pic:pic>
              </a:graphicData>
            </a:graphic>
          </wp:anchor>
        </w:drawing>
      </w:r>
    </w:p>
    <w:p>
      <w:pPr>
        <w:sectPr>
          <w:pgSz w:w="11900" w:h="16900" w:orient="portrait"/>
          <w:cols w:equalWidth="0" w:num="1">
            <w:col w:w="11240"/>
          </w:cols>
          <w:pgMar w:left="360" w:top="14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0" w:type="dxa"/>
            <w:vAlign w:val="bottom"/>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shd w:val="clear" w:color="auto" w:fill="E7E7E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900" w:orient="portrait"/>
          <w:cols w:equalWidth="0" w:num="3">
            <w:col w:w="1980" w:space="40"/>
            <w:col w:w="2720" w:space="40"/>
            <w:col w:w="6460"/>
          </w:cols>
          <w:pgMar w:left="360" w:top="142" w:right="299" w:bottom="0" w:gutter="0" w:footer="0" w:header="0"/>
          <w:type w:val="continuous"/>
        </w:sectPr>
      </w:pPr>
    </w:p>
    <w:bookmarkStart w:id="36" w:name="page37"/>
    <w:bookmarkEnd w:id="36"/>
    <w:p>
      <w:pPr>
        <w:spacing w:after="0"/>
        <w:rPr>
          <w:sz w:val="20"/>
          <w:szCs w:val="20"/>
          <w:color w:val="auto"/>
        </w:rPr>
      </w:pPr>
      <w:r>
        <w:rPr>
          <w:rFonts w:ascii="Arial" w:cs="Arial" w:eastAsia="Arial" w:hAnsi="Arial"/>
          <w:sz w:val="21"/>
          <w:szCs w:val="2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-134620</wp:posOffset>
            </wp:positionV>
            <wp:extent cx="7198360" cy="986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98360" cy="9861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sectPr>
      <w:pgSz w:w="11900" w:h="16838" w:orient="portrait"/>
      <w:cols w:equalWidth="0" w:num="1">
        <w:col w:w="10079"/>
      </w:cols>
      <w:pgMar w:left="38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650"/>
    </w:lvl>
  </w:abstractNum>
  <w:abstractNum w:abstractNumId="1">
    <w:nsid w:val="22221A70"/>
    <w:multiLevelType w:val="hybridMultilevel"/>
    <w:lvl w:ilvl="0">
      <w:lvlJc w:val="left"/>
      <w:lvlText w:val="(%1)"/>
      <w:numFmt w:val="lowerLetter"/>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lvl w:ilvl="1">
      <w:lvlJc w:val="left"/>
      <w:lvlText w:val="(%2)"/>
      <w:numFmt w:val="lowerLetter"/>
      <w:start w:val="1"/>
    </w:lvl>
  </w:abstractNum>
  <w:abstractNum w:abstractNumId="4">
    <w:nsid w:val="614FD4A1"/>
    <w:multiLevelType w:val="hybridMultilevel"/>
    <w:lvl w:ilvl="0">
      <w:lvlJc w:val="left"/>
      <w:lvlText w:val="%1."/>
      <w:numFmt w:val="decimal"/>
      <w:start w:val="2"/>
    </w:lvl>
    <w:lvl w:ilvl="1">
      <w:lvlJc w:val="left"/>
      <w:lvlText w:val="(%2)"/>
      <w:numFmt w:val="lowerLetter"/>
      <w:start w:val="1"/>
    </w:lvl>
  </w:abstractNum>
  <w:abstractNum w:abstractNumId="5">
    <w:nsid w:val="419AC2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5577F8E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
    <w:nsid w:val="440BADF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8">
    <w:nsid w:val="507236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9">
    <w:nsid w:val="3804823E"/>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0">
    <w:nsid w:val="77465F01"/>
    <w:multiLevelType w:val="hybridMultilevel"/>
    <w:lvl w:ilvl="0">
      <w:lvlJc w:val="left"/>
      <w:lvlText w:val="(%1)"/>
      <w:numFmt w:val="lowerLetter"/>
      <w:start w:val="1"/>
    </w:lvl>
    <w:lvl w:ilvl="1">
      <w:lvlJc w:val="left"/>
      <w:lvlText w:val="(%2)"/>
      <w:numFmt w:val="lowerRoman"/>
      <w:start w:val="1"/>
    </w:lvl>
  </w:abstractNum>
  <w:abstractNum w:abstractNumId="11">
    <w:nsid w:val="7724C67E"/>
    <w:multiLevelType w:val="hybridMultilevel"/>
    <w:lvl w:ilvl="0">
      <w:lvlJc w:val="left"/>
      <w:lvlText w:val="%1"/>
      <w:numFmt w:val="lowerLetter"/>
      <w:start w:val="1"/>
    </w:lvl>
    <w:lvl w:ilvl="1">
      <w:lvlJc w:val="left"/>
      <w:lvlText w:val="(%2)"/>
      <w:numFmt w:val="lowerRoman"/>
      <w:start w:val="3"/>
    </w:lvl>
  </w:abstractNum>
  <w:abstractNum w:abstractNumId="12">
    <w:nsid w:val="5C482A97"/>
    <w:multiLevelType w:val="hybridMultilevel"/>
    <w:lvl w:ilvl="0">
      <w:lvlJc w:val="left"/>
      <w:lvlText w:val="(%1)"/>
      <w:numFmt w:val="lowerLetter"/>
      <w:start w:val="4"/>
    </w:lvl>
    <w:lvl w:ilvl="1">
      <w:lvlJc w:val="left"/>
      <w:lvlText w:val="(%2)"/>
      <w:numFmt w:val="lowerRoman"/>
      <w:start w:val="1"/>
    </w:lvl>
  </w:abstractNum>
  <w:abstractNum w:abstractNumId="13">
    <w:nsid w:val="2463B9EA"/>
    <w:multiLevelType w:val="hybridMultilevel"/>
    <w:lvl w:ilvl="0">
      <w:lvlJc w:val="left"/>
      <w:lvlText w:val="(%1)"/>
      <w:numFmt w:val="lowerLetter"/>
      <w:start w:val="8"/>
    </w:lvl>
    <w:lvl w:ilvl="1">
      <w:lvlJc w:val="left"/>
      <w:lvlText w:val="(%2)"/>
      <w:numFmt w:val="lowerRoman"/>
      <w:start w:val="1"/>
    </w:lvl>
  </w:abstractNum>
  <w:abstractNum w:abstractNumId="14">
    <w:nsid w:val="5E884ADC"/>
    <w:multiLevelType w:val="hybridMultilevel"/>
    <w:lvl w:ilvl="0">
      <w:lvlJc w:val="left"/>
      <w:lvlText w:val="(%1)"/>
      <w:numFmt w:val="lowerLetter"/>
      <w:start w:val="9"/>
    </w:lvl>
  </w:abstractNum>
  <w:abstractNum w:abstractNumId="15">
    <w:nsid w:val="51EAD36B"/>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16">
    <w:nsid w:val="2D51779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7">
    <w:nsid w:val="580BD78F"/>
    <w:multiLevelType w:val="hybridMultilevel"/>
    <w:lvl w:ilvl="0">
      <w:lvlJc w:val="left"/>
      <w:lvlText w:val="(%1)"/>
      <w:numFmt w:val="lowerRoman"/>
      <w:start w:val="3"/>
    </w:lvl>
  </w:abstractNum>
  <w:abstractNum w:abstractNumId="18">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9">
    <w:nsid w:val="385558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
    <w:nsid w:val="70A64E2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6A2342EC"/>
    <w:multiLevelType w:val="hybridMultilevel"/>
    <w:lvl w:ilvl="0">
      <w:lvlJc w:val="left"/>
      <w:lvlText w:val="%1"/>
      <w:numFmt w:val="lowerRoman"/>
      <w:start w:val="1"/>
    </w:lvl>
    <w:lvl w:ilvl="1">
      <w:lvlJc w:val="left"/>
      <w:lvlText w:val="(%2)"/>
      <w:numFmt w:val="lowerRoman"/>
      <w:start w:val="2"/>
    </w:lvl>
  </w:abstractNum>
  <w:abstractNum w:abstractNumId="22">
    <w:nsid w:val="2A487CB0"/>
    <w:multiLevelType w:val="hybridMultilevel"/>
    <w:lvl w:ilvl="0">
      <w:lvlJc w:val="left"/>
      <w:lvlText w:val="(%1)"/>
      <w:numFmt w:val="lowerRoman"/>
      <w:start w:val="2"/>
    </w:lvl>
    <w:lvl w:ilvl="1">
      <w:lvlJc w:val="left"/>
      <w:lvlText w:val="(%2)"/>
      <w:numFmt w:val="lowerRoman"/>
      <w:start w:val="3"/>
    </w:lvl>
  </w:abstractNum>
  <w:abstractNum w:abstractNumId="23">
    <w:nsid w:val="1D4ED43B"/>
    <w:multiLevelType w:val="hybridMultilevel"/>
    <w:lvl w:ilvl="0">
      <w:lvlJc w:val="left"/>
      <w:lvlText w:val="%1"/>
      <w:numFmt w:val="lowerLetter"/>
      <w:start w:val="1"/>
    </w:lvl>
    <w:lvl w:ilvl="1">
      <w:lvlJc w:val="left"/>
      <w:lvlText w:val="(%2)"/>
      <w:numFmt w:val="lowerRoman"/>
      <w:start w:val="4"/>
    </w:lvl>
  </w:abstractNum>
  <w:abstractNum w:abstractNumId="24">
    <w:nsid w:val="725A06FB"/>
    <w:multiLevelType w:val="hybridMultilevel"/>
    <w:lvl w:ilvl="0">
      <w:lvlJc w:val="left"/>
      <w:lvlText w:val="(%1)"/>
      <w:numFmt w:val="lowerLetter"/>
      <w:start w:val="4"/>
    </w:lvl>
    <w:lvl w:ilvl="1">
      <w:lvlJc w:val="left"/>
      <w:lvlText w:val="%2"/>
      <w:numFmt w:val="lowerRoman"/>
      <w:start w:val="1"/>
    </w:lvl>
  </w:abstractNum>
  <w:abstractNum w:abstractNumId="25">
    <w:nsid w:val="2CD89A3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27">
    <w:nsid w:val="7A6D8D3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
    <w:nsid w:val="4B588F5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
    <w:nsid w:val="542289EC"/>
    <w:multiLevelType w:val="hybridMultilevel"/>
    <w:lvl w:ilvl="0">
      <w:lvlJc w:val="left"/>
      <w:lvlText w:val="%1"/>
      <w:numFmt w:val="decimal"/>
      <w:start w:val="1"/>
    </w:lvl>
    <w:lvl w:ilvl="1">
      <w:lvlJc w:val="left"/>
      <w:lvlText w:val="(%2)"/>
      <w:numFmt w:val="lowerLetter"/>
      <w:start w:val="1"/>
    </w:lvl>
  </w:abstractNum>
  <w:abstractNum w:abstractNumId="30">
    <w:nsid w:val="6DE91B18"/>
    <w:multiLevelType w:val="hybridMultilevel"/>
    <w:lvl w:ilvl="0">
      <w:lvlJc w:val="left"/>
      <w:lvlText w:val="%1."/>
      <w:numFmt w:val="decimal"/>
      <w:start w:val="9"/>
    </w:lvl>
    <w:lvl w:ilvl="1">
      <w:lvlJc w:val="left"/>
      <w:lvlText w:val="(%2)"/>
      <w:numFmt w:val="lowerLetter"/>
      <w:start w:val="1"/>
    </w:lvl>
  </w:abstractNum>
  <w:abstractNum w:abstractNumId="31">
    <w:nsid w:val="38437FDB"/>
    <w:multiLevelType w:val="hybridMultilevel"/>
    <w:lvl w:ilvl="0">
      <w:lvlJc w:val="left"/>
      <w:lvlText w:val="(%1)"/>
      <w:numFmt w:val="lowerLetter"/>
      <w:start w:val="4"/>
    </w:lvl>
  </w:abstractNum>
  <w:abstractNum w:abstractNumId="32">
    <w:nsid w:val="7644A45C"/>
    <w:multiLevelType w:val="hybridMultilevel"/>
    <w:lvl w:ilvl="0">
      <w:lvlJc w:val="left"/>
      <w:lvlText w:val="%1"/>
      <w:numFmt w:val="decimal"/>
      <w:start w:val="1"/>
    </w:lvl>
    <w:lvl w:ilvl="1">
      <w:lvlJc w:val="left"/>
      <w:lvlText w:val="(%2)"/>
      <w:numFmt w:val="lowerLetter"/>
      <w:start w:val="10"/>
    </w:lvl>
  </w:abstractNum>
  <w:abstractNum w:abstractNumId="33">
    <w:nsid w:val="32FFF902"/>
    <w:multiLevelType w:val="hybridMultilevel"/>
    <w:lvl w:ilvl="0">
      <w:lvlJc w:val="left"/>
      <w:lvlText w:val="%1."/>
      <w:numFmt w:val="decimal"/>
      <w:start w:val="10"/>
    </w:lvl>
    <w:lvl w:ilvl="1">
      <w:lvlJc w:val="left"/>
      <w:lvlText w:val="%2"/>
      <w:numFmt w:val="lowerLetter"/>
      <w:start w:val="1"/>
    </w:lvl>
  </w:abstractNum>
  <w:abstractNum w:abstractNumId="34">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579478F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6">
    <w:nsid w:val="749ABB43"/>
    <w:multiLevelType w:val="hybridMultilevel"/>
    <w:lvl w:ilvl="0">
      <w:lvlJc w:val="left"/>
      <w:lvlText w:val="(%1)"/>
      <w:numFmt w:val="lowerRoman"/>
      <w:start w:val="1"/>
    </w:lvl>
  </w:abstractNum>
  <w:abstractNum w:abstractNumId="37">
    <w:nsid w:val="3DC240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8">
    <w:nsid w:val="1BA026FA"/>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9">
    <w:nsid w:val="79A1DEAA"/>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40">
    <w:nsid w:val="75C6C33A"/>
    <w:multiLevelType w:val="hybridMultilevel"/>
    <w:lvl w:ilvl="0">
      <w:lvlJc w:val="left"/>
      <w:lvlText w:val="%1"/>
      <w:numFmt w:val="lowerLetter"/>
      <w:start w:val="1"/>
    </w:lvl>
    <w:lvl w:ilvl="1">
      <w:lvlJc w:val="left"/>
      <w:lvlText w:val="(%2)"/>
      <w:numFmt w:val="lowerLetter"/>
      <w:start w:val="35"/>
    </w:lvl>
  </w:abstractNum>
  <w:abstractNum w:abstractNumId="41">
    <w:nsid w:val="12E685FB"/>
    <w:multiLevelType w:val="hybridMultilevel"/>
    <w:lvl w:ilvl="0">
      <w:lvlJc w:val="left"/>
      <w:lvlText w:val="(%1)"/>
      <w:numFmt w:val="lowerLetter"/>
      <w:start w:val="5"/>
    </w:lvl>
    <w:lvl w:ilvl="1">
      <w:lvlJc w:val="left"/>
      <w:lvlText w:val="(%2)"/>
      <w:numFmt w:val="lowerLetter"/>
      <w:start w:val="9"/>
    </w:lvl>
  </w:abstractNum>
  <w:abstractNum w:abstractNumId="42">
    <w:nsid w:val="70C6A529"/>
    <w:multiLevelType w:val="hybridMultilevel"/>
    <w:lvl w:ilvl="0">
      <w:lvlJc w:val="left"/>
      <w:lvlText w:val="(%1)"/>
      <w:numFmt w:val="lowerRoman"/>
      <w:start w:val="2"/>
    </w:lvl>
  </w:abstractNum>
  <w:abstractNum w:abstractNumId="43">
    <w:nsid w:val="520EEDD1"/>
    <w:multiLevelType w:val="hybridMultilevel"/>
    <w:lvl w:ilvl="0">
      <w:lvlJc w:val="left"/>
      <w:lvlText w:val="%1."/>
      <w:numFmt w:val="decimal"/>
      <w:start w:val="13"/>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10"/>
    </w:lvl>
    <w:lvl w:ilvl="1">
      <w:lvlJc w:val="left"/>
      <w:lvlText w:val="(%2)"/>
      <w:numFmt w:val="lowerRoman"/>
      <w:start w:val="1"/>
    </w:lvl>
  </w:abstractNum>
  <w:abstractNum w:abstractNumId="46">
    <w:nsid w:val="23F9C13C"/>
    <w:multiLevelType w:val="hybridMultilevel"/>
    <w:lvl w:ilvl="0">
      <w:lvlJc w:val="left"/>
      <w:lvlText w:val="(%1)"/>
      <w:numFmt w:val="lowerRoman"/>
      <w:start w:val="5"/>
    </w:lvl>
  </w:abstractNum>
  <w:abstractNum w:abstractNumId="47">
    <w:nsid w:val="649BB77C"/>
    <w:multiLevelType w:val="hybridMultilevel"/>
    <w:lvl w:ilvl="0">
      <w:lvlJc w:val="left"/>
      <w:lvlText w:val="(%1)"/>
      <w:numFmt w:val="lowerLetter"/>
      <w:start w:val="11"/>
    </w:lvl>
  </w:abstractNum>
  <w:abstractNum w:abstractNumId="48">
    <w:nsid w:val="275AC794"/>
    <w:multiLevelType w:val="hybridMultilevel"/>
    <w:lvl w:ilvl="0">
      <w:lvlJc w:val="left"/>
      <w:lvlText w:val="(%1)"/>
      <w:numFmt w:val="lowerLetter"/>
      <w:start w:val="18"/>
    </w:lvl>
    <w:lvl w:ilvl="1">
      <w:lvlJc w:val="left"/>
      <w:lvlText w:val="(%2)"/>
      <w:numFmt w:val="lowerRoman"/>
      <w:start w:val="1"/>
    </w:lvl>
  </w:abstractNum>
  <w:abstractNum w:abstractNumId="49">
    <w:nsid w:val="39386575"/>
    <w:multiLevelType w:val="hybridMultilevel"/>
    <w:lvl w:ilvl="0">
      <w:lvlJc w:val="left"/>
      <w:lvlText w:val="(%1)"/>
      <w:numFmt w:val="lowerLetter"/>
      <w:start w:val="27"/>
    </w:lvl>
  </w:abstractNum>
  <w:abstractNum w:abstractNumId="50">
    <w:nsid w:val="1CF10FD8"/>
    <w:multiLevelType w:val="hybridMultilevel"/>
    <w:lvl w:ilvl="0">
      <w:lvlJc w:val="left"/>
      <w:lvlText w:val="(%1)"/>
      <w:numFmt w:val="lowerLetter"/>
      <w:start w:val="29"/>
    </w:lvl>
  </w:abstractNum>
  <w:abstractNum w:abstractNumId="51">
    <w:nsid w:val="180115BE"/>
    <w:multiLevelType w:val="hybridMultilevel"/>
    <w:lvl w:ilvl="0">
      <w:lvlJc w:val="left"/>
      <w:lvlText w:val="(%1)"/>
      <w:numFmt w:val="lowerLetter"/>
      <w:start w:val="37"/>
    </w:lvl>
  </w:abstractNum>
  <w:abstractNum w:abstractNumId="52">
    <w:nsid w:val="235BA861"/>
    <w:multiLevelType w:val="hybridMultilevel"/>
    <w:lvl w:ilvl="0">
      <w:lvlJc w:val="left"/>
      <w:lvlText w:val="(%1)"/>
      <w:numFmt w:val="lowerLetter"/>
      <w:start w:val="38"/>
    </w:lvl>
  </w:abstractNum>
  <w:abstractNum w:abstractNumId="53">
    <w:nsid w:val="47398C89"/>
    <w:multiLevelType w:val="hybridMultilevel"/>
    <w:lvl w:ilvl="0">
      <w:lvlJc w:val="left"/>
      <w:lvlText w:val="(%1)"/>
      <w:numFmt w:val="lowerLetter"/>
      <w:start w:val="40"/>
    </w:lvl>
  </w:abstractNum>
  <w:abstractNum w:abstractNumId="54">
    <w:nsid w:val="354FE9F9"/>
    <w:multiLevelType w:val="hybridMultilevel"/>
    <w:lvl w:ilvl="0">
      <w:lvlJc w:val="left"/>
      <w:lvlText w:val="(%1)"/>
      <w:numFmt w:val="lowerLetter"/>
      <w:start w:val="48"/>
    </w:lvl>
  </w:abstractNum>
  <w:abstractNum w:abstractNumId="55">
    <w:nsid w:val="15B5AF5C"/>
    <w:multiLevelType w:val="hybridMultilevel"/>
    <w:lvl w:ilvl="0">
      <w:lvlJc w:val="left"/>
      <w:lvlText w:val="(%1)"/>
      <w:numFmt w:val="lowerLetter"/>
      <w:start w:val="51"/>
    </w:lvl>
  </w:abstractNum>
  <w:abstractNum w:abstractNumId="56">
    <w:nsid w:val="741226BB"/>
    <w:multiLevelType w:val="hybridMultilevel"/>
    <w:lvl w:ilvl="0">
      <w:lvlJc w:val="left"/>
      <w:lvlText w:val="(%1)"/>
      <w:numFmt w:val="lowerLetter"/>
      <w:start w:val="53"/>
    </w:lvl>
  </w:abstractNum>
  <w:abstractNum w:abstractNumId="57">
    <w:nsid w:val="D34B6A8"/>
    <w:multiLevelType w:val="hybridMultilevel"/>
    <w:lvl w:ilvl="0">
      <w:lvlJc w:val="left"/>
      <w:lvlText w:val="(%1)"/>
      <w:numFmt w:val="lowerLetter"/>
      <w:start w:val="55"/>
    </w:lvl>
  </w:abstractNum>
  <w:abstractNum w:abstractNumId="58">
    <w:nsid w:val="10233C99"/>
    <w:multiLevelType w:val="hybridMultilevel"/>
    <w:lvl w:ilvl="0">
      <w:lvlJc w:val="left"/>
      <w:lvlText w:val="(%1)"/>
      <w:numFmt w:val="lowerLetter"/>
      <w:start w:val="65"/>
    </w:lvl>
  </w:abstractNum>
  <w:abstractNum w:abstractNumId="59">
    <w:nsid w:val="3F6AB60F"/>
    <w:multiLevelType w:val="hybridMultilevel"/>
    <w:lvl w:ilvl="0">
      <w:lvlJc w:val="left"/>
      <w:lvlText w:val="(%1)"/>
      <w:numFmt w:val="lowerRoman"/>
      <w:start w:val="1"/>
    </w:lvl>
  </w:abstractNum>
  <w:abstractNum w:abstractNumId="60">
    <w:nsid w:val="61574095"/>
    <w:multiLevelType w:val="hybridMultilevel"/>
    <w:lvl w:ilvl="0">
      <w:lvlJc w:val="left"/>
      <w:lvlText w:val="(%1)"/>
      <w:numFmt w:val="lowerRoman"/>
      <w:start w:val="4"/>
    </w:lvl>
    <w:lvl w:ilvl="1">
      <w:lvlJc w:val="left"/>
      <w:lvlText w:val="(%2)"/>
      <w:numFmt w:val="lowerRoman"/>
      <w:start w:val="6"/>
    </w:lvl>
  </w:abstractNum>
  <w:abstractNum w:abstractNumId="61">
    <w:nsid w:val="7E0C57B1"/>
    <w:multiLevelType w:val="hybridMultilevel"/>
    <w:lvl w:ilvl="0">
      <w:lvlJc w:val="left"/>
      <w:lvlText w:val="(%1)"/>
      <w:numFmt w:val="lowerRoman"/>
      <w:start w:val="7"/>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jpeg"/><Relationship Id="rId50" Type="http://schemas.openxmlformats.org/officeDocument/2006/relationships/image" Target="media/image37.pn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40.png"/><Relationship Id="rId54" Type="http://schemas.openxmlformats.org/officeDocument/2006/relationships/image" Target="media/image41.jpe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14" Type="http://schemas.openxmlformats.org/officeDocument/2006/relationships/hyperlink" Target="https://www.sec.gov/Archives/edgar/data/1820190/000095017025047800/sclx-ex4_16.htm" TargetMode="External"/><Relationship Id="rId15" Type="http://schemas.openxmlformats.org/officeDocument/2006/relationships/hyperlink" Target="https://www.sec.gov/ix?doc=/Archives/edgar/data/1820190/000095017025047800/sclx-20241231.htm" TargetMode="External"/><Relationship Id="rId16" Type="http://schemas.openxmlformats.org/officeDocument/2006/relationships/hyperlink" Target="https://www.sec.gov/Archives/edgar/data/1820190/000121390021000590/ea132712-8a12b_vickers1.htm" TargetMode="External"/><Relationship Id="rId18" Type="http://schemas.openxmlformats.org/officeDocument/2006/relationships/hyperlink" Target="https://www.sec.gov/Archives/edgar/data/1820190/000119312522287783/d374632dex31.htm" TargetMode="External"/><Relationship Id="rId19" Type="http://schemas.openxmlformats.org/officeDocument/2006/relationships/hyperlink" Target="https://www.sec.gov/Archives/edgar/data/1820190/000119312525080856/d943368dex31.htm" TargetMode="External"/><Relationship Id="rId20" Type="http://schemas.openxmlformats.org/officeDocument/2006/relationships/hyperlink" Target="https://www.sec.gov/Archives/edgar/data/1820190/000119312522287783/d374632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2026-06-30T05:11:53Z</dcterms:created>
  <dcterms:modified xsi:type="dcterms:W3CDTF">2026-06-30T05:11:53Z</dcterms:modified>
</cp:coreProperties>
</file>