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spacing w:before="0" w:after="60"/>
        <w:jc w:val="center"/>
        <w:rPr>
          <w:rFonts w:ascii="Times New Roman" w:hAnsi="Times New Roman"/>
          <w:sz w:val="20"/>
        </w:rPr>
      </w:pPr>
      <w:bookmarkStart w:id="0" w:name="sclx-20260925.htm"/>
      <w:bookmarkStart w:id="1" w:name="kssclx20260925"/>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spacing w:before="0" w:after="60"/>
        <w:jc w:val="center"/>
        <w:rPr>
          <w:rFonts w:ascii="Times New Roman" w:hAnsi="Times New Roman"/>
          <w:sz w:val="20"/>
        </w:rPr>
      </w:pPr>
      <w:r>
        <w:rPr>
          <w:rFonts w:ascii="Times New Roman" w:hAnsi="Times New Roman"/>
          <w:b/>
          <w:color w:val="000000"/>
          <w:sz w:val="28"/>
        </w:rPr>
        <w:t>FORM 8-K</w:t>
        <w:br/>
      </w:r>
      <w:r>
        <w:rPr>
          <w:rFonts w:ascii="Times New Roman" w:hAnsi="Times New Roman"/>
          <w:b/>
          <w:color w:val="000000"/>
          <w:sz w:val="20"/>
        </w:rPr>
        <w:t>_______________________</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CURRENT REPORT</w:t>
        <w:br/>
        <w:t>PURSUANT TO SECTION 13 OR 15(d)</w:t>
        <w:br/>
        <w:t>OF THE SECURITIES EXCHANGE ACT OF 1934</w:t>
      </w:r>
    </w:p>
    <w:p>
      <w:pPr>
        <w:pStyle w:val="TextBody"/>
        <w:bidi w:val="0"/>
        <w:spacing w:before="0" w:after="60"/>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September 25, 2026</w:t>
      </w:r>
    </w:p>
    <w:p>
      <w:pPr>
        <w:pStyle w:val="TextBody"/>
        <w:bidi w:val="0"/>
        <w:spacing w:before="0" w:after="60"/>
        <w:jc w:val="center"/>
        <w:rPr>
          <w:rFonts w:ascii="Times New Roman" w:hAnsi="Times New Roman"/>
          <w:sz w:val="12"/>
        </w:rPr>
      </w:pPr>
      <w:r>
        <w:rPr>
          <w:rFonts w:ascii="Times New Roman" w:hAnsi="Times New Roman"/>
          <w:b/>
          <w:color w:val="000000"/>
          <w:sz w:val="20"/>
        </w:rPr>
        <w:t>_______________________</w:t>
        <w:br/>
      </w:r>
      <w:r>
        <w:rPr>
          <w:rFonts w:ascii="Times New Roman" w:hAnsi="Times New Roman"/>
          <w:b/>
          <w:color w:val="000000"/>
          <w:sz w:val="12"/>
        </w:rPr>
        <w:br/>
      </w:r>
      <w:r>
        <w:rPr>
          <w:rFonts w:ascii="Times New Roman" w:hAnsi="Times New Roman"/>
          <w:b/>
          <w:color w:val="000000"/>
          <w:sz w:val="36"/>
        </w:rPr>
        <w:t>SCILEX HOLDING COMPANY</w:t>
      </w:r>
      <w:r>
        <w:rPr>
          <w:rFonts w:ascii="Times New Roman" w:hAnsi="Times New Roman"/>
          <w:b/>
          <w:color w:val="000000"/>
          <w:sz w:val="20"/>
        </w:rPr>
        <w:br/>
        <w:t>(Exact name of registrant as specified in its charter)</w:t>
      </w:r>
      <w:r>
        <w:rPr>
          <w:rFonts w:ascii="Times New Roman" w:hAnsi="Times New Roman"/>
          <w:b/>
          <w:color w:val="000000"/>
          <w:sz w:val="18"/>
        </w:rPr>
        <w:br/>
      </w:r>
      <w:r>
        <w:rPr>
          <w:rFonts w:ascii="Times New Roman" w:hAnsi="Times New Roman"/>
          <w:b/>
          <w:color w:val="000000"/>
          <w:sz w:val="20"/>
        </w:rPr>
        <w:t>_______________________</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Delaware</w:t>
              <w:br/>
            </w:r>
            <w:r>
              <w:rPr>
                <w:rFonts w:ascii="Times New Roman" w:hAnsi="Times New Roman"/>
                <w:b/>
                <w:color w:val="000000"/>
                <w:sz w:val="16"/>
              </w:rPr>
              <w:t>(State or other jurisdiction</w:t>
              <w:b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001-39852</w:t>
              <w:br/>
            </w:r>
            <w:r>
              <w:rPr>
                <w:rFonts w:ascii="Times New Roman" w:hAnsi="Times New Roman"/>
                <w:b/>
                <w:color w:val="000000"/>
                <w:sz w:val="16"/>
              </w:rPr>
              <w:t>(Commission</w:t>
              <w:b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20"/>
              </w:rPr>
              <w:t>92-1062542</w:t>
              <w:br/>
            </w:r>
            <w:r>
              <w:rPr>
                <w:rFonts w:ascii="Times New Roman" w:hAnsi="Times New Roman"/>
                <w:b/>
                <w:color w:val="000000"/>
                <w:sz w:val="16"/>
              </w:rPr>
              <w:t>(IRS Employer</w:t>
              <w:br/>
              <w:t>Identification No.)</w:t>
            </w:r>
          </w:p>
        </w:tc>
      </w:tr>
    </w:tbl>
    <w:p>
      <w:pPr>
        <w:pStyle w:val="TextBody"/>
        <w:bidi w:val="0"/>
        <w:jc w:val="left"/>
        <w:rPr/>
      </w:pPr>
      <w:r>
        <w:rPr/>
        <w:t> </w:t>
      </w:r>
    </w:p>
    <w:p>
      <w:pPr>
        <w:pStyle w:val="TextBody"/>
        <w:bidi w:val="0"/>
        <w:spacing w:before="0" w:after="60"/>
        <w:jc w:val="center"/>
        <w:rPr>
          <w:rFonts w:ascii="Times New Roman" w:hAnsi="Times New Roman"/>
          <w:sz w:val="16"/>
        </w:rPr>
      </w:pPr>
      <w:r>
        <w:rPr>
          <w:rFonts w:ascii="Times New Roman" w:hAnsi="Times New Roman"/>
          <w:b/>
          <w:color w:val="000000"/>
          <w:sz w:val="20"/>
        </w:rPr>
        <w:t>960 San Antonio Road, Palo Alto, California, 94303</w:t>
        <w:br/>
      </w:r>
      <w:r>
        <w:rPr>
          <w:rFonts w:ascii="Times New Roman" w:hAnsi="Times New Roman"/>
          <w:b/>
          <w:color w:val="000000"/>
          <w:sz w:val="16"/>
        </w:rPr>
        <w:t>(Address of principal executive offices, including zip code)</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(650) 516-4310</w:t>
      </w:r>
    </w:p>
    <w:p>
      <w:pPr>
        <w:pStyle w:val="TextBody"/>
        <w:bidi w:val="0"/>
        <w:spacing w:before="0" w:after="6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0" w:after="60"/>
        <w:jc w:val="center"/>
        <w:rPr>
          <w:rFonts w:ascii="Times New Roman" w:hAnsi="Times New Roman"/>
          <w:sz w:val="16"/>
        </w:rPr>
      </w:pPr>
      <w:r>
        <w:rPr>
          <w:rFonts w:ascii="Times New Roman" w:hAnsi="Times New Roman"/>
          <w:b/>
          <w:color w:val="000000"/>
          <w:sz w:val="20"/>
        </w:rPr>
        <w:t>N/A</w:t>
        <w:br/>
      </w:r>
      <w:r>
        <w:rPr>
          <w:rFonts w:ascii="Times New Roman" w:hAnsi="Times New Roman"/>
          <w:b/>
          <w:color w:val="000000"/>
          <w:sz w:val="16"/>
        </w:rPr>
        <w:t>(Former Name or Former Address, if Changed Since Last Report)</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_______________________</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10205" w:type="dxa"/>
        <w:jc w:val="left"/>
        <w:tblInd w:w="0" w:type="dxa"/>
        <w:tblLayout w:type="fixed"/>
        <w:tblCellMar>
          <w:top w:w="28" w:type="dxa"/>
          <w:left w:w="28" w:type="dxa"/>
          <w:bottom w:w="28" w:type="dxa"/>
          <w:right w:w="28" w:type="dxa"/>
        </w:tblCellMar>
      </w:tblPr>
      <w:tblGrid>
        <w:gridCol w:w="5848"/>
        <w:gridCol w:w="1442"/>
        <w:gridCol w:w="2915"/>
      </w:tblGrid>
      <w:tr>
        <w:trPr/>
        <w:tc>
          <w:tcPr>
            <w:tcW w:w="584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584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42"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(Trading Symbol)</w:t>
            </w:r>
          </w:p>
        </w:tc>
        <w:tc>
          <w:tcPr>
            <w:tcW w:w="2915"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0"/>
              </w:rPr>
            </w:pPr>
            <w:r>
              <w:rPr>
                <w:rFonts w:ascii="Times New Roman" w:hAnsi="Times New Roman"/>
                <w:b/>
                <w:color w:val="000000"/>
                <w:sz w:val="20"/>
              </w:rPr>
              <w:t>(Name of exchange on which registered)</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par value $0.0001 per share</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r>
        <w:trPr/>
        <w:tc>
          <w:tcPr>
            <w:tcW w:w="5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Warrants to purchase one share of common stock, each at an exercise price of $402.50</w:t>
            </w:r>
          </w:p>
        </w:tc>
        <w:tc>
          <w:tcPr>
            <w:tcW w:w="1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SCLXW</w:t>
            </w:r>
          </w:p>
        </w:tc>
        <w:tc>
          <w:tcPr>
            <w:tcW w:w="29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jc w:val="right"/>
        <w:rPr>
          <w:rFonts w:ascii="Times New Roman" w:hAnsi="Times New Roman"/>
          <w:color w:val="000000"/>
          <w:sz w:val="20"/>
        </w:rPr>
      </w:pPr>
      <w:r>
        <w:rPr>
          <w:rFonts w:ascii="Times New Roman" w:hAnsi="Times New Roman"/>
          <w:color w:val="000000"/>
          <w:sz w:val="20"/>
        </w:rPr>
        <w:t>Emerging growth company ☒</w:t>
      </w:r>
    </w:p>
    <w:p>
      <w:pPr>
        <w:pStyle w:val="TextBody"/>
        <w:pBdr>
          <w:bottom w:val="double" w:sz="4" w:space="1" w:color="000000"/>
        </w:pBdr>
        <w:bidi w:val="0"/>
        <w:spacing w:before="0" w:after="6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As previously disclosed, on August 8, 2026, Scilex Holding Company (the “Company”) entered into a Promissory Note (Revolving Line of Credit) (the “Note”) with Vivasor, Inc. (“Vivasor”), as borrower, pursuant to which the Company established in favor of Vivasor an uncommitted revolving line of credit in a maximum aggregate principal amount of up to $20,000,000 (the “Maximum Credit Amount”). On September 25, 2026, the Company and Vivasor entered into an amendment to the Note (the “Amendment”), pursuant to which the Maximum Credit Amount was increased from $20,000,000 to $30,000,000. No other changes were made to the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Dr. Henry Ji, Ph.D., the Company’s current Chief Executive Officer, President and Chairperson, currently serves as the Chief Executive Officer of Vivasor. The Amendment was approved by the Company’s Board of Directors (the “Board”) and the Audit Committee of the Board.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copy of the Amendment is filed as Exhibit 10.1 to this Current Report on Form 8-K and is incorporated herein by reference. The foregoing description of the Amendment does not purport to be complete and is qualified in its entirety by reference to the full text of the Amendment.</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1290"/>
        <w:gridCol w:w="8915"/>
      </w:tblGrid>
      <w:tr>
        <w:trPr/>
        <w:tc>
          <w:tcPr>
            <w:tcW w:w="1290" w:type="dxa"/>
            <w:tcBorders/>
            <w:shd w:fill="FFFFFF" w:val="clear"/>
            <w:vAlign w:val="center"/>
          </w:tcPr>
          <w:p>
            <w:pPr>
              <w:pStyle w:val="TableContents"/>
              <w:bidi w:val="0"/>
              <w:spacing w:before="0" w:after="283"/>
              <w:jc w:val="left"/>
              <w:rPr>
                <w:sz w:val="4"/>
                <w:szCs w:val="4"/>
              </w:rPr>
            </w:pPr>
            <w:r>
              <w:rPr>
                <w:sz w:val="4"/>
                <w:szCs w:val="4"/>
              </w:rPr>
            </w:r>
          </w:p>
        </w:tc>
        <w:tc>
          <w:tcPr>
            <w:tcW w:w="8915" w:type="dxa"/>
            <w:tcBorders/>
            <w:shd w:fill="FFFFFF" w:val="clear"/>
            <w:vAlign w:val="center"/>
          </w:tcPr>
          <w:p>
            <w:pPr>
              <w:pStyle w:val="TableContents"/>
              <w:bidi w:val="0"/>
              <w:spacing w:before="0" w:after="283"/>
              <w:jc w:val="left"/>
              <w:rPr>
                <w:sz w:val="4"/>
                <w:szCs w:val="4"/>
              </w:rPr>
            </w:pPr>
            <w:r>
              <w:rPr>
                <w:sz w:val="4"/>
                <w:szCs w:val="4"/>
              </w:rPr>
            </w:r>
          </w:p>
        </w:tc>
      </w:tr>
      <w:tr>
        <w:trPr/>
        <w:tc>
          <w:tcPr>
            <w:tcW w:w="1290" w:type="dxa"/>
            <w:tcBorders/>
            <w:tcMar>
              <w:top w:w="0" w:type="dxa"/>
              <w:left w:w="0" w:type="dxa"/>
              <w:bottom w:w="0" w:type="dxa"/>
              <w:right w:w="0" w:type="dxa"/>
            </w:tcMar>
            <w:vAlign w:val="center"/>
          </w:tcPr>
          <w:p>
            <w:pPr>
              <w:pStyle w:val="TableContents"/>
              <w:pBdr>
                <w:bottom w:val="single" w:sz="8" w:space="1" w:color="000000"/>
              </w:pBdr>
              <w:bidi w:val="0"/>
              <w:spacing w:before="60" w:after="60"/>
              <w:jc w:val="left"/>
              <w:rPr>
                <w:rFonts w:ascii="Times New Roman" w:hAnsi="Times New Roman"/>
                <w:b/>
                <w:color w:val="000000"/>
                <w:sz w:val="20"/>
              </w:rPr>
            </w:pPr>
            <w:r>
              <w:rPr>
                <w:rFonts w:ascii="Times New Roman" w:hAnsi="Times New Roman"/>
                <w:b/>
                <w:color w:val="000000"/>
                <w:sz w:val="20"/>
              </w:rPr>
              <w:t>Exhibit Number</w:t>
            </w:r>
          </w:p>
        </w:tc>
        <w:tc>
          <w:tcPr>
            <w:tcW w:w="8915" w:type="dxa"/>
            <w:tcBorders/>
            <w:tcMar>
              <w:top w:w="0" w:type="dxa"/>
              <w:left w:w="0" w:type="dxa"/>
              <w:bottom w:w="0" w:type="dxa"/>
              <w:right w:w="0" w:type="dxa"/>
            </w:tcMar>
            <w:vAlign w:val="center"/>
          </w:tcPr>
          <w:p>
            <w:pPr>
              <w:pStyle w:val="TableContents"/>
              <w:pBdr>
                <w:bottom w:val="single" w:sz="8" w:space="1" w:color="000000"/>
              </w:pBdr>
              <w:bidi w:val="0"/>
              <w:spacing w:before="60" w:after="60"/>
              <w:jc w:val="left"/>
              <w:rPr>
                <w:rFonts w:ascii="Times New Roman" w:hAnsi="Times New Roman"/>
                <w:b/>
                <w:color w:val="000000"/>
                <w:sz w:val="20"/>
              </w:rPr>
            </w:pPr>
            <w:r>
              <w:rPr>
                <w:rFonts w:ascii="Times New Roman" w:hAnsi="Times New Roman"/>
                <w:b/>
                <w:color w:val="000000"/>
                <w:sz w:val="20"/>
              </w:rPr>
              <w:t>Description</w:t>
            </w:r>
          </w:p>
        </w:tc>
      </w:tr>
      <w:tr>
        <w:trPr/>
        <w:tc>
          <w:tcPr>
            <w:tcW w:w="1290"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10.1</w:t>
            </w:r>
          </w:p>
        </w:tc>
        <w:tc>
          <w:tcPr>
            <w:tcW w:w="8915" w:type="dxa"/>
            <w:tcBorders/>
            <w:tcMar>
              <w:top w:w="0" w:type="dxa"/>
              <w:left w:w="0" w:type="dxa"/>
              <w:bottom w:w="0" w:type="dxa"/>
              <w:right w:w="0" w:type="dxa"/>
            </w:tcMar>
            <w:vAlign w:val="center"/>
          </w:tcPr>
          <w:p>
            <w:pPr>
              <w:pStyle w:val="TableContents"/>
              <w:bidi w:val="0"/>
              <w:spacing w:before="0" w:after="283"/>
              <w:jc w:val="left"/>
              <w:rPr/>
            </w:pPr>
            <w:hyperlink w:anchor="sclx-ex10_1.htm">
              <w:r>
                <w:rPr>
                  <w:rStyle w:val="InternetLink"/>
                  <w:rFonts w:ascii="Times New Roman" w:hAnsi="Times New Roman"/>
                  <w:color w:val="0000FF"/>
                  <w:sz w:val="20"/>
                  <w:u w:val="single"/>
                </w:rPr>
                <w:t>Amendment to Promissory Note (Revolving Line of Credit), dated September 25, 2026, by and between Vivasor, Inc. and Scilex Holding Company.</w:t>
              </w:r>
            </w:hyperlink>
          </w:p>
        </w:tc>
      </w:tr>
      <w:tr>
        <w:trPr/>
        <w:tc>
          <w:tcPr>
            <w:tcW w:w="1290"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104</w:t>
            </w:r>
          </w:p>
        </w:tc>
        <w:tc>
          <w:tcPr>
            <w:tcW w:w="8915"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8988" w:type="dxa"/>
        <w:jc w:val="left"/>
        <w:tblInd w:w="0" w:type="dxa"/>
        <w:tblLayout w:type="fixed"/>
        <w:tblCellMar>
          <w:top w:w="28" w:type="dxa"/>
          <w:left w:w="28" w:type="dxa"/>
          <w:bottom w:w="28" w:type="dxa"/>
          <w:right w:w="28" w:type="dxa"/>
        </w:tblCellMar>
      </w:tblPr>
      <w:tblGrid>
        <w:gridCol w:w="2221"/>
        <w:gridCol w:w="631"/>
        <w:gridCol w:w="6136"/>
      </w:tblGrid>
      <w:tr>
        <w:trPr/>
        <w:tc>
          <w:tcPr>
            <w:tcW w:w="22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SCILEX HOLDING COMPANY</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1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Stephen Ma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Ma</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29,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Operating Officer and Chief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bookmarkStart w:id="2" w:name="sclx-ex10_1.htm"/>
      <w:bookmarkStart w:id="3" w:name="kssclxex10_1"/>
      <w:bookmarkEnd w:id="2"/>
      <w:bookmarkEnd w:id="3"/>
      <w:r>
        <w:rPr>
          <w:rFonts w:ascii="Times New Roman" w:hAnsi="Times New Roman"/>
          <w:b/>
          <w:color w:val="000000"/>
          <w:sz w:val="24"/>
        </w:rPr>
        <w:t>AMENDMENT TO PROMISSORY NOTE</w:t>
      </w:r>
      <w:r>
        <w:br w:type="page"/>
      </w:r>
    </w:p>
    <w:p>
      <w:pPr>
        <w:pStyle w:val="TextBody"/>
        <w:bidi w:val="0"/>
        <w:spacing w:before="0" w:after="240"/>
        <w:jc w:val="both"/>
        <w:rPr>
          <w:rFonts w:ascii="Times New Roman" w:hAnsi="Times New Roman"/>
          <w:sz w:val="24"/>
        </w:rPr>
      </w:pPr>
      <w:r>
        <w:rPr>
          <w:rFonts w:ascii="Times New Roman" w:hAnsi="Times New Roman"/>
          <w:color w:val="000000"/>
          <w:sz w:val="24"/>
        </w:rPr>
        <w:t>THIS AMENDMENT TO PROMISSORY NOTE (this “</w:t>
      </w:r>
      <w:r>
        <w:rPr>
          <w:rFonts w:ascii="Times New Roman" w:hAnsi="Times New Roman"/>
          <w:b/>
          <w:i/>
          <w:color w:val="000000"/>
          <w:sz w:val="24"/>
        </w:rPr>
        <w:t>Amendment</w:t>
      </w:r>
      <w:r>
        <w:rPr>
          <w:rFonts w:ascii="Times New Roman" w:hAnsi="Times New Roman"/>
          <w:color w:val="000000"/>
          <w:sz w:val="24"/>
        </w:rPr>
        <w:t xml:space="preserve">”) is made and entered into as of September 25, 2026, by and between </w:t>
      </w:r>
      <w:r>
        <w:rPr>
          <w:rFonts w:ascii="Times New Roman" w:hAnsi="Times New Roman"/>
          <w:b/>
          <w:smallCaps/>
          <w:color w:val="000000"/>
          <w:sz w:val="24"/>
        </w:rPr>
        <w:t>Vivasor, Inc.</w:t>
      </w:r>
      <w:r>
        <w:rPr>
          <w:rFonts w:ascii="Times New Roman" w:hAnsi="Times New Roman"/>
          <w:color w:val="000000"/>
          <w:sz w:val="24"/>
        </w:rPr>
        <w:t>, a Delaware corporation (the “</w:t>
      </w:r>
      <w:r>
        <w:rPr>
          <w:rFonts w:ascii="Times New Roman" w:hAnsi="Times New Roman"/>
          <w:b/>
          <w:i/>
          <w:color w:val="000000"/>
          <w:sz w:val="24"/>
        </w:rPr>
        <w:t>Company</w:t>
      </w:r>
      <w:r>
        <w:rPr>
          <w:rFonts w:ascii="Times New Roman" w:hAnsi="Times New Roman"/>
          <w:color w:val="000000"/>
          <w:sz w:val="24"/>
        </w:rPr>
        <w:t xml:space="preserve">”), and </w:t>
      </w:r>
      <w:r>
        <w:rPr>
          <w:rFonts w:ascii="Times New Roman" w:hAnsi="Times New Roman"/>
          <w:b/>
          <w:smallCaps/>
          <w:color w:val="000000"/>
          <w:sz w:val="24"/>
        </w:rPr>
        <w:t>Scilex Holding Company</w:t>
      </w:r>
      <w:r>
        <w:rPr>
          <w:rFonts w:ascii="Times New Roman" w:hAnsi="Times New Roman"/>
          <w:color w:val="000000"/>
          <w:sz w:val="24"/>
        </w:rPr>
        <w:t>,</w:t>
      </w:r>
      <w:r>
        <w:rPr>
          <w:rFonts w:ascii="Times New Roman" w:hAnsi="Times New Roman"/>
          <w:smallCaps/>
          <w:color w:val="000000"/>
          <w:sz w:val="24"/>
        </w:rPr>
        <w:t xml:space="preserve"> </w:t>
      </w:r>
      <w:r>
        <w:rPr>
          <w:rFonts w:ascii="Times New Roman" w:hAnsi="Times New Roman"/>
          <w:color w:val="000000"/>
          <w:sz w:val="24"/>
        </w:rPr>
        <w:t>a Delaware corporation (the “</w:t>
      </w:r>
      <w:r>
        <w:rPr>
          <w:rFonts w:ascii="Times New Roman" w:hAnsi="Times New Roman"/>
          <w:b/>
          <w:i/>
          <w:color w:val="000000"/>
          <w:sz w:val="24"/>
        </w:rPr>
        <w:t>Holder</w:t>
      </w:r>
      <w:r>
        <w:rPr>
          <w:rFonts w:ascii="Times New Roman" w:hAnsi="Times New Roman"/>
          <w:color w:val="000000"/>
          <w:sz w:val="24"/>
        </w:rPr>
        <w:t>”).</w:t>
      </w:r>
    </w:p>
    <w:p>
      <w:pPr>
        <w:pStyle w:val="TextBody"/>
        <w:bidi w:val="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sz w:val="24"/>
        </w:rPr>
      </w:pPr>
      <w:r>
        <w:rPr>
          <w:rFonts w:ascii="Times New Roman" w:hAnsi="Times New Roman"/>
          <w:b/>
          <w:smallCaps/>
          <w:color w:val="000000"/>
          <w:sz w:val="24"/>
        </w:rPr>
        <w:t>Whereas</w:t>
      </w:r>
      <w:r>
        <w:rPr>
          <w:rFonts w:ascii="Times New Roman" w:hAnsi="Times New Roman"/>
          <w:b/>
          <w:color w:val="000000"/>
          <w:sz w:val="24"/>
        </w:rPr>
        <w:t>,</w:t>
      </w:r>
      <w:r>
        <w:rPr>
          <w:rFonts w:ascii="Times New Roman" w:hAnsi="Times New Roman"/>
          <w:color w:val="000000"/>
          <w:sz w:val="24"/>
        </w:rPr>
        <w:t xml:space="preserve"> the Company issued a promissory note to Holder on August 8, 2026 with a maximum credit amount of up to $20,000,000 (the “</w:t>
      </w:r>
      <w:r>
        <w:rPr>
          <w:rFonts w:ascii="Times New Roman" w:hAnsi="Times New Roman"/>
          <w:b/>
          <w:i/>
          <w:color w:val="000000"/>
          <w:sz w:val="24"/>
        </w:rPr>
        <w:t>Note</w:t>
      </w:r>
      <w:r>
        <w:rPr>
          <w:rFonts w:ascii="Times New Roman" w:hAnsi="Times New Roman"/>
          <w:color w:val="000000"/>
          <w:sz w:val="24"/>
        </w:rPr>
        <w:t>”); and</w:t>
      </w:r>
    </w:p>
    <w:p>
      <w:pPr>
        <w:pStyle w:val="TextBody"/>
        <w:bidi w:val="0"/>
        <w:spacing w:before="0" w:after="240"/>
        <w:jc w:val="both"/>
        <w:rPr>
          <w:rFonts w:ascii="Times New Roman" w:hAnsi="Times New Roman"/>
          <w:sz w:val="24"/>
        </w:rPr>
      </w:pPr>
      <w:r>
        <w:rPr>
          <w:rFonts w:ascii="Times New Roman" w:hAnsi="Times New Roman"/>
          <w:b/>
          <w:smallCaps/>
          <w:color w:val="000000"/>
          <w:sz w:val="24"/>
        </w:rPr>
        <w:t>Whereas,</w:t>
      </w:r>
      <w:r>
        <w:rPr>
          <w:rFonts w:ascii="Times New Roman" w:hAnsi="Times New Roman"/>
          <w:color w:val="000000"/>
          <w:sz w:val="24"/>
        </w:rPr>
        <w:t xml:space="preserve"> the Company and Holder wish to increase the maximum credit amount of the Note to $30,000,000.</w:t>
      </w:r>
    </w:p>
    <w:p>
      <w:pPr>
        <w:pStyle w:val="TextBody"/>
        <w:bidi w:val="0"/>
        <w:spacing w:before="0" w:after="240"/>
        <w:jc w:val="both"/>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in consideration of the mutual covenants contained herein, and for other good and valuable consideration, the receipt and sufficiency of which are hereby acknowledged, the parties agree as follows:</w:t>
      </w:r>
    </w:p>
    <w:p>
      <w:pPr>
        <w:pStyle w:val="TextBody"/>
        <w:bidi w:val="0"/>
        <w:jc w:val="center"/>
        <w:rPr>
          <w:rFonts w:ascii="Times New Roman" w:hAnsi="Times New Roman"/>
          <w:b/>
          <w:color w:val="000000"/>
          <w:sz w:val="24"/>
        </w:rPr>
      </w:pPr>
      <w:r>
        <w:rPr>
          <w:rFonts w:ascii="Times New Roman" w:hAnsi="Times New Roman"/>
          <w:b/>
          <w:color w:val="000000"/>
          <w:sz w:val="24"/>
        </w:rPr>
        <w:t>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sz w:val="24"/>
        </w:rPr>
      </w:pPr>
      <w:r>
        <w:rPr>
          <w:rFonts w:ascii="Times New Roman" w:hAnsi="Times New Roman"/>
          <w:b/>
          <w:color w:val="000000"/>
          <w:sz w:val="24"/>
        </w:rPr>
        <w:t xml:space="preserve">AMENDMENT OF </w:t>
      </w:r>
      <w:r>
        <w:rPr>
          <w:rFonts w:ascii="Times New Roman" w:hAnsi="Times New Roman"/>
          <w:b/>
          <w:caps/>
          <w:color w:val="000000"/>
          <w:sz w:val="24"/>
        </w:rPr>
        <w:t>Note</w:t>
      </w:r>
      <w:r>
        <w:rPr>
          <w:rFonts w:ascii="Times New Roman" w:hAnsi="Times New Roman"/>
          <w:color w:val="000000"/>
          <w:sz w:val="24"/>
        </w:rPr>
        <w:t xml:space="preserve">. Effective as of the date of this Amendment, all references to “$20,000,000” in the Note are hereby amended and restated to read “$30,000,000.”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MISCELLANEOUS.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sz w:val="24"/>
        </w:rPr>
      </w:pPr>
      <w:r>
        <w:rPr>
          <w:rFonts w:ascii="Times New Roman" w:hAnsi="Times New Roman"/>
          <w:color w:val="000000"/>
          <w:sz w:val="24"/>
          <w:u w:val="single"/>
        </w:rPr>
        <w:t>No Other Amendments</w:t>
      </w:r>
      <w:r>
        <w:rPr>
          <w:rFonts w:ascii="Times New Roman" w:hAnsi="Times New Roman"/>
          <w:color w:val="000000"/>
          <w:sz w:val="24"/>
        </w:rPr>
        <w:t>. Except as specifically amended by this Amendment, the terms and conditions of the Note shall remain unchanged and in full force and effect. All references to “this Note” or “the Note” in the Note shall mean the Note, as amended by this 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Choice of Law; Venue</w:t>
      </w:r>
      <w:r>
        <w:rPr>
          <w:rFonts w:ascii="Times New Roman" w:hAnsi="Times New Roman"/>
          <w:color w:val="000000"/>
          <w:sz w:val="24"/>
        </w:rPr>
        <w:t>. This Amendment shall be construed and enforced in accordance with the laws of the State of California without regard to conflicts of laws principles.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sz w:val="24"/>
        </w:rPr>
      </w:pPr>
      <w:r>
        <w:rPr>
          <w:rFonts w:ascii="Times New Roman" w:hAnsi="Times New Roman"/>
          <w:color w:val="000000"/>
          <w:sz w:val="24"/>
          <w:u w:val="single"/>
        </w:rPr>
        <w:t>Severability</w:t>
      </w:r>
      <w:r>
        <w:rPr>
          <w:rFonts w:ascii="Times New Roman" w:hAnsi="Times New Roman"/>
          <w:color w:val="000000"/>
          <w:sz w:val="24"/>
        </w:rPr>
        <w:t>. If any term or provision of this Amendment is invalid, illegal or unenforceable in any jurisdiction, such invalidity, illegality or unenforceability shall not affect any other term or provision of this Amendment or invalidate or render unenforceable such term or provision in any other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sz w:val="24"/>
        </w:rPr>
      </w:pPr>
      <w:r>
        <w:rPr>
          <w:rFonts w:ascii="Times New Roman" w:hAnsi="Times New Roman"/>
          <w:color w:val="000000"/>
          <w:sz w:val="24"/>
          <w:u w:val="single"/>
        </w:rPr>
        <w:t>Entire Agreement</w:t>
      </w:r>
      <w:r>
        <w:rPr>
          <w:rFonts w:ascii="Times New Roman" w:hAnsi="Times New Roman"/>
          <w:color w:val="000000"/>
          <w:sz w:val="24"/>
        </w:rPr>
        <w:t>. The Amendment, together with the Note, constitute the full and entire understanding and agreement between and among the parties with respect to the subject matter hereof and thereof. No party hereto shall be liable or bound to any other party in any manner with respect to the subject matter hereof or thereof by any warranties, representations or covenants except as specifically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sz w:val="24"/>
        </w:rPr>
      </w:pPr>
      <w:r>
        <w:rPr>
          <w:rFonts w:ascii="Times New Roman" w:hAnsi="Times New Roman"/>
          <w:color w:val="000000"/>
          <w:sz w:val="24"/>
          <w:u w:val="single"/>
        </w:rPr>
        <w:t>Headings</w:t>
      </w:r>
      <w:r>
        <w:rPr>
          <w:rFonts w:ascii="Times New Roman" w:hAnsi="Times New Roman"/>
          <w:color w:val="000000"/>
          <w:sz w:val="24"/>
        </w:rPr>
        <w:t>. The headings of the various Sections herein are for reference only and shall not define, modify, expand or limit any of the terms or provisions of this 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sz w:val="24"/>
        </w:rPr>
      </w:pPr>
      <w:r>
        <w:rPr>
          <w:rFonts w:ascii="Times New Roman" w:hAnsi="Times New Roman"/>
          <w:color w:val="000000"/>
          <w:sz w:val="24"/>
          <w:u w:val="single"/>
        </w:rPr>
        <w:t>Counterparts; “.pdf” copies</w:t>
      </w:r>
      <w:r>
        <w:rPr>
          <w:rFonts w:ascii="Times New Roman" w:hAnsi="Times New Roman"/>
          <w:color w:val="000000"/>
          <w:sz w:val="24"/>
        </w:rPr>
        <w:t>. This Amendment may be executed in one or more counterparts, each of which shall be enforceable against the parties that execute such counterparts, and all of which together shall constitute one and the same instrument. “.pdf” copies of signed signature pages will be deemed binding originals.</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[REMAINDER OF PAGE INTENTIONALLY LEFT BLANK]</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ind w:left="0" w:right="0" w:firstLine="720"/>
        <w:jc w:val="both"/>
        <w:rPr>
          <w:rFonts w:ascii="Times New Roman" w:hAnsi="Times New Roman"/>
          <w:sz w:val="24"/>
        </w:rPr>
      </w:pPr>
      <w:r>
        <w:rPr>
          <w:rFonts w:ascii="Times New Roman" w:hAnsi="Times New Roman"/>
          <w:b/>
          <w:smallCaps/>
          <w:color w:val="000000"/>
          <w:sz w:val="24"/>
        </w:rPr>
        <w:t>In Witness Whereof</w:t>
      </w:r>
      <w:r>
        <w:rPr>
          <w:rFonts w:ascii="Times New Roman" w:hAnsi="Times New Roman"/>
          <w:color w:val="000000"/>
          <w:sz w:val="24"/>
        </w:rPr>
        <w:t>, the parties have executed this Amendment to Promissory Note as of the first date set forth above.</w:t>
      </w:r>
    </w:p>
    <w:tbl>
      <w:tblPr>
        <w:tblW w:w="23187" w:type="dxa"/>
        <w:jc w:val="left"/>
        <w:tblInd w:w="0" w:type="dxa"/>
        <w:tblLayout w:type="fixed"/>
        <w:tblCellMar>
          <w:top w:w="28" w:type="dxa"/>
          <w:left w:w="28" w:type="dxa"/>
          <w:bottom w:w="28" w:type="dxa"/>
          <w:right w:w="28" w:type="dxa"/>
        </w:tblCellMar>
      </w:tblPr>
      <w:tblGrid>
        <w:gridCol w:w="10961"/>
        <w:gridCol w:w="2210"/>
        <w:gridCol w:w="3820"/>
        <w:gridCol w:w="6196"/>
      </w:tblGrid>
      <w:tr>
        <w:trPr/>
        <w:tc>
          <w:tcPr>
            <w:tcW w:w="10961"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c>
          <w:tcPr>
            <w:tcW w:w="6196" w:type="dxa"/>
            <w:tcBorders/>
            <w:vAlign w:val="center"/>
          </w:tcPr>
          <w:p>
            <w:pPr>
              <w:pStyle w:val="TableContents"/>
              <w:bidi w:val="0"/>
              <w:spacing w:before="0" w:after="283"/>
              <w:jc w:val="left"/>
              <w:rPr>
                <w:sz w:val="4"/>
                <w:szCs w:val="4"/>
              </w:rPr>
            </w:pPr>
            <w:r>
              <w:rPr>
                <w:sz w:val="4"/>
                <w:szCs w:val="4"/>
              </w:rPr>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226" w:type="dxa"/>
            <w:gridSpan w:val="3"/>
            <w:tcBorders/>
            <w:tcMar>
              <w:top w:w="0" w:type="dxa"/>
              <w:left w:w="0" w:type="dxa"/>
              <w:bottom w:w="0" w:type="dxa"/>
              <w:right w:w="0" w:type="dxa"/>
            </w:tcMar>
            <w:vAlign w:val="center"/>
          </w:tcPr>
          <w:p>
            <w:pPr>
              <w:pStyle w:val="TableContents"/>
              <w:bidi w:val="0"/>
              <w:spacing w:before="0" w:after="283"/>
              <w:ind w:left="0" w:right="0" w:firstLine="10800"/>
              <w:jc w:val="both"/>
              <w:rPr>
                <w:rFonts w:ascii="Times New Roman" w:hAnsi="Times New Roman"/>
                <w:b/>
                <w:color w:val="000000"/>
                <w:sz w:val="24"/>
              </w:rPr>
            </w:pPr>
            <w:r>
              <w:rPr>
                <w:rFonts w:ascii="Times New Roman" w:hAnsi="Times New Roman"/>
                <w:b/>
                <w:color w:val="000000"/>
                <w:sz w:val="24"/>
              </w:rPr>
              <w:t>COMPANY:</w:t>
            </w:r>
          </w:p>
        </w:tc>
      </w:tr>
      <w:tr>
        <w:trPr/>
        <w:tc>
          <w:tcPr>
            <w:tcW w:w="10961" w:type="dxa"/>
            <w:tcBorders/>
            <w:tcMar>
              <w:top w:w="0" w:type="dxa"/>
              <w:left w:w="0" w:type="dxa"/>
              <w:bottom w:w="0" w:type="dxa"/>
              <w:right w:w="0" w:type="dxa"/>
            </w:tcMar>
            <w:vAlign w:val="center"/>
          </w:tcPr>
          <w:p>
            <w:pPr>
              <w:pStyle w:val="TableContents"/>
              <w:pBdr/>
              <w:bidi w:val="0"/>
              <w:spacing w:before="0" w:after="283"/>
              <w:ind w:left="0" w:right="0" w:firstLine="10800"/>
              <w:jc w:val="left"/>
              <w:rPr/>
            </w:pPr>
            <w:r>
              <w:rPr/>
              <w:t> </w:t>
            </w:r>
          </w:p>
        </w:tc>
        <w:tc>
          <w:tcPr>
            <w:tcW w:w="12226" w:type="dxa"/>
            <w:gridSpan w:val="3"/>
            <w:tcBorders/>
            <w:tcMar>
              <w:top w:w="0" w:type="dxa"/>
              <w:left w:w="0" w:type="dxa"/>
              <w:bottom w:w="0" w:type="dxa"/>
              <w:right w:w="0" w:type="dxa"/>
            </w:tcMar>
            <w:vAlign w:val="center"/>
          </w:tcPr>
          <w:p>
            <w:pPr>
              <w:pStyle w:val="TableContents"/>
              <w:pBdr/>
              <w:bidi w:val="0"/>
              <w:spacing w:before="0" w:after="283"/>
              <w:ind w:left="0" w:right="0" w:hanging="10800"/>
              <w:jc w:val="both"/>
              <w:rPr/>
            </w:pPr>
            <w:r>
              <w:rPr/>
              <w:t> </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226"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smallCaps/>
                <w:color w:val="000000"/>
                <w:sz w:val="24"/>
              </w:rPr>
            </w:pPr>
            <w:r>
              <w:rPr>
                <w:rFonts w:ascii="Times New Roman" w:hAnsi="Times New Roman"/>
                <w:b/>
                <w:smallCaps/>
                <w:color w:val="000000"/>
                <w:sz w:val="24"/>
              </w:rPr>
              <w:t>Vivasor, Inc.</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226"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10016"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Henry Ji</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both"/>
              <w:rPr/>
            </w:pPr>
            <w:r>
              <w:rPr/>
              <w:t> </w:t>
            </w:r>
          </w:p>
        </w:tc>
        <w:tc>
          <w:tcPr>
            <w:tcW w:w="10016"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both"/>
              <w:rPr/>
            </w:pPr>
            <w:r>
              <w:rPr/>
              <w:t> </w:t>
            </w:r>
          </w:p>
        </w:tc>
        <w:tc>
          <w:tcPr>
            <w:tcW w:w="382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61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Henry Ji, Ph.D.</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both"/>
              <w:rPr/>
            </w:pPr>
            <w:r>
              <w:rPr/>
              <w:t> </w:t>
            </w:r>
          </w:p>
        </w:tc>
        <w:tc>
          <w:tcPr>
            <w:tcW w:w="382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w:t>
            </w:r>
          </w:p>
        </w:tc>
        <w:tc>
          <w:tcPr>
            <w:tcW w:w="61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Chief Executive Officer</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3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3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619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[Vivasor, Inc. – Signature Page to Amendment to Promissory Note]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4"/>
        </w:rPr>
      </w:pPr>
      <w:r>
        <w:rPr>
          <w:rFonts w:ascii="Times New Roman" w:hAnsi="Times New Roman"/>
          <w:b/>
          <w:smallCaps/>
          <w:color w:val="000000"/>
          <w:sz w:val="24"/>
        </w:rPr>
        <w:t>In Witness Whereof</w:t>
      </w:r>
      <w:r>
        <w:rPr>
          <w:rFonts w:ascii="Times New Roman" w:hAnsi="Times New Roman"/>
          <w:color w:val="000000"/>
          <w:sz w:val="24"/>
        </w:rPr>
        <w:t>, the parties have executed this Amendment to Promissory Note as of the first date set forth above.</w:t>
      </w:r>
    </w:p>
    <w:tbl>
      <w:tblPr>
        <w:tblW w:w="22962" w:type="dxa"/>
        <w:jc w:val="left"/>
        <w:tblInd w:w="0" w:type="dxa"/>
        <w:tblLayout w:type="fixed"/>
        <w:tblCellMar>
          <w:top w:w="28" w:type="dxa"/>
          <w:left w:w="28" w:type="dxa"/>
          <w:bottom w:w="28" w:type="dxa"/>
          <w:right w:w="28" w:type="dxa"/>
        </w:tblCellMar>
      </w:tblPr>
      <w:tblGrid>
        <w:gridCol w:w="10961"/>
        <w:gridCol w:w="4116"/>
        <w:gridCol w:w="3140"/>
        <w:gridCol w:w="4745"/>
      </w:tblGrid>
      <w:tr>
        <w:trPr/>
        <w:tc>
          <w:tcPr>
            <w:tcW w:w="10961" w:type="dxa"/>
            <w:tcBorders/>
            <w:vAlign w:val="center"/>
          </w:tcPr>
          <w:p>
            <w:pPr>
              <w:pStyle w:val="TableContents"/>
              <w:bidi w:val="0"/>
              <w:spacing w:before="0" w:after="283"/>
              <w:jc w:val="left"/>
              <w:rPr>
                <w:sz w:val="4"/>
                <w:szCs w:val="4"/>
              </w:rPr>
            </w:pPr>
            <w:r>
              <w:rPr>
                <w:sz w:val="4"/>
                <w:szCs w:val="4"/>
              </w:rPr>
            </w:r>
          </w:p>
        </w:tc>
        <w:tc>
          <w:tcPr>
            <w:tcW w:w="4116"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001" w:type="dxa"/>
            <w:gridSpan w:val="3"/>
            <w:tcBorders/>
            <w:tcMar>
              <w:top w:w="0" w:type="dxa"/>
              <w:left w:w="0" w:type="dxa"/>
              <w:bottom w:w="0" w:type="dxa"/>
              <w:right w:w="0" w:type="dxa"/>
            </w:tcMar>
            <w:vAlign w:val="center"/>
          </w:tcPr>
          <w:p>
            <w:pPr>
              <w:pStyle w:val="TableContents"/>
              <w:bidi w:val="0"/>
              <w:spacing w:before="0" w:after="283"/>
              <w:ind w:left="0" w:right="0" w:firstLine="10800"/>
              <w:jc w:val="both"/>
              <w:rPr>
                <w:rFonts w:ascii="Times New Roman" w:hAnsi="Times New Roman"/>
                <w:b/>
                <w:color w:val="000000"/>
                <w:sz w:val="24"/>
              </w:rPr>
            </w:pPr>
            <w:r>
              <w:rPr>
                <w:rFonts w:ascii="Times New Roman" w:hAnsi="Times New Roman"/>
                <w:b/>
                <w:color w:val="000000"/>
                <w:sz w:val="24"/>
              </w:rPr>
              <w:t>HOLDER:</w:t>
            </w:r>
          </w:p>
        </w:tc>
      </w:tr>
      <w:tr>
        <w:trPr/>
        <w:tc>
          <w:tcPr>
            <w:tcW w:w="10961" w:type="dxa"/>
            <w:tcBorders/>
            <w:tcMar>
              <w:top w:w="0" w:type="dxa"/>
              <w:left w:w="0" w:type="dxa"/>
              <w:bottom w:w="0" w:type="dxa"/>
              <w:right w:w="0" w:type="dxa"/>
            </w:tcMar>
            <w:vAlign w:val="center"/>
          </w:tcPr>
          <w:p>
            <w:pPr>
              <w:pStyle w:val="TableContents"/>
              <w:bidi w:val="0"/>
              <w:spacing w:before="0" w:after="283"/>
              <w:ind w:left="0" w:right="0" w:firstLine="10800"/>
              <w:jc w:val="left"/>
              <w:rPr/>
            </w:pPr>
            <w:r>
              <w:rPr/>
              <w:t> </w:t>
            </w:r>
          </w:p>
        </w:tc>
        <w:tc>
          <w:tcPr>
            <w:tcW w:w="12001" w:type="dxa"/>
            <w:gridSpan w:val="3"/>
            <w:tcBorders/>
            <w:tcMar>
              <w:top w:w="0" w:type="dxa"/>
              <w:left w:w="0" w:type="dxa"/>
              <w:bottom w:w="0" w:type="dxa"/>
              <w:right w:w="0" w:type="dxa"/>
            </w:tcMar>
            <w:vAlign w:val="center"/>
          </w:tcPr>
          <w:p>
            <w:pPr>
              <w:pStyle w:val="TableContents"/>
              <w:bidi w:val="0"/>
              <w:spacing w:before="0" w:after="283"/>
              <w:ind w:left="0" w:right="0" w:firstLine="10800"/>
              <w:jc w:val="both"/>
              <w:rPr/>
            </w:pPr>
            <w:r>
              <w:rPr/>
              <w:t> </w:t>
            </w:r>
          </w:p>
        </w:tc>
      </w:tr>
      <w:tr>
        <w:trPr/>
        <w:tc>
          <w:tcPr>
            <w:tcW w:w="109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2001"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Scilex Holding Company</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001"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7885" w:type="dxa"/>
            <w:gridSpan w:val="2"/>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Stephen Ma</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16" w:type="dxa"/>
            <w:tcBorders/>
            <w:tcMar>
              <w:top w:w="0" w:type="dxa"/>
              <w:left w:w="0" w:type="dxa"/>
              <w:bottom w:w="0" w:type="dxa"/>
              <w:right w:w="0" w:type="dxa"/>
            </w:tcMar>
            <w:vAlign w:val="center"/>
          </w:tcPr>
          <w:p>
            <w:pPr>
              <w:pStyle w:val="TableContents"/>
              <w:bidi w:val="0"/>
              <w:spacing w:before="0" w:after="283"/>
              <w:jc w:val="both"/>
              <w:rPr/>
            </w:pPr>
            <w:r>
              <w:rPr/>
              <w:t> </w:t>
            </w:r>
          </w:p>
        </w:tc>
        <w:tc>
          <w:tcPr>
            <w:tcW w:w="31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w:t>
            </w:r>
          </w:p>
        </w:tc>
        <w:tc>
          <w:tcPr>
            <w:tcW w:w="47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Stephen Ma</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16" w:type="dxa"/>
            <w:tcBorders/>
            <w:tcMar>
              <w:top w:w="0" w:type="dxa"/>
              <w:left w:w="0" w:type="dxa"/>
              <w:bottom w:w="0" w:type="dxa"/>
              <w:right w:w="0" w:type="dxa"/>
            </w:tcMar>
            <w:vAlign w:val="center"/>
          </w:tcPr>
          <w:p>
            <w:pPr>
              <w:pStyle w:val="TableContents"/>
              <w:bidi w:val="0"/>
              <w:spacing w:before="0" w:after="283"/>
              <w:jc w:val="both"/>
              <w:rPr/>
            </w:pPr>
            <w:r>
              <w:rPr/>
              <w:t> </w:t>
            </w:r>
          </w:p>
        </w:tc>
        <w:tc>
          <w:tcPr>
            <w:tcW w:w="31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w:t>
            </w:r>
          </w:p>
        </w:tc>
        <w:tc>
          <w:tcPr>
            <w:tcW w:w="47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Chief Financial Officer</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16" w:type="dxa"/>
            <w:tcBorders/>
            <w:tcMar>
              <w:top w:w="0" w:type="dxa"/>
              <w:left w:w="0" w:type="dxa"/>
              <w:bottom w:w="0" w:type="dxa"/>
              <w:right w:w="0" w:type="dxa"/>
            </w:tcMar>
            <w:vAlign w:val="center"/>
          </w:tcPr>
          <w:p>
            <w:pPr>
              <w:pStyle w:val="TableContents"/>
              <w:bidi w:val="0"/>
              <w:spacing w:before="0" w:after="283"/>
              <w:jc w:val="both"/>
              <w:rPr/>
            </w:pPr>
            <w:r>
              <w:rPr/>
              <w:t> </w:t>
            </w:r>
          </w:p>
        </w:tc>
        <w:tc>
          <w:tcPr>
            <w:tcW w:w="7885"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Email:</w:t>
            </w:r>
          </w:p>
        </w:tc>
        <w:tc>
          <w:tcPr>
            <w:tcW w:w="7885"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SMa@scilexholding.com</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16" w:type="dxa"/>
            <w:tcBorders/>
            <w:tcMar>
              <w:top w:w="0" w:type="dxa"/>
              <w:left w:w="0" w:type="dxa"/>
              <w:bottom w:w="0" w:type="dxa"/>
              <w:right w:w="0" w:type="dxa"/>
            </w:tcMar>
            <w:vAlign w:val="center"/>
          </w:tcPr>
          <w:p>
            <w:pPr>
              <w:pStyle w:val="TableContents"/>
              <w:bidi w:val="0"/>
              <w:spacing w:before="0" w:after="283"/>
              <w:jc w:val="both"/>
              <w:rPr/>
            </w:pPr>
            <w:r>
              <w:rPr/>
              <w:t> </w:t>
            </w:r>
          </w:p>
        </w:tc>
        <w:tc>
          <w:tcPr>
            <w:tcW w:w="7885"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9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Address:</w:t>
            </w:r>
          </w:p>
        </w:tc>
        <w:tc>
          <w:tcPr>
            <w:tcW w:w="7885"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960 San Antonio Road</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Palo Alto, CA 94303</w:t>
            </w:r>
          </w:p>
        </w:tc>
      </w:tr>
    </w:tbl>
    <w:p>
      <w:pPr>
        <w:pStyle w:val="TextBody"/>
        <w:bidi w:val="0"/>
        <w:spacing w:before="0" w:after="24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[Vivasor, Inc. – Signature Page to Amendment to Promissory Note]</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1152</Words>
  <Characters>6315</Characters>
  <CharactersWithSpaces>7462</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