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Scilex Holding Co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960 SAN ANTONIO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Datavault AI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DVLT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1"/>
        <w:gridCol w:w="897"/>
        <w:gridCol w:w="771"/>
        <w:gridCol w:w="596"/>
        <w:gridCol w:w="331"/>
        <w:gridCol w:w="1223"/>
        <w:gridCol w:w="407"/>
        <w:gridCol w:w="825"/>
        <w:gridCol w:w="1409"/>
        <w:gridCol w:w="938"/>
        <w:gridCol w:w="89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8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50,000,000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0.3151</w:t>
            </w:r>
          </w:p>
        </w:tc>
        <w:tc>
          <w:tcPr>
            <w:tcW w:w="1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163,766,229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reported herein were transferred by Scilex Holding Company ("Scilex") to Vivasor, Inc. ("Vivasor") on August 20, 2026 as a drawdown under that certain promissory note (revolving line of credit) issued by Vivasor in favor of Scilex on August 8,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Ma, Scilex Holding Company, Chief Financial Officer, Chief Operating Officer, and Secretary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0190" TargetMode="External"/><Relationship Id="rId5" Type="http://schemas.openxmlformats.org/officeDocument/2006/relationships/hyperlink" Target="http://www.sec.gov/cgi-bin/browse-edgar?action=getcompany&amp;CIK=00016821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3339</Characters>
  <CharactersWithSpaces>3887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