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9"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_______________________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_______________________</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24, 2026</w:t>
      </w:r>
    </w:p>
    <w:p>
      <w:pPr>
        <w:spacing w:after="0" w:line="63"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_______________________</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SCILEX HOLDING COMPANY</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_______________________</w:t>
      </w:r>
    </w:p>
    <w:p>
      <w:pPr>
        <w:spacing w:after="0" w:line="41" w:lineRule="exact"/>
        <w:rPr>
          <w:sz w:val="24"/>
          <w:szCs w:val="24"/>
          <w:color w:val="auto"/>
        </w:rPr>
      </w:pPr>
    </w:p>
    <w:tbl>
      <w:tblPr>
        <w:tblLayout w:type="fixed"/>
        <w:tblInd w:w="1060" w:type="dxa"/>
        <w:tblCellMar>
          <w:top w:w="0" w:type="dxa"/>
          <w:left w:w="0" w:type="dxa"/>
          <w:bottom w:w="0" w:type="dxa"/>
          <w:right w:w="0" w:type="dxa"/>
        </w:tblCellMar>
      </w:tblPr>
      <w:tr>
        <w:trPr>
          <w:trHeight w:val="214"/>
        </w:trPr>
        <w:tc>
          <w:tcPr>
            <w:tcW w:w="2080" w:type="dxa"/>
            <w:vAlign w:val="bottom"/>
          </w:tcPr>
          <w:p>
            <w:pPr>
              <w:jc w:val="center"/>
              <w:ind w:right="36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00" w:type="dxa"/>
            <w:vAlign w:val="bottom"/>
          </w:tcPr>
          <w:p>
            <w:pPr>
              <w:jc w:val="right"/>
              <w:ind w:right="2139"/>
              <w:spacing w:after="0"/>
              <w:rPr>
                <w:sz w:val="20"/>
                <w:szCs w:val="20"/>
                <w:color w:val="auto"/>
              </w:rPr>
            </w:pPr>
            <w:r>
              <w:rPr>
                <w:rFonts w:ascii="Times New Roman" w:cs="Times New Roman" w:eastAsia="Times New Roman" w:hAnsi="Times New Roman"/>
                <w:sz w:val="18"/>
                <w:szCs w:val="18"/>
                <w:b w:val="1"/>
                <w:bCs w:val="1"/>
                <w:color w:val="auto"/>
              </w:rPr>
              <w:t>001-39852</w:t>
            </w:r>
          </w:p>
        </w:tc>
        <w:tc>
          <w:tcPr>
            <w:tcW w:w="1700" w:type="dxa"/>
            <w:vAlign w:val="bottom"/>
          </w:tcPr>
          <w:p>
            <w:pPr>
              <w:jc w:val="center"/>
              <w:ind w:left="482"/>
              <w:spacing w:after="0"/>
              <w:rPr>
                <w:sz w:val="20"/>
                <w:szCs w:val="20"/>
                <w:color w:val="auto"/>
              </w:rPr>
            </w:pPr>
            <w:r>
              <w:rPr>
                <w:rFonts w:ascii="Times New Roman" w:cs="Times New Roman" w:eastAsia="Times New Roman" w:hAnsi="Times New Roman"/>
                <w:sz w:val="18"/>
                <w:szCs w:val="18"/>
                <w:b w:val="1"/>
                <w:bCs w:val="1"/>
                <w:color w:val="auto"/>
                <w:w w:val="98"/>
              </w:rPr>
              <w:t>92-1062542</w:t>
            </w:r>
          </w:p>
        </w:tc>
      </w:tr>
      <w:tr>
        <w:trPr>
          <w:trHeight w:val="149"/>
        </w:trPr>
        <w:tc>
          <w:tcPr>
            <w:tcW w:w="2080" w:type="dxa"/>
            <w:vAlign w:val="bottom"/>
          </w:tcPr>
          <w:p>
            <w:pPr>
              <w:jc w:val="center"/>
              <w:ind w:right="36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10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700" w:type="dxa"/>
            <w:vAlign w:val="bottom"/>
          </w:tcPr>
          <w:p>
            <w:pPr>
              <w:jc w:val="center"/>
              <w:ind w:left="4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80" w:type="dxa"/>
            <w:vAlign w:val="bottom"/>
          </w:tcPr>
          <w:p>
            <w:pPr>
              <w:jc w:val="center"/>
              <w:ind w:right="34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1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00" w:type="dxa"/>
            <w:vAlign w:val="bottom"/>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42"/>
        </w:trPr>
        <w:tc>
          <w:tcPr>
            <w:tcW w:w="2080" w:type="dxa"/>
            <w:vAlign w:val="bottom"/>
          </w:tcPr>
          <w:p>
            <w:pPr>
              <w:spacing w:after="0"/>
              <w:rPr>
                <w:sz w:val="21"/>
                <w:szCs w:val="21"/>
                <w:color w:val="auto"/>
              </w:rPr>
            </w:pPr>
          </w:p>
        </w:tc>
        <w:tc>
          <w:tcPr>
            <w:tcW w:w="510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960 San Antonio Road, Palo Alto, California, 94303</w:t>
            </w:r>
          </w:p>
        </w:tc>
        <w:tc>
          <w:tcPr>
            <w:tcW w:w="1700" w:type="dxa"/>
            <w:vAlign w:val="bottom"/>
          </w:tcPr>
          <w:p>
            <w:pPr>
              <w:spacing w:after="0"/>
              <w:rPr>
                <w:sz w:val="21"/>
                <w:szCs w:val="21"/>
                <w:color w:val="auto"/>
              </w:rPr>
            </w:pPr>
          </w:p>
        </w:tc>
      </w:tr>
      <w:tr>
        <w:trPr>
          <w:trHeight w:val="190"/>
        </w:trPr>
        <w:tc>
          <w:tcPr>
            <w:tcW w:w="2080" w:type="dxa"/>
            <w:vAlign w:val="bottom"/>
          </w:tcPr>
          <w:p>
            <w:pPr>
              <w:spacing w:after="0"/>
              <w:rPr>
                <w:sz w:val="16"/>
                <w:szCs w:val="16"/>
                <w:color w:val="auto"/>
              </w:rPr>
            </w:pPr>
          </w:p>
        </w:tc>
        <w:tc>
          <w:tcPr>
            <w:tcW w:w="51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700" w:type="dxa"/>
            <w:vAlign w:val="bottom"/>
          </w:tcPr>
          <w:p>
            <w:pPr>
              <w:spacing w:after="0"/>
              <w:rPr>
                <w:sz w:val="16"/>
                <w:szCs w:val="16"/>
                <w:color w:val="auto"/>
              </w:rPr>
            </w:pPr>
          </w:p>
        </w:tc>
      </w:tr>
      <w:tr>
        <w:trPr>
          <w:trHeight w:val="253"/>
        </w:trPr>
        <w:tc>
          <w:tcPr>
            <w:tcW w:w="2080" w:type="dxa"/>
            <w:vAlign w:val="bottom"/>
          </w:tcPr>
          <w:p>
            <w:pPr>
              <w:spacing w:after="0"/>
              <w:rPr>
                <w:sz w:val="22"/>
                <w:szCs w:val="22"/>
                <w:color w:val="auto"/>
              </w:rPr>
            </w:pPr>
          </w:p>
        </w:tc>
        <w:tc>
          <w:tcPr>
            <w:tcW w:w="5100" w:type="dxa"/>
            <w:vAlign w:val="bottom"/>
          </w:tcPr>
          <w:p>
            <w:pPr>
              <w:jc w:val="right"/>
              <w:ind w:right="1979"/>
              <w:spacing w:after="0"/>
              <w:rPr>
                <w:sz w:val="20"/>
                <w:szCs w:val="20"/>
                <w:color w:val="auto"/>
              </w:rPr>
            </w:pPr>
            <w:r>
              <w:rPr>
                <w:rFonts w:ascii="Times New Roman" w:cs="Times New Roman" w:eastAsia="Times New Roman" w:hAnsi="Times New Roman"/>
                <w:sz w:val="18"/>
                <w:szCs w:val="18"/>
                <w:b w:val="1"/>
                <w:bCs w:val="1"/>
                <w:color w:val="auto"/>
              </w:rPr>
              <w:t>(650) 516-4310</w:t>
            </w:r>
          </w:p>
        </w:tc>
        <w:tc>
          <w:tcPr>
            <w:tcW w:w="1700" w:type="dxa"/>
            <w:vAlign w:val="bottom"/>
          </w:tcPr>
          <w:p>
            <w:pPr>
              <w:spacing w:after="0"/>
              <w:rPr>
                <w:sz w:val="22"/>
                <w:szCs w:val="22"/>
                <w:color w:val="auto"/>
              </w:rPr>
            </w:pPr>
          </w:p>
        </w:tc>
      </w:tr>
      <w:tr>
        <w:trPr>
          <w:trHeight w:val="220"/>
        </w:trPr>
        <w:tc>
          <w:tcPr>
            <w:tcW w:w="2080" w:type="dxa"/>
            <w:vAlign w:val="bottom"/>
          </w:tcPr>
          <w:p>
            <w:pPr>
              <w:spacing w:after="0"/>
              <w:rPr>
                <w:sz w:val="19"/>
                <w:szCs w:val="19"/>
                <w:color w:val="auto"/>
              </w:rPr>
            </w:pPr>
          </w:p>
        </w:tc>
        <w:tc>
          <w:tcPr>
            <w:tcW w:w="51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00" w:type="dxa"/>
            <w:vAlign w:val="bottom"/>
          </w:tcPr>
          <w:p>
            <w:pPr>
              <w:spacing w:after="0"/>
              <w:rPr>
                <w:sz w:val="19"/>
                <w:szCs w:val="19"/>
                <w:color w:val="auto"/>
              </w:rPr>
            </w:pPr>
          </w:p>
        </w:tc>
      </w:tr>
      <w:tr>
        <w:trPr>
          <w:trHeight w:val="228"/>
        </w:trPr>
        <w:tc>
          <w:tcPr>
            <w:tcW w:w="2080" w:type="dxa"/>
            <w:vAlign w:val="bottom"/>
          </w:tcPr>
          <w:p>
            <w:pPr>
              <w:spacing w:after="0"/>
              <w:rPr>
                <w:sz w:val="19"/>
                <w:szCs w:val="19"/>
                <w:color w:val="auto"/>
              </w:rPr>
            </w:pPr>
          </w:p>
        </w:tc>
        <w:tc>
          <w:tcPr>
            <w:tcW w:w="510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w:t>
            </w:r>
          </w:p>
        </w:tc>
        <w:tc>
          <w:tcPr>
            <w:tcW w:w="1700" w:type="dxa"/>
            <w:vAlign w:val="bottom"/>
          </w:tcPr>
          <w:p>
            <w:pPr>
              <w:spacing w:after="0"/>
              <w:rPr>
                <w:sz w:val="19"/>
                <w:szCs w:val="19"/>
                <w:color w:val="auto"/>
              </w:rPr>
            </w:pPr>
          </w:p>
        </w:tc>
      </w:tr>
      <w:tr>
        <w:trPr>
          <w:trHeight w:val="190"/>
        </w:trPr>
        <w:tc>
          <w:tcPr>
            <w:tcW w:w="2080" w:type="dxa"/>
            <w:vAlign w:val="bottom"/>
          </w:tcPr>
          <w:p>
            <w:pPr>
              <w:spacing w:after="0"/>
              <w:rPr>
                <w:sz w:val="16"/>
                <w:szCs w:val="16"/>
                <w:color w:val="auto"/>
              </w:rPr>
            </w:pPr>
          </w:p>
        </w:tc>
        <w:tc>
          <w:tcPr>
            <w:tcW w:w="51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00" w:type="dxa"/>
            <w:vAlign w:val="bottom"/>
          </w:tcPr>
          <w:p>
            <w:pPr>
              <w:spacing w:after="0"/>
              <w:rPr>
                <w:sz w:val="16"/>
                <w:szCs w:val="16"/>
                <w:color w:val="auto"/>
              </w:rPr>
            </w:pPr>
          </w:p>
        </w:tc>
      </w:tr>
      <w:tr>
        <w:trPr>
          <w:trHeight w:val="253"/>
        </w:trPr>
        <w:tc>
          <w:tcPr>
            <w:tcW w:w="2080" w:type="dxa"/>
            <w:vAlign w:val="bottom"/>
          </w:tcPr>
          <w:p>
            <w:pPr>
              <w:spacing w:after="0"/>
              <w:rPr>
                <w:sz w:val="22"/>
                <w:szCs w:val="22"/>
                <w:color w:val="auto"/>
              </w:rPr>
            </w:pPr>
          </w:p>
        </w:tc>
        <w:tc>
          <w:tcPr>
            <w:tcW w:w="5100" w:type="dxa"/>
            <w:vAlign w:val="bottom"/>
          </w:tcPr>
          <w:p>
            <w:pPr>
              <w:jc w:val="right"/>
              <w:ind w:right="1499"/>
              <w:spacing w:after="0"/>
              <w:rPr>
                <w:sz w:val="20"/>
                <w:szCs w:val="20"/>
                <w:color w:val="auto"/>
              </w:rPr>
            </w:pPr>
            <w:r>
              <w:rPr>
                <w:rFonts w:ascii="Times New Roman" w:cs="Times New Roman" w:eastAsia="Times New Roman" w:hAnsi="Times New Roman"/>
                <w:sz w:val="18"/>
                <w:szCs w:val="18"/>
                <w:b w:val="1"/>
                <w:bCs w:val="1"/>
                <w:color w:val="auto"/>
              </w:rPr>
              <w:t>_______________________</w:t>
            </w:r>
          </w:p>
        </w:tc>
        <w:tc>
          <w:tcPr>
            <w:tcW w:w="1700" w:type="dxa"/>
            <w:vAlign w:val="bottom"/>
          </w:tcPr>
          <w:p>
            <w:pPr>
              <w:spacing w:after="0"/>
              <w:rPr>
                <w:sz w:val="22"/>
                <w:szCs w:val="22"/>
                <w:color w:val="auto"/>
              </w:rPr>
            </w:pPr>
          </w:p>
        </w:tc>
      </w:tr>
    </w:tbl>
    <w:p>
      <w:pPr>
        <w:spacing w:after="0" w:line="36"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1" w:lineRule="exact"/>
        <w:rPr>
          <w:sz w:val="24"/>
          <w:szCs w:val="24"/>
          <w:color w:val="auto"/>
        </w:rPr>
      </w:pPr>
    </w:p>
    <w:p>
      <w:pPr>
        <w:ind w:left="1080" w:hanging="563"/>
        <w:spacing w:after="0"/>
        <w:tabs>
          <w:tab w:leader="none" w:pos="10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1080" w:hanging="563"/>
        <w:spacing w:after="0"/>
        <w:tabs>
          <w:tab w:leader="none" w:pos="10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1080" w:hanging="563"/>
        <w:spacing w:after="0"/>
        <w:tabs>
          <w:tab w:leader="none" w:pos="10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right="2120" w:firstLine="517"/>
        <w:spacing w:after="0" w:line="349" w:lineRule="auto"/>
        <w:tabs>
          <w:tab w:leader="none" w:pos="107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Exchange Act:</w:t>
      </w:r>
    </w:p>
    <w:p>
      <w:pPr>
        <w:spacing w:after="0" w:line="2" w:lineRule="exact"/>
        <w:rPr>
          <w:sz w:val="24"/>
          <w:szCs w:val="24"/>
          <w:color w:val="auto"/>
        </w:rPr>
      </w:pPr>
    </w:p>
    <w:tbl>
      <w:tblPr>
        <w:tblLayout w:type="fixed"/>
        <w:tblInd w:w="1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76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48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(Name of exchange on which registered)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376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Common Stock, par value $0.0001 per share</w:t>
            </w:r>
          </w:p>
        </w:tc>
        <w:tc>
          <w:tcPr>
            <w:tcW w:w="220" w:type="dxa"/>
            <w:vAlign w:val="bottom"/>
            <w:vMerge w:val="continue"/>
          </w:tcPr>
          <w:p>
            <w:pPr>
              <w:spacing w:after="0"/>
              <w:rPr>
                <w:sz w:val="15"/>
                <w:szCs w:val="15"/>
                <w:color w:val="auto"/>
              </w:rPr>
            </w:pPr>
          </w:p>
        </w:tc>
        <w:tc>
          <w:tcPr>
            <w:tcW w:w="216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SCLX</w:t>
            </w:r>
          </w:p>
        </w:tc>
        <w:tc>
          <w:tcPr>
            <w:tcW w:w="220" w:type="dxa"/>
            <w:vAlign w:val="bottom"/>
            <w:vMerge w:val="continue"/>
          </w:tcPr>
          <w:p>
            <w:pPr>
              <w:spacing w:after="0"/>
              <w:rPr>
                <w:sz w:val="15"/>
                <w:szCs w:val="15"/>
                <w:color w:val="auto"/>
              </w:rPr>
            </w:pPr>
          </w:p>
        </w:tc>
        <w:tc>
          <w:tcPr>
            <w:tcW w:w="464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The Nasdaq Stock Market LLC</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Warrants to purchase one share of common</w:t>
            </w:r>
          </w:p>
        </w:tc>
        <w:tc>
          <w:tcPr>
            <w:tcW w:w="23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SCLXW</w:t>
            </w:r>
          </w:p>
        </w:tc>
        <w:tc>
          <w:tcPr>
            <w:tcW w:w="48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tc>
        <w:tc>
          <w:tcPr>
            <w:tcW w:w="0" w:type="dxa"/>
            <w:vAlign w:val="bottom"/>
          </w:tcPr>
          <w:p>
            <w:pPr>
              <w:spacing w:after="0"/>
              <w:rPr>
                <w:sz w:val="1"/>
                <w:szCs w:val="1"/>
                <w:color w:val="auto"/>
              </w:rPr>
            </w:pPr>
          </w:p>
        </w:tc>
      </w:tr>
      <w:tr>
        <w:trPr>
          <w:trHeight w:val="23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 each at an exercise price of $402.50</w:t>
            </w: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4"/>
          <w:szCs w:val="24"/>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64"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930275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24, 2026, Scilex Holding Company (the “Company”) held its 2026 Annual Meeting of Stockholders (the “Meeting”). At the Meeting, a total of (i) 29,057,097 shares of the Company’s Series A preferred stock, $0.0001 par value per share (the “Series A Preferred Stock”), or 100% of the 29,057,097 shares of Series A Preferred Stock, issued and outstanding, and (ii) 5,389,081 shares of the Company’s common stock, $0.0001 par value per share (the “Common Stock”), or approximately 63.5% of the 8,491,267 shares of Common Stock, issued and outstanding, both as of the close of business on April 28, 2026, the record date for the Meeting, were represented virtually or by proxy.</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holder of Series A Preferred Stock was entitled to vote, together with the holders of Common Stock and not separately as a class, on an as converted to Common Stock basis for an aggregate of 848,106 votes as a result of the adjustments to the deemed conversion price of such preferred stock in accordance with the Certificate of Designations of Series A Preferred Stock, filed with the Delaware Secretary of State on November 10, 2022.</w:t>
      </w:r>
    </w:p>
    <w:p>
      <w:pPr>
        <w:spacing w:after="0" w:line="17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At the Meeting, the Company’s stockholders considered three proposals, each of which is described in more detail in the Company’s definitive proxy statement filed with the Securities and Exchange Commission on April 30,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a brief description of each proposal voted upon at the Meeting and the voting results with respect to each proposal.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 No. 1: </w:t>
      </w:r>
      <w:r>
        <w:rPr>
          <w:rFonts w:ascii="Times New Roman" w:cs="Times New Roman" w:eastAsia="Times New Roman" w:hAnsi="Times New Roman"/>
          <w:sz w:val="18"/>
          <w:szCs w:val="18"/>
          <w:color w:val="auto"/>
        </w:rPr>
        <w:t>To elect the following nominee as a Class I director to serve until the Company’s 2029 Annual Meeting of Stockholders.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420" w:type="dxa"/>
            <w:vAlign w:val="bottom"/>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For</w:t>
            </w:r>
          </w:p>
        </w:tc>
        <w:tc>
          <w:tcPr>
            <w:tcW w:w="2560" w:type="dxa"/>
            <w:vAlign w:val="bottom"/>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Withhold</w:t>
            </w:r>
          </w:p>
        </w:tc>
        <w:tc>
          <w:tcPr>
            <w:tcW w:w="246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
        </w:trPr>
        <w:tc>
          <w:tcPr>
            <w:tcW w:w="6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r>
        <w:trPr>
          <w:trHeight w:val="453"/>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Dorman Followwill</w:t>
            </w:r>
          </w:p>
        </w:tc>
        <w:tc>
          <w:tcPr>
            <w:tcW w:w="242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3,945,473</w:t>
            </w:r>
          </w:p>
        </w:tc>
        <w:tc>
          <w:tcPr>
            <w:tcW w:w="15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410,969</w:t>
            </w:r>
          </w:p>
        </w:tc>
        <w:tc>
          <w:tcPr>
            <w:tcW w:w="1040" w:type="dxa"/>
            <w:vAlign w:val="bottom"/>
          </w:tcPr>
          <w:p>
            <w:pPr>
              <w:spacing w:after="0"/>
              <w:rPr>
                <w:sz w:val="24"/>
                <w:szCs w:val="24"/>
                <w:color w:val="auto"/>
              </w:rPr>
            </w:pPr>
          </w:p>
        </w:tc>
        <w:tc>
          <w:tcPr>
            <w:tcW w:w="24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1,880,745</w:t>
            </w:r>
          </w:p>
        </w:tc>
      </w:tr>
    </w:tbl>
    <w:p>
      <w:pPr>
        <w:spacing w:after="0" w:line="200" w:lineRule="exact"/>
        <w:rPr>
          <w:sz w:val="20"/>
          <w:szCs w:val="20"/>
          <w:color w:val="auto"/>
        </w:rPr>
      </w:pPr>
    </w:p>
    <w:p>
      <w:pPr>
        <w:spacing w:after="0" w:line="21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No. 2: </w:t>
      </w:r>
      <w:r>
        <w:rPr>
          <w:rFonts w:ascii="Times New Roman" w:cs="Times New Roman" w:eastAsia="Times New Roman" w:hAnsi="Times New Roman"/>
          <w:sz w:val="18"/>
          <w:szCs w:val="18"/>
          <w:color w:val="auto"/>
        </w:rPr>
        <w:t>To ratify the appointment of BPM LLP as the Company’s independent registered public accounting firm for the Company’s 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ending December 31, 2026.</w:t>
      </w:r>
    </w:p>
    <w:p>
      <w:pPr>
        <w:spacing w:after="0" w:line="146"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3680" w:type="dxa"/>
            <w:vAlign w:val="bottom"/>
            <w:gridSpan w:val="2"/>
          </w:tcPr>
          <w:p>
            <w:pPr>
              <w:jc w:val="right"/>
              <w:ind w:right="3400"/>
              <w:spacing w:after="0"/>
              <w:rPr>
                <w:sz w:val="20"/>
                <w:szCs w:val="20"/>
                <w:color w:val="auto"/>
              </w:rPr>
            </w:pPr>
            <w:r>
              <w:rPr>
                <w:rFonts w:ascii="Times New Roman" w:cs="Times New Roman" w:eastAsia="Times New Roman" w:hAnsi="Times New Roman"/>
                <w:sz w:val="18"/>
                <w:szCs w:val="18"/>
                <w:b w:val="1"/>
                <w:bCs w:val="1"/>
                <w:color w:val="auto"/>
                <w:w w:val="92"/>
              </w:rPr>
              <w:t>For</w:t>
            </w: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6"/>
              </w:rPr>
              <w:t>Abstentions</w:t>
            </w:r>
          </w:p>
        </w:tc>
      </w:tr>
      <w:tr>
        <w:trPr>
          <w:trHeight w:val="20"/>
        </w:trPr>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r>
        <w:trPr>
          <w:trHeight w:val="453"/>
        </w:trPr>
        <w:tc>
          <w:tcPr>
            <w:tcW w:w="3720" w:type="dxa"/>
            <w:vAlign w:val="bottom"/>
            <w:gridSpan w:val="3"/>
          </w:tcPr>
          <w:p>
            <w:pPr>
              <w:jc w:val="right"/>
              <w:ind w:right="3000"/>
              <w:spacing w:after="0"/>
              <w:rPr>
                <w:sz w:val="20"/>
                <w:szCs w:val="20"/>
                <w:color w:val="auto"/>
              </w:rPr>
            </w:pPr>
            <w:r>
              <w:rPr>
                <w:rFonts w:ascii="Times New Roman" w:cs="Times New Roman" w:eastAsia="Times New Roman" w:hAnsi="Times New Roman"/>
                <w:sz w:val="18"/>
                <w:szCs w:val="18"/>
                <w:color w:val="auto"/>
                <w:w w:val="97"/>
              </w:rPr>
              <w:t>5,956,622</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w w:val="95"/>
              </w:rPr>
              <w:t>207,998</w:t>
            </w:r>
          </w:p>
        </w:tc>
        <w:tc>
          <w:tcPr>
            <w:tcW w:w="31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72,567</w:t>
            </w:r>
          </w:p>
        </w:tc>
      </w:tr>
    </w:tbl>
    <w:p>
      <w:pPr>
        <w:spacing w:after="0" w:line="32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Proposal No. 3: </w:t>
      </w:r>
      <w:r>
        <w:rPr>
          <w:rFonts w:ascii="Times New Roman" w:cs="Times New Roman" w:eastAsia="Times New Roman" w:hAnsi="Times New Roman"/>
          <w:sz w:val="18"/>
          <w:szCs w:val="18"/>
          <w:color w:val="auto"/>
        </w:rPr>
        <w:t>To approve the amendment to the Company’s 2022 Equity Incentive Plan (as amended) to (i) increase the number of shares authorized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thereunder by 1,300,000 shares to 2,765,789 shares and (ii) increase the number of shares authorized for issuance thereunder pursuant to the exercise of ISOs to 2,765,789 shares.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w:t>
            </w:r>
          </w:p>
        </w:tc>
        <w:tc>
          <w:tcPr>
            <w:tcW w:w="220" w:type="dxa"/>
            <w:vAlign w:val="bottom"/>
          </w:tcPr>
          <w:p>
            <w:pPr>
              <w:spacing w:after="0"/>
              <w:rPr>
                <w:sz w:val="18"/>
                <w:szCs w:val="18"/>
                <w:color w:val="auto"/>
              </w:rPr>
            </w:pPr>
          </w:p>
        </w:tc>
        <w:tc>
          <w:tcPr>
            <w:tcW w:w="2880" w:type="dxa"/>
            <w:vAlign w:val="bottom"/>
            <w:gridSpan w:val="3"/>
          </w:tcPr>
          <w:p>
            <w:pPr>
              <w:ind w:left="14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92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w w:val="96"/>
              </w:rPr>
              <w:t>Abstentions</w:t>
            </w:r>
          </w:p>
        </w:tc>
        <w:tc>
          <w:tcPr>
            <w:tcW w:w="4480" w:type="dxa"/>
            <w:vAlign w:val="bottom"/>
            <w:gridSpan w:val="4"/>
          </w:tcPr>
          <w:p>
            <w:pPr>
              <w:ind w:left="168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
        </w:trPr>
        <w:tc>
          <w:tcPr>
            <w:tcW w:w="2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3,337,435</w:t>
            </w:r>
          </w:p>
        </w:tc>
        <w:tc>
          <w:tcPr>
            <w:tcW w:w="3100" w:type="dxa"/>
            <w:vAlign w:val="bottom"/>
            <w:gridSpan w:val="4"/>
          </w:tcPr>
          <w:p>
            <w:pPr>
              <w:ind w:left="1620"/>
              <w:spacing w:after="0"/>
              <w:rPr>
                <w:sz w:val="20"/>
                <w:szCs w:val="20"/>
                <w:color w:val="auto"/>
              </w:rPr>
            </w:pPr>
            <w:r>
              <w:rPr>
                <w:rFonts w:ascii="Times New Roman" w:cs="Times New Roman" w:eastAsia="Times New Roman" w:hAnsi="Times New Roman"/>
                <w:sz w:val="18"/>
                <w:szCs w:val="18"/>
                <w:color w:val="auto"/>
              </w:rPr>
              <w:t>1,009,991</w:t>
            </w:r>
          </w:p>
        </w:tc>
        <w:tc>
          <w:tcPr>
            <w:tcW w:w="19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9,016</w:t>
            </w:r>
          </w:p>
        </w:tc>
        <w:tc>
          <w:tcPr>
            <w:tcW w:w="308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1,880,745</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5"/>
        </w:trPr>
        <w:tc>
          <w:tcPr>
            <w:tcW w:w="48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9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310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900" w:type="dxa"/>
            <w:vAlign w:val="bottom"/>
            <w:gridSpan w:val="2"/>
            <w:shd w:val="clear" w:color="auto" w:fill="000000"/>
          </w:tcPr>
          <w:p>
            <w:pPr>
              <w:spacing w:after="0" w:line="20" w:lineRule="exact"/>
              <w:rPr>
                <w:sz w:val="1"/>
                <w:szCs w:val="1"/>
                <w:color w:val="auto"/>
              </w:rPr>
            </w:pPr>
          </w:p>
        </w:tc>
        <w:tc>
          <w:tcPr>
            <w:tcW w:w="2580" w:type="dxa"/>
            <w:vAlign w:val="bottom"/>
            <w:gridSpan w:val="2"/>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0"/>
        </w:trPr>
        <w:tc>
          <w:tcPr>
            <w:tcW w:w="17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9500" w:type="dxa"/>
            <w:vAlign w:val="bottom"/>
            <w:gridSpan w:val="10"/>
          </w:tcPr>
          <w:p>
            <w:pPr>
              <w:ind w:left="200"/>
              <w:spacing w:after="0"/>
              <w:rPr>
                <w:sz w:val="20"/>
                <w:szCs w:val="20"/>
                <w:color w:val="auto"/>
              </w:rPr>
            </w:pPr>
            <w:r>
              <w:rPr>
                <w:rFonts w:ascii="Times New Roman" w:cs="Times New Roman" w:eastAsia="Times New Roman" w:hAnsi="Times New Roman"/>
                <w:sz w:val="18"/>
                <w:szCs w:val="18"/>
                <w:color w:val="auto"/>
              </w:rPr>
              <w:t>Cover Page Interactive Data File, formatted in Inline Extensible Business Reporting Language (iXBRL).</w:t>
            </w:r>
          </w:p>
        </w:tc>
      </w:tr>
      <w:tr>
        <w:trPr>
          <w:trHeight w:val="91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79"/>
        </w:trPr>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792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SCILEX HOLDING COMPANY</w:t>
            </w:r>
          </w:p>
        </w:tc>
      </w:tr>
      <w:tr>
        <w:trPr>
          <w:trHeight w:val="432"/>
        </w:trPr>
        <w:tc>
          <w:tcPr>
            <w:tcW w:w="3320" w:type="dxa"/>
            <w:vAlign w:val="bottom"/>
          </w:tcPr>
          <w:p>
            <w:pPr>
              <w:spacing w:after="0"/>
              <w:rPr>
                <w:sz w:val="24"/>
                <w:szCs w:val="24"/>
                <w:color w:val="auto"/>
              </w:rPr>
            </w:pPr>
          </w:p>
        </w:tc>
        <w:tc>
          <w:tcPr>
            <w:tcW w:w="25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Henry Ji, Ph.D.</w:t>
            </w:r>
          </w:p>
        </w:tc>
      </w:tr>
      <w:tr>
        <w:trPr>
          <w:trHeight w:val="191"/>
        </w:trPr>
        <w:tc>
          <w:tcPr>
            <w:tcW w:w="3320" w:type="dxa"/>
            <w:vAlign w:val="bottom"/>
          </w:tcPr>
          <w:p>
            <w:pPr>
              <w:spacing w:after="0"/>
              <w:rPr>
                <w:sz w:val="16"/>
                <w:szCs w:val="16"/>
                <w:color w:val="auto"/>
              </w:rPr>
            </w:pPr>
          </w:p>
        </w:tc>
        <w:tc>
          <w:tcPr>
            <w:tcW w:w="2540" w:type="dxa"/>
            <w:vAlign w:val="bottom"/>
          </w:tcPr>
          <w:p>
            <w:pPr>
              <w:ind w:left="18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Henry Ji, Ph.D.</w:t>
            </w: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June 24, 2026</w:t>
            </w:r>
          </w:p>
        </w:tc>
        <w:tc>
          <w:tcPr>
            <w:tcW w:w="25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&amp; President</w:t>
            </w:r>
          </w:p>
        </w:tc>
      </w:tr>
      <w:tr>
        <w:trPr>
          <w:trHeight w:val="648"/>
        </w:trPr>
        <w:tc>
          <w:tcPr>
            <w:tcW w:w="3320" w:type="dxa"/>
            <w:vAlign w:val="bottom"/>
          </w:tcPr>
          <w:p>
            <w:pPr>
              <w:spacing w:after="0"/>
              <w:rPr>
                <w:sz w:val="24"/>
                <w:szCs w:val="24"/>
                <w:color w:val="auto"/>
              </w:rPr>
            </w:pPr>
          </w:p>
        </w:tc>
        <w:tc>
          <w:tcPr>
            <w:tcW w:w="25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3</w:t>
            </w:r>
          </w:p>
        </w:tc>
        <w:tc>
          <w:tcPr>
            <w:tcW w:w="5380" w:type="dxa"/>
            <w:vAlign w:val="bottom"/>
          </w:tcPr>
          <w:p>
            <w:pPr>
              <w:spacing w:after="0"/>
              <w:rPr>
                <w:sz w:val="24"/>
                <w:szCs w:val="24"/>
                <w:color w:val="auto"/>
              </w:rPr>
            </w:pPr>
          </w:p>
        </w:tc>
      </w:tr>
      <w:tr>
        <w:trPr>
          <w:trHeight w:val="979"/>
        </w:trPr>
        <w:tc>
          <w:tcPr>
            <w:tcW w:w="332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2026-06-24T17:01:08Z</dcterms:created>
  <dcterms:modified xsi:type="dcterms:W3CDTF">2026-06-24T17:01:08Z</dcterms:modified>
</cp:coreProperties>
</file>