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April 16, 2026</w:t>
      </w:r>
    </w:p>
    <w:p>
      <w:pPr>
        <w:spacing w:after="0" w:line="34"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926465</wp:posOffset>
            </wp:positionH>
            <wp:positionV relativeFrom="paragraph">
              <wp:posOffset>58420</wp:posOffset>
            </wp:positionV>
            <wp:extent cx="53155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90805</wp:posOffset>
            </wp:positionV>
            <wp:extent cx="53155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1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86995</wp:posOffset>
            </wp:positionV>
            <wp:extent cx="11201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86995</wp:posOffset>
            </wp:positionV>
            <wp:extent cx="1120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Scilex Holding Company</w:t>
      </w:r>
    </w:p>
    <w:p>
      <w:pPr>
        <w:spacing w:after="0" w:line="3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85725</wp:posOffset>
            </wp:positionV>
            <wp:extent cx="11201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80" w:lineRule="exact"/>
        <w:rPr>
          <w:sz w:val="24"/>
          <w:szCs w:val="24"/>
          <w:color w:val="auto"/>
        </w:rPr>
      </w:pPr>
    </w:p>
    <w:tbl>
      <w:tblPr>
        <w:tblLayout w:type="fixed"/>
        <w:tblInd w:w="2160" w:type="dxa"/>
        <w:tblCellMar>
          <w:top w:w="0" w:type="dxa"/>
          <w:left w:w="0" w:type="dxa"/>
          <w:bottom w:w="0" w:type="dxa"/>
          <w:right w:w="0" w:type="dxa"/>
        </w:tblCellMar>
      </w:tblPr>
      <w:tr>
        <w:trPr>
          <w:trHeight w:val="162"/>
        </w:trPr>
        <w:tc>
          <w:tcPr>
            <w:tcW w:w="2160" w:type="dxa"/>
            <w:vAlign w:val="bottom"/>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9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2836</w:t>
            </w:r>
          </w:p>
        </w:tc>
        <w:tc>
          <w:tcPr>
            <w:tcW w:w="1680" w:type="dxa"/>
            <w:vAlign w:val="bottom"/>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7"/>
              </w:rPr>
              <w:t>92-1062542</w:t>
            </w:r>
          </w:p>
        </w:tc>
      </w:tr>
      <w:tr>
        <w:trPr>
          <w:trHeight w:val="113"/>
        </w:trPr>
        <w:tc>
          <w:tcPr>
            <w:tcW w:w="2160" w:type="dxa"/>
            <w:vAlign w:val="bottom"/>
          </w:tcPr>
          <w:p>
            <w:pPr>
              <w:jc w:val="center"/>
              <w:ind w:right="661"/>
              <w:spacing w:after="0" w:line="113"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2920" w:type="dxa"/>
            <w:vAlign w:val="bottom"/>
          </w:tcPr>
          <w:p>
            <w:pPr>
              <w:jc w:val="center"/>
              <w:ind w:right="41"/>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(Primary Standard Industrial</w:t>
            </w:r>
          </w:p>
        </w:tc>
        <w:tc>
          <w:tcPr>
            <w:tcW w:w="1680" w:type="dxa"/>
            <w:vAlign w:val="bottom"/>
          </w:tcPr>
          <w:p>
            <w:pPr>
              <w:jc w:val="center"/>
              <w:ind w:left="761"/>
              <w:spacing w:after="0" w:line="113"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3"/>
        </w:trPr>
        <w:tc>
          <w:tcPr>
            <w:tcW w:w="2160" w:type="dxa"/>
            <w:vAlign w:val="bottom"/>
          </w:tcPr>
          <w:p>
            <w:pPr>
              <w:jc w:val="center"/>
              <w:ind w:right="66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680" w:type="dxa"/>
            <w:vAlign w:val="bottom"/>
          </w:tcPr>
          <w:p>
            <w:pPr>
              <w:jc w:val="center"/>
              <w:ind w:left="761"/>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960 San Antonio Road</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Palo Alto, CA 94303</w:t>
      </w:r>
    </w:p>
    <w:p>
      <w:pPr>
        <w:spacing w:after="0" w:line="1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79375</wp:posOffset>
            </wp:positionV>
            <wp:extent cx="11201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Henry Ji, Ph.D.</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Chief Executive Officer &amp; President</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960 San Antonio Road</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Palo Alto, CA 94303</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(650) 516-4310</w:t>
      </w:r>
    </w:p>
    <w:p>
      <w:pPr>
        <w:spacing w:after="0" w:line="1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79375</wp:posOffset>
            </wp:positionV>
            <wp:extent cx="11201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Jeffrey T. Hartlin, Esq.</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Elizabeth A. Razzano, Esq.</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Paul Hastings LLP</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1117 S. California Avenue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Palo Alto, CA 94304</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(650) 320-1800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104775</wp:posOffset>
            </wp:positionV>
            <wp:extent cx="11201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8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r>
        <w:rPr>
          <w:rFonts w:ascii="Times New Roman" w:cs="Times New Roman" w:eastAsia="Times New Roman" w:hAnsi="Times New Roman"/>
          <w:sz w:val="12"/>
          <w:szCs w:val="12"/>
          <w:color w:val="auto"/>
        </w:rPr>
        <w:t>: From time to time after the effective date of this registration statement</w:t>
      </w:r>
    </w:p>
    <w:p>
      <w:pPr>
        <w:spacing w:after="0" w:line="32" w:lineRule="exact"/>
        <w:rPr>
          <w:sz w:val="24"/>
          <w:szCs w:val="24"/>
          <w:color w:val="auto"/>
        </w:rPr>
      </w:pPr>
    </w:p>
    <w:p>
      <w:pPr>
        <w:ind w:left="180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83" w:lineRule="exact"/>
        <w:rPr>
          <w:sz w:val="24"/>
          <w:szCs w:val="24"/>
          <w:color w:val="auto"/>
        </w:rPr>
      </w:pPr>
    </w:p>
    <w:p>
      <w:pPr>
        <w:ind w:left="1460" w:right="59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1460" w:right="53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5" w:lineRule="exact"/>
        <w:rPr>
          <w:sz w:val="24"/>
          <w:szCs w:val="24"/>
          <w:color w:val="auto"/>
        </w:rPr>
      </w:pPr>
    </w:p>
    <w:p>
      <w:pPr>
        <w:ind w:left="1460" w:right="45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5" w:lineRule="exact"/>
        <w:rPr>
          <w:sz w:val="24"/>
          <w:szCs w:val="24"/>
          <w:color w:val="auto"/>
        </w:rPr>
      </w:pPr>
    </w:p>
    <w:p>
      <w:pPr>
        <w:jc w:val="both"/>
        <w:ind w:left="1460" w:right="43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1460" w:right="45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jc w:val="both"/>
        <w:ind w:left="1460" w:right="419" w:firstLine="335"/>
        <w:spacing w:after="0" w:line="28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460" w:type="dxa"/>
        <w:tblCellMar>
          <w:top w:w="0" w:type="dxa"/>
          <w:left w:w="0" w:type="dxa"/>
          <w:bottom w:w="0" w:type="dxa"/>
          <w:right w:w="0" w:type="dxa"/>
        </w:tblCellMar>
      </w:tblPr>
      <w:tr>
        <w:trPr>
          <w:trHeight w:val="174"/>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8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04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Accelerated filer</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4"/>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8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04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6"/>
        </w:trPr>
        <w:tc>
          <w:tcPr>
            <w:tcW w:w="1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4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Emerging growth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5" w:lineRule="exact"/>
        <w:rPr>
          <w:sz w:val="24"/>
          <w:szCs w:val="24"/>
          <w:color w:val="auto"/>
        </w:rPr>
      </w:pPr>
    </w:p>
    <w:p>
      <w:pPr>
        <w:ind w:left="1460" w:right="659" w:firstLine="335"/>
        <w:spacing w:after="0" w:line="16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3" w:lineRule="exact"/>
        <w:rPr>
          <w:sz w:val="24"/>
          <w:szCs w:val="24"/>
          <w:color w:val="auto"/>
        </w:rPr>
      </w:pPr>
    </w:p>
    <w:p>
      <w:pPr>
        <w:jc w:val="both"/>
        <w:ind w:left="1460" w:right="339" w:firstLine="335"/>
        <w:spacing w:after="0" w:line="288"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926465</wp:posOffset>
            </wp:positionH>
            <wp:positionV relativeFrom="paragraph">
              <wp:posOffset>50800</wp:posOffset>
            </wp:positionV>
            <wp:extent cx="531558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83820</wp:posOffset>
            </wp:positionV>
            <wp:extent cx="53155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9" w:lineRule="exact"/>
        <w:rPr>
          <w:sz w:val="20"/>
          <w:szCs w:val="20"/>
          <w:color w:val="auto"/>
        </w:rPr>
      </w:pPr>
    </w:p>
    <w:tbl>
      <w:tblPr>
        <w:tblLayout w:type="fixed"/>
        <w:tblInd w:w="1460" w:type="dxa"/>
        <w:tblCellMar>
          <w:top w:w="0" w:type="dxa"/>
          <w:left w:w="0" w:type="dxa"/>
          <w:bottom w:w="0" w:type="dxa"/>
          <w:right w:w="0" w:type="dxa"/>
        </w:tblCellMar>
      </w:tblPr>
      <w:tr>
        <w:trPr>
          <w:trHeight w:val="581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is not complete and may be changed. We may not sell these securities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and Exchange Commission is effective. This preliminary prospectus is not an offer to sell</w:t>
            </w:r>
          </w:p>
        </w:tc>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to buy these securities in any state where the offer or sale is not permitted.</w:t>
            </w:r>
          </w:p>
        </w:tc>
      </w:tr>
      <w:tr>
        <w:trPr>
          <w:trHeight w:val="156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preliminary prospectus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filed with the Securities</w:t>
            </w:r>
          </w:p>
        </w:tc>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is not soliciting an offer</w:t>
            </w:r>
          </w:p>
        </w:tc>
      </w:tr>
      <w:tr>
        <w:trPr>
          <w:trHeight w:val="147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registration statement</w:t>
            </w:r>
          </w:p>
        </w:tc>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these securities and it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FF4338"/>
        </w:rPr>
        <w:t>SUBJECT TO COMPLETION, DATED 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-579755</wp:posOffset>
            </wp:positionV>
            <wp:extent cx="720344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45"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33"/>
          <w:szCs w:val="33"/>
          <w:b w:val="1"/>
          <w:bCs w:val="1"/>
          <w:color w:val="auto"/>
        </w:rPr>
        <w:t>SCILEX HOLDING COMPANY</w:t>
      </w:r>
    </w:p>
    <w:p>
      <w:pPr>
        <w:spacing w:after="0" w:line="1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$500,000,000</w:t>
      </w:r>
    </w:p>
    <w:p>
      <w:pPr>
        <w:spacing w:after="0" w:line="93"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171450</wp:posOffset>
            </wp:positionV>
            <wp:extent cx="93789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039" w:firstLine="282"/>
        <w:spacing w:after="0" w:line="250" w:lineRule="auto"/>
        <w:rPr>
          <w:sz w:val="20"/>
          <w:szCs w:val="20"/>
          <w:color w:val="auto"/>
        </w:rPr>
      </w:pPr>
      <w:r>
        <w:rPr>
          <w:rFonts w:ascii="Times New Roman" w:cs="Times New Roman" w:eastAsia="Times New Roman" w:hAnsi="Times New Roman"/>
          <w:sz w:val="14"/>
          <w:szCs w:val="14"/>
          <w:color w:val="auto"/>
        </w:rPr>
        <w:t>We may offer and sell, from time to time in one or more offerings, up to $500,000,000 in the aggregate of any combination of the securities identified above from time to time in one or more offerings, either individually or in combination with other securities. We may also offer common stock or preferred stock upon conversion of debt securities, common stock upon conversion of preferred stock, or common stock, preferred stock or debt securities upon the exercise of warrants, rights or units. This prospectus provides you with a general description of the securities that we may offer.</w:t>
      </w:r>
    </w:p>
    <w:p>
      <w:pPr>
        <w:spacing w:after="0" w:line="146" w:lineRule="exact"/>
        <w:rPr>
          <w:sz w:val="20"/>
          <w:szCs w:val="20"/>
          <w:color w:val="auto"/>
        </w:rPr>
      </w:pPr>
    </w:p>
    <w:p>
      <w:pPr>
        <w:ind w:right="1099" w:firstLine="282"/>
        <w:spacing w:after="0" w:line="249"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prospectus supplement and any related free writing prospectuses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w:t>
      </w:r>
    </w:p>
    <w:p>
      <w:pPr>
        <w:spacing w:after="0" w:line="147" w:lineRule="exact"/>
        <w:rPr>
          <w:sz w:val="20"/>
          <w:szCs w:val="20"/>
          <w:color w:val="auto"/>
        </w:rPr>
      </w:pPr>
    </w:p>
    <w:p>
      <w:pPr>
        <w:ind w:right="999" w:firstLine="282"/>
        <w:spacing w:after="0" w:line="248"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w:t>
      </w:r>
      <w:r>
        <w:rPr>
          <w:rFonts w:ascii="Times New Roman" w:cs="Times New Roman" w:eastAsia="Times New Roman" w:hAnsi="Times New Roman"/>
          <w:sz w:val="14"/>
          <w:szCs w:val="14"/>
          <w:i w:val="1"/>
          <w:iCs w:val="1"/>
          <w:color w:val="auto"/>
        </w:rPr>
        <w:t>About this Prospectus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167640</wp:posOffset>
            </wp:positionV>
            <wp:extent cx="93789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394" w:lineRule="exact"/>
        <w:rPr>
          <w:sz w:val="20"/>
          <w:szCs w:val="20"/>
          <w:color w:val="auto"/>
        </w:rPr>
      </w:pPr>
    </w:p>
    <w:p>
      <w:pPr>
        <w:ind w:right="1119"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7 of this prospectus, any applicable prospectus supplement and in any applicable free writing prospectuses, and under similar headings in the documents that are incorporated by reference into this prospectus.</w:t>
      </w:r>
    </w:p>
    <w:p>
      <w:pPr>
        <w:spacing w:after="0" w:line="133" w:lineRule="exact"/>
        <w:rPr>
          <w:sz w:val="20"/>
          <w:szCs w:val="20"/>
          <w:color w:val="auto"/>
        </w:rPr>
      </w:pPr>
    </w:p>
    <w:p>
      <w:pPr>
        <w:ind w:right="999" w:firstLine="282"/>
        <w:spacing w:after="0" w:line="252" w:lineRule="auto"/>
        <w:rPr>
          <w:sz w:val="20"/>
          <w:szCs w:val="20"/>
          <w:color w:val="auto"/>
        </w:rPr>
      </w:pPr>
      <w:r>
        <w:rPr>
          <w:rFonts w:ascii="Times New Roman" w:cs="Times New Roman" w:eastAsia="Times New Roman" w:hAnsi="Times New Roman"/>
          <w:sz w:val="14"/>
          <w:szCs w:val="14"/>
          <w:color w:val="auto"/>
        </w:rPr>
        <w:t>Our common stock, par value $0.0001 per share (“Common Stock”), is currently listed on the Nasdaq Capital Market under the symbol “SCLX”. On April 15, 2026, the last reported sales price for our Common Stock was $6.30 per share. The applicable prospectus supplement will contain information, where applicable, as to any other listing on the Nasdaq Capital Market or any securities market or other exchange of the securities, if any, covered by the applicable prospectus supplement.</w:t>
      </w:r>
    </w:p>
    <w:p>
      <w:pPr>
        <w:spacing w:after="0" w:line="141" w:lineRule="exact"/>
        <w:rPr>
          <w:sz w:val="20"/>
          <w:szCs w:val="20"/>
          <w:color w:val="auto"/>
        </w:rPr>
      </w:pPr>
    </w:p>
    <w:p>
      <w:pPr>
        <w:ind w:right="1059" w:firstLine="282"/>
        <w:spacing w:after="0" w:line="25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169545</wp:posOffset>
            </wp:positionV>
            <wp:extent cx="9378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880" w:space="240"/>
            <w:col w:w="8039"/>
          </w:cols>
          <w:pgMar w:left="300" w:top="37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tcPr>
          <w:p>
            <w:pPr>
              <w:jc w:val="right"/>
              <w:ind w:right="333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19"/>
        </w:trPr>
        <w:tc>
          <w:tcPr>
            <w:tcW w:w="330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4"/>
        </w:trPr>
        <w:tc>
          <w:tcPr>
            <w:tcW w:w="540" w:type="dxa"/>
            <w:vAlign w:val="bottom"/>
            <w:tcBorders>
              <w:top w:val="single" w:sz="8" w:color="0000EE"/>
              <w:bottom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4"/>
                <w:szCs w:val="14"/>
                <w:color w:val="0000EE"/>
                <w:w w:val="95"/>
              </w:rPr>
              <w:t>Summary</w:t>
            </w:r>
          </w:p>
        </w:tc>
        <w:tc>
          <w:tcPr>
            <w:tcW w:w="700" w:type="dxa"/>
            <w:vAlign w:val="bottom"/>
            <w:tcBorders>
              <w:top w:val="single" w:sz="8" w:color="0000EE"/>
            </w:tcBorders>
            <w:gridSpan w:val="7"/>
          </w:tcPr>
          <w:p>
            <w:pPr>
              <w:spacing w:after="0"/>
              <w:rPr>
                <w:sz w:val="12"/>
                <w:szCs w:val="12"/>
                <w:color w:val="auto"/>
              </w:rPr>
            </w:pPr>
          </w:p>
        </w:tc>
        <w:tc>
          <w:tcPr>
            <w:tcW w:w="2060" w:type="dxa"/>
            <w:vAlign w:val="bottom"/>
            <w:gridSpan w:val="7"/>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330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Risk Factors</w:t>
            </w: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44"/>
        </w:trPr>
        <w:tc>
          <w:tcPr>
            <w:tcW w:w="330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Use of Proceeds</w:t>
            </w: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44"/>
        </w:trPr>
        <w:tc>
          <w:tcPr>
            <w:tcW w:w="3160" w:type="dxa"/>
            <w:vAlign w:val="bottom"/>
            <w:tcBorders>
              <w:bottom w:val="single" w:sz="8" w:color="0000EE"/>
            </w:tcBorders>
            <w:gridSpan w:val="15"/>
          </w:tcPr>
          <w:p>
            <w:pPr>
              <w:spacing w:after="0" w:line="144"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140" w:type="dxa"/>
            <w:vAlign w:val="bottom"/>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w:t>
            </w:r>
          </w:p>
        </w:tc>
      </w:tr>
      <w:tr>
        <w:trPr>
          <w:trHeight w:val="144"/>
        </w:trPr>
        <w:tc>
          <w:tcPr>
            <w:tcW w:w="1560" w:type="dxa"/>
            <w:vAlign w:val="bottom"/>
            <w:tcBorders>
              <w:bottom w:val="single" w:sz="8" w:color="0000EE"/>
            </w:tcBorders>
            <w:gridSpan w:val="11"/>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1740" w:type="dxa"/>
            <w:vAlign w:val="bottom"/>
            <w:gridSpan w:val="5"/>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1660" w:type="dxa"/>
            <w:vAlign w:val="bottom"/>
            <w:tcBorders>
              <w:bottom w:val="single" w:sz="8" w:color="0000EE"/>
            </w:tcBorders>
            <w:gridSpan w:val="12"/>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1640" w:type="dxa"/>
            <w:vAlign w:val="bottom"/>
            <w:gridSpan w:val="4"/>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23</w:t>
            </w:r>
          </w:p>
        </w:tc>
      </w:tr>
      <w:tr>
        <w:trPr>
          <w:trHeight w:val="144"/>
        </w:trPr>
        <w:tc>
          <w:tcPr>
            <w:tcW w:w="330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Description of Warrants</w:t>
            </w: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32</w:t>
            </w:r>
          </w:p>
        </w:tc>
      </w:tr>
      <w:tr>
        <w:trPr>
          <w:trHeight w:val="144"/>
        </w:trPr>
        <w:tc>
          <w:tcPr>
            <w:tcW w:w="1180" w:type="dxa"/>
            <w:vAlign w:val="bottom"/>
            <w:tcBorders>
              <w:top w:val="single" w:sz="8" w:color="0000EE"/>
              <w:bottom w:val="single" w:sz="8" w:color="0000EE"/>
            </w:tcBorders>
            <w:gridSpan w:val="8"/>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Rights</w:t>
            </w:r>
          </w:p>
        </w:tc>
        <w:tc>
          <w:tcPr>
            <w:tcW w:w="120" w:type="dxa"/>
            <w:vAlign w:val="bottom"/>
            <w:tcBorders>
              <w:top w:val="single" w:sz="8" w:color="0000EE"/>
            </w:tcBorders>
            <w:gridSpan w:val="2"/>
          </w:tcPr>
          <w:p>
            <w:pPr>
              <w:spacing w:after="0"/>
              <w:rPr>
                <w:sz w:val="12"/>
                <w:szCs w:val="12"/>
                <w:color w:val="auto"/>
              </w:rPr>
            </w:pPr>
          </w:p>
        </w:tc>
        <w:tc>
          <w:tcPr>
            <w:tcW w:w="2000" w:type="dxa"/>
            <w:vAlign w:val="bottom"/>
            <w:gridSpan w:val="6"/>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35</w:t>
            </w:r>
          </w:p>
        </w:tc>
      </w:tr>
      <w:tr>
        <w:trPr>
          <w:trHeight w:val="144"/>
        </w:trPr>
        <w:tc>
          <w:tcPr>
            <w:tcW w:w="1120" w:type="dxa"/>
            <w:vAlign w:val="bottom"/>
            <w:tcBorders>
              <w:bottom w:val="single" w:sz="8" w:color="0000EE"/>
            </w:tcBorders>
            <w:gridSpan w:val="7"/>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Units</w:t>
            </w:r>
          </w:p>
        </w:tc>
        <w:tc>
          <w:tcPr>
            <w:tcW w:w="2180" w:type="dxa"/>
            <w:vAlign w:val="bottom"/>
            <w:gridSpan w:val="9"/>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36</w:t>
            </w:r>
          </w:p>
        </w:tc>
      </w:tr>
      <w:tr>
        <w:trPr>
          <w:trHeight w:val="144"/>
        </w:trPr>
        <w:tc>
          <w:tcPr>
            <w:tcW w:w="330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Legal Ownership of Securities</w:t>
            </w: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37</w:t>
            </w:r>
          </w:p>
        </w:tc>
      </w:tr>
      <w:tr>
        <w:trPr>
          <w:trHeight w:val="144"/>
        </w:trPr>
        <w:tc>
          <w:tcPr>
            <w:tcW w:w="1660" w:type="dxa"/>
            <w:vAlign w:val="bottom"/>
            <w:tcBorders>
              <w:top w:val="single" w:sz="8" w:color="0000EE"/>
            </w:tcBorders>
            <w:gridSpan w:val="12"/>
          </w:tcPr>
          <w:p>
            <w:pPr>
              <w:spacing w:after="0" w:line="144" w:lineRule="exact"/>
              <w:rPr>
                <w:sz w:val="20"/>
                <w:szCs w:val="20"/>
                <w:color w:val="auto"/>
              </w:rPr>
            </w:pPr>
            <w:r>
              <w:rPr>
                <w:rFonts w:ascii="Times New Roman" w:cs="Times New Roman" w:eastAsia="Times New Roman" w:hAnsi="Times New Roman"/>
                <w:sz w:val="14"/>
                <w:szCs w:val="14"/>
                <w:color w:val="0000EE"/>
              </w:rPr>
              <w:t>Plan of Distribution</w:t>
            </w:r>
          </w:p>
        </w:tc>
        <w:tc>
          <w:tcPr>
            <w:tcW w:w="1640" w:type="dxa"/>
            <w:vAlign w:val="bottom"/>
            <w:gridSpan w:val="4"/>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41</w:t>
            </w:r>
          </w:p>
        </w:tc>
      </w:tr>
      <w:tr>
        <w:trPr>
          <w:trHeight w:val="144"/>
        </w:trPr>
        <w:tc>
          <w:tcPr>
            <w:tcW w:w="1080" w:type="dxa"/>
            <w:vAlign w:val="bottom"/>
            <w:tcBorders>
              <w:top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2220" w:type="dxa"/>
            <w:vAlign w:val="bottom"/>
            <w:gridSpan w:val="10"/>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43</w:t>
            </w:r>
          </w:p>
        </w:tc>
      </w:tr>
      <w:tr>
        <w:trPr>
          <w:trHeight w:val="144"/>
        </w:trPr>
        <w:tc>
          <w:tcPr>
            <w:tcW w:w="420" w:type="dxa"/>
            <w:vAlign w:val="bottom"/>
            <w:tcBorders>
              <w:top w:val="single" w:sz="8" w:color="0000EE"/>
              <w:bottom w:val="single" w:sz="8" w:color="0000EE"/>
            </w:tcBorders>
          </w:tcPr>
          <w:p>
            <w:pPr>
              <w:spacing w:after="0" w:line="144" w:lineRule="exact"/>
              <w:rPr>
                <w:sz w:val="20"/>
                <w:szCs w:val="20"/>
                <w:color w:val="auto"/>
              </w:rPr>
            </w:pPr>
            <w:r>
              <w:rPr>
                <w:rFonts w:ascii="Times New Roman" w:cs="Times New Roman" w:eastAsia="Times New Roman" w:hAnsi="Times New Roman"/>
                <w:sz w:val="14"/>
                <w:szCs w:val="14"/>
                <w:color w:val="0000EE"/>
                <w:w w:val="93"/>
              </w:rPr>
              <w:t>Experts</w:t>
            </w:r>
          </w:p>
        </w:tc>
        <w:tc>
          <w:tcPr>
            <w:tcW w:w="340" w:type="dxa"/>
            <w:vAlign w:val="bottom"/>
            <w:tcBorders>
              <w:top w:val="single" w:sz="8" w:color="0000EE"/>
            </w:tcBorders>
            <w:gridSpan w:val="3"/>
          </w:tcPr>
          <w:p>
            <w:pPr>
              <w:spacing w:after="0"/>
              <w:rPr>
                <w:sz w:val="12"/>
                <w:szCs w:val="12"/>
                <w:color w:val="auto"/>
              </w:rPr>
            </w:pPr>
          </w:p>
        </w:tc>
        <w:tc>
          <w:tcPr>
            <w:tcW w:w="2540" w:type="dxa"/>
            <w:vAlign w:val="bottom"/>
            <w:gridSpan w:val="12"/>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43</w:t>
            </w:r>
          </w:p>
        </w:tc>
      </w:tr>
      <w:tr>
        <w:trPr>
          <w:trHeight w:val="144"/>
        </w:trPr>
        <w:tc>
          <w:tcPr>
            <w:tcW w:w="2180" w:type="dxa"/>
            <w:vAlign w:val="bottom"/>
            <w:tcBorders>
              <w:bottom w:val="single" w:sz="8" w:color="0000EE"/>
            </w:tcBorders>
            <w:gridSpan w:val="13"/>
          </w:tcPr>
          <w:p>
            <w:pPr>
              <w:spacing w:after="0" w:line="144"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1120" w:type="dxa"/>
            <w:vAlign w:val="bottom"/>
            <w:gridSpan w:val="3"/>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43</w:t>
            </w:r>
          </w:p>
        </w:tc>
      </w:tr>
      <w:tr>
        <w:trPr>
          <w:trHeight w:val="144"/>
        </w:trPr>
        <w:tc>
          <w:tcPr>
            <w:tcW w:w="2720" w:type="dxa"/>
            <w:vAlign w:val="bottom"/>
            <w:tcBorders>
              <w:bottom w:val="single" w:sz="8" w:color="0000EE"/>
            </w:tcBorders>
            <w:gridSpan w:val="14"/>
          </w:tcPr>
          <w:p>
            <w:pPr>
              <w:spacing w:after="0" w:line="144" w:lineRule="exact"/>
              <w:rPr>
                <w:sz w:val="20"/>
                <w:szCs w:val="20"/>
                <w:color w:val="auto"/>
              </w:rPr>
            </w:pPr>
            <w:r>
              <w:rPr>
                <w:rFonts w:ascii="Times New Roman" w:cs="Times New Roman" w:eastAsia="Times New Roman" w:hAnsi="Times New Roman"/>
                <w:sz w:val="14"/>
                <w:szCs w:val="14"/>
                <w:color w:val="0000EE"/>
                <w:w w:val="96"/>
              </w:rPr>
              <w:t>Important Information Incorporated by Reference</w:t>
            </w:r>
          </w:p>
        </w:tc>
        <w:tc>
          <w:tcPr>
            <w:tcW w:w="580" w:type="dxa"/>
            <w:vAlign w:val="bottom"/>
            <w:gridSpan w:val="2"/>
          </w:tcPr>
          <w:p>
            <w:pPr>
              <w:spacing w:after="0"/>
              <w:rPr>
                <w:sz w:val="12"/>
                <w:szCs w:val="12"/>
                <w:color w:val="auto"/>
              </w:rPr>
            </w:pPr>
          </w:p>
        </w:tc>
        <w:tc>
          <w:tcPr>
            <w:tcW w:w="5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44</w:t>
            </w: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Whenever we refer to “Scilex,” “we,” “our” or “us” in this prospectus, we mean Scilex Holding Company, unless the context suggests otherwise.</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When we refer to “you” or “yours,” we mean the holders of the applicable series of securities.</w:t>
      </w:r>
    </w:p>
    <w:p>
      <w:pPr>
        <w:spacing w:after="0" w:line="156" w:lineRule="exact"/>
        <w:rPr>
          <w:sz w:val="20"/>
          <w:szCs w:val="20"/>
          <w:color w:val="auto"/>
        </w:rPr>
      </w:pPr>
    </w:p>
    <w:p>
      <w:pPr>
        <w:ind w:left="1460" w:right="359" w:firstLine="335"/>
        <w:spacing w:after="0" w:line="247" w:lineRule="auto"/>
        <w:rPr>
          <w:sz w:val="20"/>
          <w:szCs w:val="20"/>
          <w:color w:val="auto"/>
        </w:rPr>
      </w:pPr>
      <w:r>
        <w:rPr>
          <w:rFonts w:ascii="Times New Roman" w:cs="Times New Roman" w:eastAsia="Times New Roman" w:hAnsi="Times New Roman"/>
          <w:sz w:val="14"/>
          <w:szCs w:val="14"/>
          <w:color w:val="auto"/>
        </w:rPr>
        <w:t>This prospectus is part of a “shelf” registration statement on Form S-3 that we filed with the Securities and Exchange Commission (the “SEC”), using a “shelf” registration process. Under this shelf registration process, we may sell any combination of the securities described in this prospectus in one or more offerings, up to a total dollar amount of $500,000,000. This prospectus provides you with a general description of the securities we may offer. Each time we offer to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may also add, update or change information contained in this prospectus. To the extent that any statement that we make in a prospectus supplement is inconsistent with statements made in this prospectus, the statements made in this prospectus will be deemed modified or superseded by those made in a prospectus supplement. You should read both this prospectus, any prospectus supplement and any free writing prospectus prepared by or on behalf of us, together with the additional information described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460" w:right="339" w:firstLine="335"/>
        <w:spacing w:after="0" w:line="266"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in an accompanying prospectus supplement or incorporated by reference herein or therein and any related free writing prospectus that we may authorize to be provided to you. We have not authorized anyone to provide you with information or make any representation that is different. If anyone provides you with different or inconsistent information, you should not rely on it. This prospectus, any accompanying prospectus supplement and any related free writing prospectus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any accompanying prospectus supplement and any related free writing prospectus is correct on any date after the respective dates of the prospectus, such prospectus supplement or supplements and free writing prospectus, as applicable, even though this prospectus, such prospectus supplement or supplements and free writing prospectus are delivered or securities are sold pursuant thereto, as applicable, at a later date. Since the respective dates of the prospectus contained in this registration statement, any accompanying prospectus supplement and any free writing prospectus,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3"/>
          <w:szCs w:val="13"/>
          <w:i w:val="1"/>
          <w:iCs w:val="1"/>
          <w:color w:val="auto"/>
        </w:rPr>
        <w:t>Where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You Can Find More Information</w:t>
      </w:r>
      <w:r>
        <w:rPr>
          <w:rFonts w:ascii="Times New Roman" w:cs="Times New Roman" w:eastAsia="Times New Roman" w:hAnsi="Times New Roman"/>
          <w:sz w:val="13"/>
          <w:szCs w:val="13"/>
          <w:color w:val="auto"/>
        </w:rPr>
        <w:t>.” We may only sell securities pursuant to this prospectus if this prospectus is accompanied by a prospectus supplement.</w:t>
      </w:r>
    </w:p>
    <w:p>
      <w:pPr>
        <w:spacing w:after="0" w:line="139"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4351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1300" cy="4351020"/>
                    </a:xfrm>
                    <a:prstGeom prst="rect">
                      <a:avLst/>
                    </a:prstGeom>
                    <a:noFill/>
                  </pic:spPr>
                </pic:pic>
              </a:graphicData>
            </a:graphic>
          </wp:anchor>
        </w:drawing>
      </w: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67" w:lineRule="exact"/>
        <w:rPr>
          <w:sz w:val="20"/>
          <w:szCs w:val="20"/>
          <w:color w:val="auto"/>
        </w:rPr>
      </w:pPr>
    </w:p>
    <w:p>
      <w:pPr>
        <w:ind w:left="1600" w:right="659" w:firstLine="324"/>
        <w:spacing w:after="0" w:line="270"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Unless otherwise mentioned or unless the context requires otherwise, all references in this prospectus to “Scilex”, the “Company”, “we”, “us”, “our” or similar references mean Scilex Holding Company.</w:t>
      </w:r>
    </w:p>
    <w:p>
      <w:pPr>
        <w:spacing w:after="0" w:line="2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ind w:left="1600" w:right="619" w:firstLine="324"/>
        <w:spacing w:after="0" w:line="284" w:lineRule="auto"/>
        <w:rPr>
          <w:sz w:val="20"/>
          <w:szCs w:val="20"/>
          <w:color w:val="auto"/>
        </w:rPr>
      </w:pPr>
      <w:r>
        <w:rPr>
          <w:rFonts w:ascii="Times New Roman" w:cs="Times New Roman" w:eastAsia="Times New Roman" w:hAnsi="Times New Roman"/>
          <w:sz w:val="13"/>
          <w:szCs w:val="13"/>
          <w:color w:val="auto"/>
        </w:rPr>
        <w:t>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w:t>
      </w:r>
    </w:p>
    <w:p>
      <w:pPr>
        <w:spacing w:after="0" w:line="126" w:lineRule="exact"/>
        <w:rPr>
          <w:sz w:val="20"/>
          <w:szCs w:val="20"/>
          <w:color w:val="auto"/>
        </w:rPr>
      </w:pPr>
    </w:p>
    <w:p>
      <w:pPr>
        <w:ind w:left="1600" w:right="479" w:firstLine="324"/>
        <w:spacing w:after="0" w:line="237" w:lineRule="auto"/>
        <w:rPr>
          <w:sz w:val="20"/>
          <w:szCs w:val="20"/>
          <w:color w:val="auto"/>
        </w:rPr>
      </w:pPr>
      <w:r>
        <w:rPr>
          <w:rFonts w:ascii="Times New Roman" w:cs="Times New Roman" w:eastAsia="Times New Roman" w:hAnsi="Times New Roman"/>
          <w:sz w:val="13"/>
          <w:szCs w:val="13"/>
          <w:color w:val="auto"/>
        </w:rPr>
        <w:t>Our commercial products are: (i) ZTlido</w:t>
      </w:r>
      <w:r>
        <w:rPr>
          <w:rFonts w:ascii="Times New Roman" w:cs="Times New Roman" w:eastAsia="Times New Roman" w:hAnsi="Times New Roman"/>
          <w:sz w:val="8"/>
          <w:szCs w:val="8"/>
          <w:color w:val="auto"/>
        </w:rPr>
        <w:t>®</w:t>
      </w:r>
      <w:r>
        <w:rPr>
          <w:rFonts w:ascii="Times New Roman" w:cs="Times New Roman" w:eastAsia="Times New Roman" w:hAnsi="Times New Roman"/>
          <w:sz w:val="13"/>
          <w:szCs w:val="13"/>
          <w:color w:val="auto"/>
        </w:rPr>
        <w:t xml:space="preserve"> (lidocaine topical system) 1.8%, a prescription lidocaine topical product approved by the U.S. Food and Drug Administration (the “FDA”) for the relief of neuropathic pain associated with postherpetic neuralgia (“PHN”), which is a form of post-shingles nerve pain; (ii) ELYXYB</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a potential first-line treatment and the only FDA-approved, ready-to-use oral solution for the acute treatment of migraine, with or without aura, in adults; and (iii) GLOPERBA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the first and only liquid oral version of the anti-gout medicine colchicine indicated for the prophylaxis of painful gout flares in adults, which launched in June 2024. In addition, we have three product candidates: (i) SP-102 (10 mg, dexamethasone sodium phosphate viscous gel) (“SEMDEXA</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3"/>
          <w:szCs w:val="13"/>
          <w:color w:val="auto"/>
        </w:rPr>
        <w:t>”),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acute pain and for which we have completed a Phase 2 trial in acute low back pain (“LBP”); and (iii) SP-104 (4.5 mg, low-dose naltrexone hydrochloride delayed-release capsules) (“SP-104”), a novel low-dose delayed-release naltrexone hydrochloride being developed for the treatment of fibromyalgia, for which Phase 1 trials were completed. We believe our currently approved products and future product candidates, if approved by the FDA, could uniquely address what we believe are the significant unmet needs of the targeted populations and become the preferred treatment option for their respective indications.</w:t>
      </w:r>
    </w:p>
    <w:p>
      <w:pPr>
        <w:spacing w:after="0" w:line="158" w:lineRule="exact"/>
        <w:rPr>
          <w:sz w:val="20"/>
          <w:szCs w:val="20"/>
          <w:color w:val="auto"/>
        </w:rPr>
      </w:pPr>
    </w:p>
    <w:p>
      <w:pPr>
        <w:ind w:left="1600" w:right="539" w:firstLine="324"/>
        <w:spacing w:after="0" w:line="274" w:lineRule="auto"/>
        <w:rPr>
          <w:sz w:val="20"/>
          <w:szCs w:val="20"/>
          <w:color w:val="auto"/>
        </w:rPr>
      </w:pPr>
      <w:r>
        <w:rPr>
          <w:rFonts w:ascii="Times New Roman" w:cs="Times New Roman" w:eastAsia="Times New Roman" w:hAnsi="Times New Roman"/>
          <w:sz w:val="13"/>
          <w:szCs w:val="13"/>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w:t>
      </w:r>
    </w:p>
    <w:p>
      <w:pPr>
        <w:spacing w:after="0" w:line="131" w:lineRule="exact"/>
        <w:rPr>
          <w:sz w:val="20"/>
          <w:szCs w:val="20"/>
          <w:color w:val="auto"/>
        </w:rPr>
      </w:pPr>
    </w:p>
    <w:p>
      <w:pPr>
        <w:ind w:left="1600" w:right="539" w:firstLine="324"/>
        <w:spacing w:after="0" w:line="252" w:lineRule="auto"/>
        <w:rPr>
          <w:sz w:val="20"/>
          <w:szCs w:val="20"/>
          <w:color w:val="auto"/>
        </w:rPr>
      </w:pPr>
      <w:r>
        <w:rPr>
          <w:rFonts w:ascii="Times New Roman" w:cs="Times New Roman" w:eastAsia="Times New Roman" w:hAnsi="Times New Roman"/>
          <w:sz w:val="14"/>
          <w:szCs w:val="14"/>
          <w:color w:val="auto"/>
        </w:rPr>
        <w:t>We have adopted a cryptocurrency treasury strategy in which we intend to invest in bitcoin, Ethereum and other blockchain-linked cryptocurrencies. We intend to accumulate such cryptocurrencies as a long-term treasury asset. Our goal is to acquire and grow our overall cryptocurrency position and utilize professional treasury strategies to both increase our cryptocurrency holdings, while driving revenue via a range of staking and related</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4455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1300" cy="4455160"/>
                    </a:xfrm>
                    <a:prstGeom prst="rect">
                      <a:avLst/>
                    </a:prstGeom>
                    <a:noFill/>
                  </pic:spPr>
                </pic:pic>
              </a:graphicData>
            </a:graphic>
          </wp:anchor>
        </w:drawing>
      </w:r>
    </w:p>
    <w:p>
      <w:pPr>
        <w:spacing w:after="0" w:line="356" w:lineRule="exact"/>
        <w:rPr>
          <w:sz w:val="20"/>
          <w:szCs w:val="20"/>
          <w:color w:val="auto"/>
        </w:rPr>
      </w:pPr>
    </w:p>
    <w:p>
      <w:pPr>
        <w:ind w:left="1600" w:right="839"/>
        <w:spacing w:after="0" w:line="305" w:lineRule="auto"/>
        <w:rPr>
          <w:sz w:val="20"/>
          <w:szCs w:val="20"/>
          <w:color w:val="auto"/>
        </w:rPr>
      </w:pPr>
      <w:r>
        <w:rPr>
          <w:rFonts w:ascii="Times New Roman" w:cs="Times New Roman" w:eastAsia="Times New Roman" w:hAnsi="Times New Roman"/>
          <w:sz w:val="13"/>
          <w:szCs w:val="13"/>
          <w:color w:val="auto"/>
        </w:rPr>
        <w:t>yield-generating activities. In the future, we plan to evaluate additional cryptocurrency holdings and transactions, including but not limited to strategic investments and/or acquisitions of operating companies that we view as aligned with our cryptocurrency treasury strategy.</w:t>
      </w:r>
    </w:p>
    <w:p>
      <w:pPr>
        <w:spacing w:after="0" w:line="1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color w:val="auto"/>
        </w:rPr>
        <w:t>Our Products</w:t>
      </w:r>
    </w:p>
    <w:p>
      <w:pPr>
        <w:spacing w:after="0" w:line="89" w:lineRule="exact"/>
        <w:rPr>
          <w:sz w:val="20"/>
          <w:szCs w:val="20"/>
          <w:color w:val="auto"/>
        </w:rPr>
      </w:pPr>
    </w:p>
    <w:p>
      <w:pPr>
        <w:ind w:left="1600" w:right="459" w:firstLine="324"/>
        <w:spacing w:after="0" w:line="246" w:lineRule="auto"/>
        <w:rPr>
          <w:sz w:val="20"/>
          <w:szCs w:val="20"/>
          <w:color w:val="auto"/>
        </w:rPr>
      </w:pPr>
      <w:r>
        <w:rPr>
          <w:rFonts w:ascii="Times New Roman" w:cs="Times New Roman" w:eastAsia="Times New Roman" w:hAnsi="Times New Roman"/>
          <w:sz w:val="14"/>
          <w:szCs w:val="14"/>
          <w:color w:val="auto"/>
        </w:rPr>
        <w:t>We launched our first commercial product, ZTlido</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Koseido Co., Ltd. (“Oishi”) in Japan. We license the rights to ZTlido from and rely exclusively on Oishi and Itochu Chemical Frontier Corporation (“Itochu”) pursuant to the Product Development Agreement (the “Product Development Agreement”) dated as of May 11, 2011, by and among Scilex Pharmaceuticals Inc., our wholly owned subsidiary (“Scilex Pharma”), Oishi and Itochu, and the Commercial Supply Agreement (the “Commercial Supply Agreement”), dated as of February 16, 2017, by and among Scilex Pharma, Oishi and Itochu. We have exclusive worldwide rights to Oishi’s proprietary formulation and manufacturing technologies except with respect to Japan. In 2025, there were more than 206 million prescription lidocaine patches sold in the United States, according to Symphony Healthcare.</w:t>
      </w:r>
    </w:p>
    <w:p>
      <w:pPr>
        <w:spacing w:after="0" w:line="154" w:lineRule="exact"/>
        <w:rPr>
          <w:sz w:val="20"/>
          <w:szCs w:val="20"/>
          <w:color w:val="auto"/>
        </w:rPr>
      </w:pPr>
    </w:p>
    <w:p>
      <w:pPr>
        <w:ind w:left="1600" w:right="479" w:firstLine="324"/>
        <w:spacing w:after="0" w:line="255" w:lineRule="auto"/>
        <w:rPr>
          <w:sz w:val="20"/>
          <w:szCs w:val="20"/>
          <w:color w:val="auto"/>
        </w:rPr>
      </w:pPr>
      <w:r>
        <w:rPr>
          <w:rFonts w:ascii="Times New Roman" w:cs="Times New Roman" w:eastAsia="Times New Roman" w:hAnsi="Times New Roman"/>
          <w:sz w:val="14"/>
          <w:szCs w:val="14"/>
          <w:color w:val="auto"/>
        </w:rPr>
        <w:t>We launched our second commercial product, ELYXYB</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in April 2023. We acquired the rights to certain patents, trademarks, regulatory approvals, data, contracts, and other rights related to ELYXYB</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(celecoxib oral solution) and the commercialization thereof in the United States and Canada from BioDelivery Sciences International, Inc. and Collegium Pharmaceutical, Inc. in February 2023. ELYXYB®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for acute treatment of migraine with or without aura in Canada.</w:t>
      </w:r>
    </w:p>
    <w:p>
      <w:pPr>
        <w:spacing w:after="0" w:line="49" w:lineRule="exact"/>
        <w:rPr>
          <w:sz w:val="20"/>
          <w:szCs w:val="20"/>
          <w:color w:val="auto"/>
        </w:rPr>
      </w:pPr>
    </w:p>
    <w:p>
      <w:pPr>
        <w:ind w:left="1600" w:right="499" w:firstLine="324"/>
        <w:spacing w:after="0" w:line="255" w:lineRule="auto"/>
        <w:rPr>
          <w:sz w:val="20"/>
          <w:szCs w:val="20"/>
          <w:color w:val="auto"/>
        </w:rPr>
      </w:pPr>
      <w:r>
        <w:rPr>
          <w:rFonts w:ascii="Times New Roman" w:cs="Times New Roman" w:eastAsia="Times New Roman" w:hAnsi="Times New Roman"/>
          <w:sz w:val="13"/>
          <w:szCs w:val="13"/>
          <w:color w:val="auto"/>
        </w:rPr>
        <w:t>We launched our third commercial product, GLOPERBA, in June 2024. We acquired certain rights to GLOPERBA and the exclusive license to use the trademark “GLOPERBA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pursuant to a License and Commercialization Agreement we entered into with RxOmeg Therapeutics LLC (a/k/a Romeg Therapeutics, LLC) (“Romeg”), dated as of June 14, 2022, which agreement was subsequently amended on January 16, 2025 (such agreement, as so amended, the “Romeg License Agreement”). GLOPERBA is an FDA-approved, liquid,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commercialized GLOPERBA in June 2024 and believe we are well positioned to market and distribute the product. We have a direct distribution network to national and regional wholesalers and pharmacies throughout the U.S.</w:t>
      </w:r>
    </w:p>
    <w:p>
      <w:pPr>
        <w:spacing w:after="0" w:line="2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color w:val="auto"/>
        </w:rPr>
        <w:t>Our Product Candidates</w:t>
      </w:r>
    </w:p>
    <w:p>
      <w:pPr>
        <w:spacing w:after="0" w:line="89" w:lineRule="exact"/>
        <w:rPr>
          <w:sz w:val="20"/>
          <w:szCs w:val="20"/>
          <w:color w:val="auto"/>
        </w:rPr>
      </w:pPr>
    </w:p>
    <w:p>
      <w:pPr>
        <w:ind w:left="1600" w:right="639" w:firstLine="324"/>
        <w:spacing w:after="0" w:line="224" w:lineRule="auto"/>
        <w:rPr>
          <w:sz w:val="20"/>
          <w:szCs w:val="20"/>
          <w:color w:val="auto"/>
        </w:rPr>
      </w:pPr>
      <w:r>
        <w:rPr>
          <w:rFonts w:ascii="Times New Roman" w:cs="Times New Roman" w:eastAsia="Times New Roman" w:hAnsi="Times New Roman"/>
          <w:sz w:val="14"/>
          <w:szCs w:val="14"/>
          <w:color w:val="auto"/>
        </w:rPr>
        <w:t>We acquired SP-102 from Semnur Pharmaceuticals, Inc. (“Semnur”)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has been granted fast track designation by the FDA and, if approved,</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4585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21300" cy="4585335"/>
                    </a:xfrm>
                    <a:prstGeom prst="rect">
                      <a:avLst/>
                    </a:prstGeom>
                    <a:noFill/>
                  </pic:spPr>
                </pic:pic>
              </a:graphicData>
            </a:graphic>
          </wp:anchor>
        </w:drawing>
      </w:r>
    </w:p>
    <w:p>
      <w:pPr>
        <w:spacing w:after="0" w:line="356" w:lineRule="exact"/>
        <w:rPr>
          <w:sz w:val="20"/>
          <w:szCs w:val="20"/>
          <w:color w:val="auto"/>
        </w:rPr>
      </w:pPr>
    </w:p>
    <w:p>
      <w:pPr>
        <w:ind w:left="1600" w:right="519"/>
        <w:spacing w:after="0" w:line="267" w:lineRule="auto"/>
        <w:rPr>
          <w:sz w:val="20"/>
          <w:szCs w:val="20"/>
          <w:color w:val="auto"/>
        </w:rPr>
      </w:pPr>
      <w:r>
        <w:rPr>
          <w:rFonts w:ascii="Times New Roman" w:cs="Times New Roman" w:eastAsia="Times New Roman" w:hAnsi="Times New Roman"/>
          <w:sz w:val="13"/>
          <w:szCs w:val="13"/>
          <w:color w:val="auto"/>
        </w:rPr>
        <w:t>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SP-103, if approved, could become the first FDA-approved lidocaine topical product for the treatment of acute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w:t>
      </w:r>
    </w:p>
    <w:p>
      <w:pPr>
        <w:spacing w:after="0" w:line="138" w:lineRule="exact"/>
        <w:rPr>
          <w:sz w:val="20"/>
          <w:szCs w:val="20"/>
          <w:color w:val="auto"/>
        </w:rPr>
      </w:pPr>
    </w:p>
    <w:p>
      <w:pPr>
        <w:ind w:left="1600" w:right="519" w:firstLine="324"/>
        <w:spacing w:after="0" w:line="252" w:lineRule="auto"/>
        <w:rPr>
          <w:sz w:val="20"/>
          <w:szCs w:val="20"/>
          <w:color w:val="auto"/>
        </w:rPr>
      </w:pPr>
      <w:r>
        <w:rPr>
          <w:rFonts w:ascii="Times New Roman" w:cs="Times New Roman" w:eastAsia="Times New Roman" w:hAnsi="Times New Roman"/>
          <w:sz w:val="14"/>
          <w:szCs w:val="14"/>
          <w:color w:val="auto"/>
        </w:rPr>
        <w:t>In April 2025, Scilex Bio, Inc. (“Scilex Bio”), our subsidiary, signed an agreement with NeuroBiogen Company (“NBG”) to grant Scilex Bio an exclusive worldwide license to the franchise KDS2010 drug candidate to develop and commercialize in metabolic diseases (including obesity and type 2 diabetes) and neurodegenerative diseases, including Alzheimer’s, Parkinson’s and other CNS diseases. The lead program in the proposed joint venture is an oral tablet product candidate that is currently in Phase 2 trials in obesity and Alzheimer’s disease indications.</w:t>
      </w:r>
    </w:p>
    <w:p>
      <w:pPr>
        <w:spacing w:after="0" w:line="145" w:lineRule="exact"/>
        <w:rPr>
          <w:sz w:val="20"/>
          <w:szCs w:val="20"/>
          <w:color w:val="auto"/>
        </w:rPr>
      </w:pPr>
    </w:p>
    <w:p>
      <w:pPr>
        <w:ind w:left="1600" w:right="479" w:firstLine="324"/>
        <w:spacing w:after="0" w:line="255" w:lineRule="auto"/>
        <w:rPr>
          <w:sz w:val="20"/>
          <w:szCs w:val="20"/>
          <w:color w:val="auto"/>
        </w:rPr>
      </w:pPr>
      <w:r>
        <w:rPr>
          <w:rFonts w:ascii="Times New Roman" w:cs="Times New Roman" w:eastAsia="Times New Roman" w:hAnsi="Times New Roman"/>
          <w:sz w:val="14"/>
          <w:szCs w:val="14"/>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w:t>
      </w:r>
    </w:p>
    <w:p>
      <w:pPr>
        <w:spacing w:after="0" w:line="14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The following chart illustrates completed and anticipated milestones for our current commercial products and novel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right="739" w:firstLine="324"/>
        <w:spacing w:after="0" w:line="255" w:lineRule="auto"/>
        <w:rPr>
          <w:sz w:val="20"/>
          <w:szCs w:val="20"/>
          <w:color w:val="auto"/>
        </w:rPr>
      </w:pPr>
      <w:r>
        <w:rPr>
          <w:rFonts w:ascii="Times New Roman" w:cs="Times New Roman" w:eastAsia="Times New Roman" w:hAnsi="Times New Roman"/>
          <w:sz w:val="14"/>
          <w:szCs w:val="14"/>
          <w:color w:val="auto"/>
        </w:rPr>
        <w:t>For a complete description of our business, financial condition, results of operations and other important information, we refer you to our filings with the SEC that are incorporated by reference into this prospectus, including our Annual Report on Form 10-K for the year ended December 31, 2025, as amended, supplemented or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4455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21300" cy="4455160"/>
                    </a:xfrm>
                    <a:prstGeom prst="rect">
                      <a:avLst/>
                    </a:prstGeom>
                    <a:noFill/>
                  </pic:spPr>
                </pic:pic>
              </a:graphicData>
            </a:graphic>
          </wp:anchor>
        </w:drawing>
      </w:r>
    </w:p>
    <w:p>
      <w:pPr>
        <w:spacing w:after="0" w:line="356" w:lineRule="exact"/>
        <w:rPr>
          <w:sz w:val="20"/>
          <w:szCs w:val="20"/>
          <w:color w:val="auto"/>
        </w:rPr>
      </w:pPr>
    </w:p>
    <w:p>
      <w:pPr>
        <w:ind w:left="1600" w:right="699"/>
        <w:spacing w:after="0" w:line="266" w:lineRule="auto"/>
        <w:rPr>
          <w:sz w:val="20"/>
          <w:szCs w:val="20"/>
          <w:color w:val="auto"/>
        </w:rPr>
      </w:pPr>
      <w:r>
        <w:rPr>
          <w:rFonts w:ascii="Times New Roman" w:cs="Times New Roman" w:eastAsia="Times New Roman" w:hAnsi="Times New Roman"/>
          <w:sz w:val="14"/>
          <w:szCs w:val="14"/>
          <w:color w:val="auto"/>
        </w:rPr>
        <w:t>superseded from time to time by other reports we have filed or will file with the SEC in the future, which are incorporated by reference into this prospectus. For instructions on how to find copies of these documents,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3"/>
          <w:szCs w:val="13"/>
          <w:color w:val="auto"/>
        </w:rPr>
        <w:t>See the section 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this prospectus for a discussion of some of the risks related to the execution of our business strategy.</w:t>
      </w:r>
    </w:p>
    <w:p>
      <w:pPr>
        <w:spacing w:after="0" w:line="26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Business Combination</w:t>
      </w:r>
    </w:p>
    <w:p>
      <w:pPr>
        <w:spacing w:after="0" w:line="89" w:lineRule="exact"/>
        <w:rPr>
          <w:sz w:val="20"/>
          <w:szCs w:val="20"/>
          <w:color w:val="auto"/>
        </w:rPr>
      </w:pPr>
    </w:p>
    <w:p>
      <w:pPr>
        <w:ind w:left="1600" w:right="499" w:firstLine="324"/>
        <w:spacing w:after="0" w:line="250" w:lineRule="auto"/>
        <w:rPr>
          <w:sz w:val="20"/>
          <w:szCs w:val="20"/>
          <w:color w:val="auto"/>
        </w:rPr>
      </w:pPr>
      <w:r>
        <w:rPr>
          <w:rFonts w:ascii="Times New Roman" w:cs="Times New Roman" w:eastAsia="Times New Roman" w:hAnsi="Times New Roman"/>
          <w:sz w:val="14"/>
          <w:szCs w:val="14"/>
          <w:color w:val="auto"/>
        </w:rPr>
        <w:t>On November 10, 2022, Vickers Vantage Corp. I, our predecessor company (“Vickers”), consummated the previously announced business combination (the “Business Combination”) pursuant to the terms of that certain Agreement and Plan of Merger, dated as of March 17, 2022, by and among us, Vantage Merger Sub Inc., a Delaware corporation that was a wholly owned subsidiary of Vickers prior to the Closing (“Merger Sub”), and the pre-Business Combination Scilex Holding Company (“Legacy Scilex”), as it may be amended or restated from time to time (the “Merger Agreement”).</w:t>
      </w:r>
    </w:p>
    <w:p>
      <w:pPr>
        <w:spacing w:after="0" w:line="146" w:lineRule="exact"/>
        <w:rPr>
          <w:sz w:val="20"/>
          <w:szCs w:val="20"/>
          <w:color w:val="auto"/>
        </w:rPr>
      </w:pPr>
    </w:p>
    <w:p>
      <w:pPr>
        <w:ind w:left="1600" w:right="579" w:firstLine="324"/>
        <w:spacing w:after="0" w:line="249" w:lineRule="auto"/>
        <w:rPr>
          <w:sz w:val="20"/>
          <w:szCs w:val="20"/>
          <w:color w:val="auto"/>
        </w:rPr>
      </w:pPr>
      <w:r>
        <w:rPr>
          <w:rFonts w:ascii="Times New Roman" w:cs="Times New Roman" w:eastAsia="Times New Roman" w:hAnsi="Times New Roman"/>
          <w:sz w:val="14"/>
          <w:szCs w:val="14"/>
          <w:color w:val="auto"/>
        </w:rPr>
        <w:t>Pursuant to the Merger Agreement, (i) prior to the closing of the Business Combination (the “Closing”), Vickers changed its jurisdiction of incorporation by deregistering as a Cayman Islands exempted company and continuing and domesticating as a corporation incorporated under the laws of the State of Delaware (the “Domestication”) and (ii) at the Closing, and following the Domestication, Merger Sub merged with and into Legacy Scilex (the “Merger”), with Legacy Scilex as the surviving company in the Merger, and, after giving effect to such Merger, Legacy Scilex became a wholly owned subsidiary of Vickers. The Merger was approved by Vickers’s shareholders at a meeting held on November 9, 2022. In connection with the Business Combination, Vickers changed its name to “Scilex Holding Company.”</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9" w:lineRule="exact"/>
        <w:rPr>
          <w:sz w:val="20"/>
          <w:szCs w:val="20"/>
          <w:color w:val="auto"/>
        </w:rPr>
      </w:pPr>
    </w:p>
    <w:p>
      <w:pPr>
        <w:ind w:left="1600" w:right="599" w:firstLine="324"/>
        <w:spacing w:after="0" w:line="250" w:lineRule="auto"/>
        <w:rPr>
          <w:sz w:val="20"/>
          <w:szCs w:val="20"/>
          <w:color w:val="auto"/>
        </w:rPr>
      </w:pPr>
      <w:r>
        <w:rPr>
          <w:rFonts w:ascii="Times New Roman" w:cs="Times New Roman" w:eastAsia="Times New Roman" w:hAnsi="Times New Roman"/>
          <w:sz w:val="14"/>
          <w:szCs w:val="14"/>
          <w:color w:val="auto"/>
        </w:rPr>
        <w:t>We were incorporated under the name “Vickers Vantage Corp. I” on February 21, 2020 as a Cayman Islands exempted company for the purpose of effecting a merger, share exchange, asset acquisition, share purchase, 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w:t>
      </w:r>
    </w:p>
    <w:p>
      <w:pPr>
        <w:spacing w:after="0" w:line="146" w:lineRule="exact"/>
        <w:rPr>
          <w:sz w:val="20"/>
          <w:szCs w:val="20"/>
          <w:color w:val="auto"/>
        </w:rPr>
      </w:pPr>
    </w:p>
    <w:p>
      <w:pPr>
        <w:ind w:left="1600" w:right="499" w:firstLine="324"/>
        <w:spacing w:after="0" w:line="274" w:lineRule="auto"/>
        <w:rPr>
          <w:sz w:val="20"/>
          <w:szCs w:val="20"/>
          <w:color w:val="auto"/>
        </w:rPr>
      </w:pPr>
      <w:r>
        <w:rPr>
          <w:rFonts w:ascii="Times New Roman" w:cs="Times New Roman" w:eastAsia="Times New Roman" w:hAnsi="Times New Roman"/>
          <w:sz w:val="13"/>
          <w:szCs w:val="13"/>
          <w:color w:val="auto"/>
        </w:rPr>
        <w:t xml:space="preserve">Our principal executive offices are located at 960 San Antonio Road, Palo Alto, California 94303, and our telephone number is (650) 516-4310. Our website address is </w:t>
      </w:r>
      <w:r>
        <w:rPr>
          <w:rFonts w:ascii="Times New Roman" w:cs="Times New Roman" w:eastAsia="Times New Roman" w:hAnsi="Times New Roman"/>
          <w:sz w:val="13"/>
          <w:szCs w:val="13"/>
          <w:i w:val="1"/>
          <w:iCs w:val="1"/>
          <w:color w:val="auto"/>
        </w:rPr>
        <w:t>www.scilexholding.com</w:t>
      </w:r>
      <w:r>
        <w:rPr>
          <w:rFonts w:ascii="Times New Roman" w:cs="Times New Roman" w:eastAsia="Times New Roman" w:hAnsi="Times New Roman"/>
          <w:sz w:val="13"/>
          <w:szCs w:val="13"/>
          <w:color w:val="auto"/>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3"/>
          <w:szCs w:val="13"/>
          <w:i w:val="1"/>
          <w:iCs w:val="1"/>
          <w:color w:val="auto"/>
        </w:rPr>
        <w:t>http://www.sec.gov</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89" w:lineRule="exact"/>
        <w:rPr>
          <w:sz w:val="20"/>
          <w:szCs w:val="20"/>
          <w:color w:val="auto"/>
        </w:rPr>
      </w:pPr>
    </w:p>
    <w:p>
      <w:pPr>
        <w:ind w:left="1600" w:right="659" w:firstLine="324"/>
        <w:spacing w:after="0" w:line="250"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257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21300" cy="2579370"/>
                    </a:xfrm>
                    <a:prstGeom prst="rect">
                      <a:avLst/>
                    </a:prstGeom>
                    <a:noFill/>
                  </pic:spPr>
                </pic:pic>
              </a:graphicData>
            </a:graphic>
          </wp:anchor>
        </w:drawing>
      </w:r>
    </w:p>
    <w:p>
      <w:pPr>
        <w:spacing w:after="0" w:line="356" w:lineRule="exact"/>
        <w:rPr>
          <w:sz w:val="20"/>
          <w:szCs w:val="20"/>
          <w:color w:val="auto"/>
        </w:rPr>
      </w:pPr>
    </w:p>
    <w:p>
      <w:pPr>
        <w:ind w:left="1600" w:right="719"/>
        <w:spacing w:after="0" w:line="305" w:lineRule="auto"/>
        <w:rPr>
          <w:sz w:val="20"/>
          <w:szCs w:val="20"/>
          <w:color w:val="auto"/>
        </w:rPr>
      </w:pPr>
      <w:r>
        <w:rPr>
          <w:rFonts w:ascii="Times New Roman" w:cs="Times New Roman" w:eastAsia="Times New Roman" w:hAnsi="Times New Roman"/>
          <w:sz w:val="13"/>
          <w:szCs w:val="13"/>
          <w:color w:val="auto"/>
        </w:rPr>
        <w:t>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ind w:left="1600" w:right="559" w:firstLine="324"/>
        <w:spacing w:after="0" w:line="268" w:lineRule="auto"/>
        <w:rPr>
          <w:sz w:val="20"/>
          <w:szCs w:val="20"/>
          <w:color w:val="auto"/>
        </w:rPr>
      </w:pPr>
      <w:r>
        <w:rPr>
          <w:rFonts w:ascii="Times New Roman" w:cs="Times New Roman" w:eastAsia="Times New Roman" w:hAnsi="Times New Roman"/>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w:t>
      </w:r>
    </w:p>
    <w:p>
      <w:pPr>
        <w:spacing w:after="0" w:line="13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3"/>
          <w:szCs w:val="13"/>
          <w:color w:val="auto"/>
        </w:rPr>
        <w:t>We will remain an emerging growth company until the earlier of: (i) the last day of the fiscal year (a) following the fifth anniversary of the</w:t>
      </w:r>
    </w:p>
    <w:p>
      <w:pPr>
        <w:spacing w:after="0" w:line="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closing of the initial public offering of our company, (b) in which we have total annual gross revenue of at least $1.235 billion, or (c) in which we</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are deemed to be a large accelerated filer, which means the market value of our common equity that is held by non-affiliates equals or exceeds</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$700 million as of the last business day of our most recently completed second fiscal quarter; and (ii) the date on which we have issued more than</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$1.0 billion in non-convertible debt securities during the prior three-year period. References herein to “emerging growth company” have the</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meaning associated with it in the JOBS Act.</w:t>
      </w:r>
    </w:p>
    <w:p>
      <w:pPr>
        <w:spacing w:after="0" w:line="156" w:lineRule="exact"/>
        <w:rPr>
          <w:sz w:val="20"/>
          <w:szCs w:val="20"/>
          <w:color w:val="auto"/>
        </w:rPr>
      </w:pPr>
    </w:p>
    <w:p>
      <w:pPr>
        <w:ind w:left="1600" w:right="519" w:firstLine="324"/>
        <w:spacing w:after="0" w:line="266" w:lineRule="auto"/>
        <w:rPr>
          <w:sz w:val="20"/>
          <w:szCs w:val="20"/>
          <w:color w:val="auto"/>
        </w:rPr>
      </w:pPr>
      <w:r>
        <w:rPr>
          <w:rFonts w:ascii="Times New Roman" w:cs="Times New Roman" w:eastAsia="Times New Roman" w:hAnsi="Times New Roman"/>
          <w:sz w:val="14"/>
          <w:szCs w:val="14"/>
          <w:color w:val="auto"/>
        </w:rPr>
        <w:t>As a result, the information in this prospectus and that we provide to our investors in the future may be different than what you might receive from other public reporting companies.</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7"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Before you make a decision to buy our securities, in addition to the risks and uncertainties discussed above under “Cautionary Note Regarding Forward-Looking Statements”, you should carefully consider the risks and uncertainties described under the section titled “Risk Factors” contained in our most recent Annual Report on Form 10-K, together with all of the other information appearing in or incorporated by reference into this prospectus, as updated by our subsequent filings with the SEC, as well as the risk factors and other information contained in any applicable prospectus supplement and any applicable free writing prospectus before deciding to invest in our securities. If any of these risks actually occurs,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filing or document incorporated by reference herein or therein are not the only risks and uncertainties that we face. Additional risks and uncertainties not presently known to us or that we currently believe to be immaterial may become material and adversely affect our business.</w:t>
      </w:r>
    </w:p>
    <w:p>
      <w:pPr>
        <w:spacing w:after="0" w:line="1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1" w:lineRule="exact"/>
        <w:rPr>
          <w:sz w:val="20"/>
          <w:szCs w:val="20"/>
          <w:color w:val="auto"/>
        </w:rPr>
      </w:pPr>
    </w:p>
    <w:p>
      <w:pPr>
        <w:ind w:left="1460" w:right="499" w:firstLine="335"/>
        <w:spacing w:after="0" w:line="250" w:lineRule="auto"/>
        <w:rPr>
          <w:sz w:val="20"/>
          <w:szCs w:val="20"/>
          <w:color w:val="auto"/>
        </w:rPr>
      </w:pPr>
      <w:r>
        <w:rPr>
          <w:rFonts w:ascii="Times New Roman" w:cs="Times New Roman" w:eastAsia="Times New Roman" w:hAnsi="Times New Roman"/>
          <w:sz w:val="14"/>
          <w:szCs w:val="14"/>
          <w:color w:val="auto"/>
        </w:rPr>
        <w:t>Except as otherwise provided in the applicable prospectus supplement or in any free writing prospectuses we have authorized for use in connection with a specific offering, we currently intend to use the net proceeds from the sale of the securities offered by this prospectus, if any,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146" w:lineRule="exact"/>
        <w:rPr>
          <w:sz w:val="20"/>
          <w:szCs w:val="20"/>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The intended application of proceeds from the sale of any particular offering of securities using this prospectus will be described in the accompanying prospectus supplement relating to such offering. The precise amount and timing of the application of these proceeds will depend upon a number of factors, such as the costs and timing of commercial and development activities, including, for example, conducting preclinical studies and clinical trials, our funding requirements and the availability and costs of other funds. Pending application of the net proceeds as described above, we intend to temporarily invest the proceeds in interest-bearing instruments.</w:t>
      </w:r>
    </w:p>
    <w:p>
      <w:pPr>
        <w:spacing w:after="0" w:line="146" w:lineRule="exact"/>
        <w:rPr>
          <w:sz w:val="20"/>
          <w:szCs w:val="20"/>
          <w:color w:val="auto"/>
        </w:rPr>
      </w:pPr>
    </w:p>
    <w:p>
      <w:pPr>
        <w:ind w:left="1460" w:right="519" w:firstLine="335"/>
        <w:spacing w:after="0" w:line="266" w:lineRule="auto"/>
        <w:rPr>
          <w:sz w:val="20"/>
          <w:szCs w:val="20"/>
          <w:color w:val="auto"/>
        </w:rPr>
      </w:pPr>
      <w:r>
        <w:rPr>
          <w:rFonts w:ascii="Times New Roman" w:cs="Times New Roman" w:eastAsia="Times New Roman" w:hAnsi="Times New Roman"/>
          <w:sz w:val="14"/>
          <w:szCs w:val="14"/>
          <w:color w:val="auto"/>
        </w:rPr>
        <w:t>We may bear all other costs, fees and expenses incurred in effecting the registration of the shares covered by this prospectus, including, without limitation, all registration and filing fees, Nasdaq Capital Market listing fees, and fees and expenses of our counsel and our accountants.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1" w:lineRule="exact"/>
        <w:rPr>
          <w:sz w:val="20"/>
          <w:szCs w:val="20"/>
          <w:color w:val="auto"/>
        </w:rPr>
      </w:pPr>
    </w:p>
    <w:p>
      <w:pPr>
        <w:ind w:left="1460" w:right="379" w:firstLine="335"/>
        <w:spacing w:after="0" w:line="248" w:lineRule="auto"/>
        <w:rPr>
          <w:sz w:val="20"/>
          <w:szCs w:val="20"/>
          <w:color w:val="auto"/>
        </w:rPr>
      </w:pPr>
      <w:r>
        <w:rPr>
          <w:rFonts w:ascii="Times New Roman" w:cs="Times New Roman" w:eastAsia="Times New Roman" w:hAnsi="Times New Roman"/>
          <w:sz w:val="14"/>
          <w:szCs w:val="14"/>
          <w:color w:val="auto"/>
        </w:rPr>
        <w:t>This prospectus, any accompanying prospectus supplement and the documents incorporated by reference into this prospectus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rely on a number of assumptions concerning future events and include statements relating to:</w:t>
      </w:r>
    </w:p>
    <w:p>
      <w:pPr>
        <w:spacing w:after="0" w:line="77" w:lineRule="exact"/>
        <w:rPr>
          <w:sz w:val="20"/>
          <w:szCs w:val="20"/>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the Nasdaq Capital Market;</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securities’ liquidity and trading;</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financing in the future;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proceeds from future issuances of equity or convertible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revenue, costs of revenue and operating expenses;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use of equity or debt financings to execute our business strategy;</w:t>
      </w:r>
    </w:p>
    <w:p>
      <w:pPr>
        <w:spacing w:after="0" w:line="95" w:lineRule="exact"/>
        <w:rPr>
          <w:rFonts w:ascii="Times New Roman" w:cs="Times New Roman" w:eastAsia="Times New Roman" w:hAnsi="Times New Roman"/>
          <w:sz w:val="14"/>
          <w:szCs w:val="14"/>
          <w:color w:val="auto"/>
        </w:rPr>
      </w:pPr>
    </w:p>
    <w:p>
      <w:pPr>
        <w:ind w:left="2200" w:right="339" w:hanging="331"/>
        <w:spacing w:after="0" w:line="26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cash on hand to meet current and future financial obligations, including funding our operations, debt service requirements and capital expenditures;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us;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directors, officers, employees and key personnel;</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a highly competitive market;</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competition from larger biotechnology companies that have greater resources, technology, relationships and/or expertise;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protect and enhance our corporate reputation and brand;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future regulatory, judicial and legislative changes in our industry;</w:t>
      </w:r>
    </w:p>
    <w:p>
      <w:pPr>
        <w:spacing w:after="0" w:line="95" w:lineRule="exact"/>
        <w:rPr>
          <w:rFonts w:ascii="Times New Roman" w:cs="Times New Roman" w:eastAsia="Times New Roman" w:hAnsi="Times New Roman"/>
          <w:sz w:val="14"/>
          <w:szCs w:val="14"/>
          <w:color w:val="auto"/>
        </w:rPr>
      </w:pPr>
    </w:p>
    <w:p>
      <w:pPr>
        <w:ind w:left="2200" w:right="359" w:hanging="331"/>
        <w:spacing w:after="0" w:line="26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regulatory and legal developments in the United States and foreign countries in which we may seek regulatory approval for our product candidates in the future;</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any of our products and product candidates;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research, discover and develop additional product candidates;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and manage growth profitably;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and not infringe on the rights of others;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business plans and strategy;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respond to, and recover from a cybersecurity incident;</w:t>
      </w:r>
    </w:p>
    <w:p>
      <w:pPr>
        <w:spacing w:after="0" w:line="95" w:lineRule="exact"/>
        <w:rPr>
          <w:rFonts w:ascii="Times New Roman" w:cs="Times New Roman" w:eastAsia="Times New Roman" w:hAnsi="Times New Roman"/>
          <w:sz w:val="14"/>
          <w:szCs w:val="14"/>
          <w:color w:val="auto"/>
        </w:rPr>
      </w:pPr>
    </w:p>
    <w:p>
      <w:pPr>
        <w:ind w:left="2200" w:right="339" w:hanging="331"/>
        <w:spacing w:after="0" w:line="26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economic and political developments, including the conflicts in Ukraine and Israel;</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related to crypto assets and crypto asset markets;</w:t>
      </w:r>
    </w:p>
    <w:p>
      <w:pPr>
        <w:spacing w:after="0" w:line="1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we are an investment company under the Investment Company Act of 1940 (the “1940 Act”);</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successfully adopt and execute on our new cryptocurrency treasury strategy;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the accounting treatment of cryptocurrency holdings;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volatility in the cryptocurrency market; and</w:t>
      </w:r>
    </w:p>
    <w:p>
      <w:pPr>
        <w:spacing w:after="0" w:line="9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Any forward-looking statements should be considered in light of these factors. Such statements can be identified by the fact that they do not relate strictly to historical or current facts. Any statements that refer to projections, forecasts or other characterizations of future events or circumstances, including any underlying assumptions, are forward 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 These forward-looking statements are based on information available as of the date of this prospectus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 You are cautioned not to put undue reliance on any forward-looking statements. Except as otherwise required by law, we do not assume any obligation to update any forward-looking statements.</w:t>
      </w:r>
    </w:p>
    <w:p>
      <w:pPr>
        <w:spacing w:after="0" w:line="154" w:lineRule="exact"/>
        <w:rPr>
          <w:sz w:val="20"/>
          <w:szCs w:val="20"/>
          <w:color w:val="auto"/>
        </w:rPr>
      </w:pPr>
    </w:p>
    <w:p>
      <w:pPr>
        <w:ind w:left="1460" w:right="359" w:firstLine="335"/>
        <w:spacing w:after="0" w:line="247" w:lineRule="auto"/>
        <w:rPr>
          <w:sz w:val="20"/>
          <w:szCs w:val="20"/>
          <w:color w:val="auto"/>
        </w:rPr>
      </w:pPr>
      <w:r>
        <w:rPr>
          <w:rFonts w:ascii="Times New Roman" w:cs="Times New Roman" w:eastAsia="Times New Roman" w:hAnsi="Times New Roman"/>
          <w:sz w:val="14"/>
          <w:szCs w:val="14"/>
          <w:color w:val="auto"/>
        </w:rPr>
        <w:t>You should read this prospectus, or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Part I —Item 1A, “Risk Factors”, in our Annual Report on Form 10-K for the year ended December 31, 2024 and Part II—Item 1A, “Risk Factors”, in our Quarterly Reports on Form 10-Q for the quarters ended March 31, 2025, June 30, 2025 and September 30, 2025 and in other filings with the SEC, which may be amended, supplemented or superseded from time to time by other reports we file with the SEC in the future, that are incorporated by reference in this prospectus.</w:t>
      </w:r>
    </w:p>
    <w:p>
      <w:pPr>
        <w:spacing w:after="0" w:line="152"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You should assume that the information appearing in this prospectus, any accompanying prospectus supplement, any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There may be additional risks that we consider immaterial or which are unknown. It is not possible to predict or identify all such risks.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1460" w:right="339" w:firstLine="335"/>
        <w:spacing w:after="0" w:line="270" w:lineRule="auto"/>
        <w:rPr>
          <w:sz w:val="20"/>
          <w:szCs w:val="20"/>
          <w:color w:val="auto"/>
        </w:rPr>
      </w:pPr>
      <w:r>
        <w:rPr>
          <w:rFonts w:ascii="Times New Roman" w:cs="Times New Roman" w:eastAsia="Times New Roman" w:hAnsi="Times New Roman"/>
          <w:sz w:val="13"/>
          <w:szCs w:val="13"/>
          <w:color w:val="auto"/>
        </w:rPr>
        <w:t>The following description summarizes the most important terms of our securities. The following summary does not purport to be complete and is subject to the Company’s restated certificate of incorporation (the “Certificate of Incorporation”) , the Bylaws of the Company (the “Bylaws”), the certificate of designations of the Company, designating the series of preferred stock, par value $0.0001 per share, of the Company as “Series A Preferred Stock”, filed with the Secretary of State of the State of Delaware on November 10, 2022 (the “Series A Certificate of Designations”), and the provisions of applicable law. Copies of the Certificate of Incorporation and the Bylaws are attached as exhibits to the registration statement of which this prospectus forms a part. The stockholders are encouraged to read the applicable provisions of the Delaware General Corporation Law, as amended (the “DGCL”), the Certificate of Incorporation and the Bylaws in their entirety for a complete description of the rights and preferences of our securities.</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89" w:lineRule="exact"/>
        <w:rPr>
          <w:sz w:val="20"/>
          <w:szCs w:val="20"/>
          <w:color w:val="auto"/>
        </w:rPr>
      </w:pPr>
    </w:p>
    <w:p>
      <w:pPr>
        <w:ind w:left="1460" w:right="359" w:firstLine="335"/>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authorizes the issuance of (i) 740,000,000 shares of Common Stock and (ii) 45,000,000 shares of Preferred Stock, of which 29,057,097 shares have been designated as Series A Preferred Stock. As of January 31, 2026, there were 8,491,267 shares of Common Stock and 29,057,097 shares of Series A Preferred Stock issued and outstanding.</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Certificate of Incorporation provides the following with respect to the rights, powers, preferences and privileges of our Common Stock.</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89"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The holders of our Common Stock are entitled to receive ratably those dividends, if any, that may be declared from time to time by our board of directors (the “Board”) upon the shares of our capital stock, which dividends may be paid either in cash, in property or in shares of our capital stock, subject to preferences that may be applicable to preferred stock, if any, then outstanding. Subject to applicable law and the Certificate of Incorporation, our Board will have full power to determine whether any dividends shall be declared and paid to stockholders.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89"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Each holder of our Common Stock will be entitled to one vote for each share of our Common Stock held of record by such holder on all matters on which stockholders generally are entitled to vote, except for any amendment to the Certificate of Incorporation that relates solely to the terms of one or more outstanding classes or series of our Preferred Stock if the holders of such affected classes or series are entitled, either separately or together with the holders of one or more other such classes or series, to vote thereon pursuant to the Certificate of Incorporation or the DGCL. Any action or matter presented to the stockholders at a duly called or convened meeting, at which a quorum is present, will be decided by the affirmative vote of the holders of a majority of the votes cast affirmatively or negatively (excluding abstentions) at the meeting by the holders entitled to vote thereon, except that our directors will be elected by a plurality of the votes cast.</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89" w:lineRule="exact"/>
        <w:rPr>
          <w:sz w:val="20"/>
          <w:szCs w:val="20"/>
          <w:color w:val="auto"/>
        </w:rPr>
      </w:pPr>
    </w:p>
    <w:p>
      <w:pPr>
        <w:ind w:left="1460" w:right="499" w:firstLine="335"/>
        <w:spacing w:after="0" w:line="266" w:lineRule="auto"/>
        <w:rPr>
          <w:sz w:val="20"/>
          <w:szCs w:val="20"/>
          <w:color w:val="auto"/>
        </w:rPr>
      </w:pPr>
      <w:r>
        <w:rPr>
          <w:rFonts w:ascii="Times New Roman" w:cs="Times New Roman" w:eastAsia="Times New Roman" w:hAnsi="Times New Roman"/>
          <w:sz w:val="14"/>
          <w:szCs w:val="14"/>
          <w:color w:val="auto"/>
        </w:rPr>
        <w:t>In the event of a liquidation, dissolution or winding up of the Company, the holders of our Common Stock will be entitled to share ratably in all assets remaining after payment of liabilities, subject to prior distribution rights of our Preferred Stock, if any, then outstanding.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89" w:lineRule="exact"/>
        <w:rPr>
          <w:sz w:val="20"/>
          <w:szCs w:val="20"/>
          <w:color w:val="auto"/>
        </w:rPr>
      </w:pPr>
    </w:p>
    <w:p>
      <w:pPr>
        <w:ind w:left="1460" w:right="619" w:firstLine="335"/>
        <w:spacing w:after="0" w:line="266" w:lineRule="auto"/>
        <w:rPr>
          <w:sz w:val="20"/>
          <w:szCs w:val="20"/>
          <w:color w:val="auto"/>
        </w:rPr>
      </w:pPr>
      <w:r>
        <w:rPr>
          <w:rFonts w:ascii="Times New Roman" w:cs="Times New Roman" w:eastAsia="Times New Roman" w:hAnsi="Times New Roman"/>
          <w:sz w:val="14"/>
          <w:szCs w:val="14"/>
          <w:color w:val="auto"/>
        </w:rPr>
        <w:t>Our Common Stock have no preemptive or conversion rights or other subscription rights. There are no redemption or sinking fund provisions applicable to our Common Stock.</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outstanding shares of our Common Stock are fully paid and non-assessable.</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9" w:lineRule="exact"/>
        <w:rPr>
          <w:sz w:val="20"/>
          <w:szCs w:val="20"/>
          <w:color w:val="auto"/>
        </w:rPr>
      </w:pPr>
    </w:p>
    <w:p>
      <w:pPr>
        <w:ind w:left="1460" w:right="479" w:firstLine="335"/>
        <w:spacing w:after="0" w:line="248" w:lineRule="auto"/>
        <w:rPr>
          <w:sz w:val="20"/>
          <w:szCs w:val="20"/>
          <w:color w:val="auto"/>
        </w:rPr>
      </w:pPr>
      <w:r>
        <w:rPr>
          <w:rFonts w:ascii="Times New Roman" w:cs="Times New Roman" w:eastAsia="Times New Roman" w:hAnsi="Times New Roman"/>
          <w:sz w:val="14"/>
          <w:szCs w:val="14"/>
          <w:color w:val="auto"/>
        </w:rPr>
        <w:t>The Certificate of Incorporation authorizes our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The number of authorized shares of our Common Stock and our Preferred Stock may be increased or decreased (but not below the number of the shares thereof then outstanding) by the affirmative vote of the holders of a majority in voting power of our outstanding stock entitled to vote thereon.</w:t>
      </w:r>
    </w:p>
    <w:p>
      <w:pPr>
        <w:spacing w:after="0" w:line="149" w:lineRule="exact"/>
        <w:rPr>
          <w:sz w:val="20"/>
          <w:szCs w:val="20"/>
          <w:color w:val="auto"/>
        </w:rPr>
      </w:pPr>
    </w:p>
    <w:p>
      <w:pPr>
        <w:ind w:left="1460" w:right="519" w:firstLine="335"/>
        <w:spacing w:after="0" w:line="252" w:lineRule="auto"/>
        <w:rPr>
          <w:sz w:val="20"/>
          <w:szCs w:val="20"/>
          <w:color w:val="auto"/>
        </w:rPr>
      </w:pPr>
      <w:r>
        <w:rPr>
          <w:rFonts w:ascii="Times New Roman" w:cs="Times New Roman" w:eastAsia="Times New Roman" w:hAnsi="Times New Roman"/>
          <w:sz w:val="14"/>
          <w:szCs w:val="14"/>
          <w:color w:val="auto"/>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w:t>
      </w:r>
    </w:p>
    <w:p>
      <w:pPr>
        <w:spacing w:after="0" w:line="145" w:lineRule="exact"/>
        <w:rPr>
          <w:sz w:val="20"/>
          <w:szCs w:val="20"/>
          <w:color w:val="auto"/>
        </w:rPr>
      </w:pPr>
    </w:p>
    <w:p>
      <w:pPr>
        <w:ind w:left="1460" w:right="419" w:firstLine="335"/>
        <w:spacing w:after="0" w:line="266" w:lineRule="auto"/>
        <w:rPr>
          <w:sz w:val="20"/>
          <w:szCs w:val="20"/>
          <w:color w:val="auto"/>
        </w:rPr>
      </w:pPr>
      <w:r>
        <w:rPr>
          <w:rFonts w:ascii="Times New Roman" w:cs="Times New Roman" w:eastAsia="Times New Roman" w:hAnsi="Times New Roman"/>
          <w:sz w:val="14"/>
          <w:szCs w:val="14"/>
          <w:color w:val="auto"/>
        </w:rPr>
        <w:t>We filed the Series A Certificate of Designations, which designated 29,057,097 shares of our preferred stock as “Series A Preferred Stock”, all of which are issued and outstanding as of January 31, 2026.</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Number and Designation</w:t>
      </w:r>
    </w:p>
    <w:p>
      <w:pPr>
        <w:spacing w:after="0" w:line="89"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As of January 31, 2026, 29,057,097 shares of the Series A Preferred Stock are held by SCLX Stock Acquisition JV LLC, our indirect wholly-owned subsidiary, which shares were repurchased from Sorrento pursuant to the terms of the Stock Purchase Agreement, dated September 21, 2023, entered into between us and Sorrento (the “Sorrento SPA”) and represent all of the shares of Series A Preferred Stock that were previously owned by Sorrento. The shares of Series A Preferred Stock have all of the rights, preferences and privileges set forth in the Series A Certificate of Designations as more fully described below.</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89"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The Series A Preferred Stock shall rank (i) senior to all of our Common Stock, and to all other classes or series of our capital stock, except for any such other class or series, the terms of which expressly provide that it ranks on parity with the Series A Preferred Stock as to dividend rights and rights on liquidation, dissolution or winding-up of the Company (“Junior Securities”); and (ii) on parity with each class or series of our capital stock, created specifically ranking by its terms on parity with the Series A Preferred Stock as to dividend rights and rights on liquidation, dissolution or winding-up of the Company (“Parity Securities”).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89" w:lineRule="exact"/>
        <w:rPr>
          <w:sz w:val="20"/>
          <w:szCs w:val="20"/>
          <w:color w:val="auto"/>
        </w:rPr>
      </w:pPr>
    </w:p>
    <w:p>
      <w:pPr>
        <w:ind w:left="1460" w:right="519" w:firstLine="335"/>
        <w:spacing w:after="0" w:line="266" w:lineRule="auto"/>
        <w:rPr>
          <w:sz w:val="20"/>
          <w:szCs w:val="20"/>
          <w:color w:val="auto"/>
        </w:rPr>
      </w:pPr>
      <w:r>
        <w:rPr>
          <w:rFonts w:ascii="Times New Roman" w:cs="Times New Roman" w:eastAsia="Times New Roman" w:hAnsi="Times New Roman"/>
          <w:sz w:val="14"/>
          <w:szCs w:val="14"/>
          <w:color w:val="auto"/>
        </w:rPr>
        <w:t>Holders of the Series A Preferred Stock shall not be entitled to dividends unless we pay dividends to holders of the Common Stock and shall be entitled to receive, when, as and if declared by our Board, such dividends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439"/>
        <w:spacing w:after="0" w:line="284" w:lineRule="auto"/>
        <w:rPr>
          <w:sz w:val="20"/>
          <w:szCs w:val="20"/>
          <w:color w:val="auto"/>
        </w:rPr>
      </w:pPr>
      <w:r>
        <w:rPr>
          <w:rFonts w:ascii="Times New Roman" w:cs="Times New Roman" w:eastAsia="Times New Roman" w:hAnsi="Times New Roman"/>
          <w:sz w:val="13"/>
          <w:szCs w:val="13"/>
          <w:color w:val="auto"/>
        </w:rPr>
        <w:t>(whether in cash or other property) as are paid to holders of our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2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89"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In the event of a change of control, liquidation, dissolution or winding-up of the Company, whether voluntary or involuntary, before any payment or distribution of our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the Company assuming that such share had been converted into shares of Common Stock in a Deemed Conversion (as defined below).</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Conversion and Redemption Rights</w:t>
      </w:r>
    </w:p>
    <w:p>
      <w:pPr>
        <w:spacing w:after="0" w:line="89"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The shares of Series A Preferred Stock will not be convertible into Common Stock or any of our other securities and will not be redeemable by the Company; provided, however, a number of the rights, preferences and privileges of the Series A Preferred Stock set forth in the Series A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Series A Certificate of Designation (a “Deemed Conversion”), whether in connection with a change of control or otherwise, shall be equal to the result obtained by dividing (i) stated value by (ii) $10.00 (subject to anti-dilution adjustments). As a result of certain anti-dilution adjustments, the conversion price of the Series A Preferred Stock as of the date of this prospectus is $31.50.</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Voting and Other Preferred Rights</w:t>
      </w:r>
    </w:p>
    <w:p>
      <w:pPr>
        <w:spacing w:after="0" w:line="89"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Except as otherwise required by law or as set forth in the Series A Certificate of Designations, the holders of shares of Series A Preferred Stock will be entitled to vote, together with the holders of shares of Common Stock and not separately as a class, on all matters upon which holders of shares of Common Stock have the right to vote. The holders of shares of Series A Preferred Stock will be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146"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3"/>
          <w:szCs w:val="13"/>
          <w:color w:val="auto"/>
        </w:rPr>
        <w:t>As long as any shares of Series A Preferred Stock are outstanding, we shall not, without the affirmative vote of the holders of at least a majority of the outstanding shares of Series A Preferred Stock (a) change the Series A Preferred Stock (whether by merger, consolidation, reclassification or otherwise) into cash, securities or other property except in accordance with the terms of the Series A Certificate of Designations; (b) create, authorize or issue any Parity Security or other equity security the terms of which provide that it ranks senior to the Series A Preferred Stock with respect to dividend rights or rights upon liquidation, dissolution or winding-up of the Company, or increase the authorized amount of any such other class or series; or</w:t>
      </w:r>
    </w:p>
    <w:p>
      <w:pPr>
        <w:spacing w:after="0" w:line="1" w:lineRule="exact"/>
        <w:rPr>
          <w:sz w:val="20"/>
          <w:szCs w:val="20"/>
          <w:color w:val="auto"/>
        </w:rPr>
      </w:pPr>
    </w:p>
    <w:p>
      <w:pPr>
        <w:ind w:left="1460" w:right="759" w:hanging="1"/>
        <w:spacing w:after="0" w:line="249" w:lineRule="auto"/>
        <w:tabs>
          <w:tab w:leader="none" w:pos="164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Certificate of Incorporation or the Series A Certificate of Designations in any manner that adversely affects the holders of Series A Preferred Stock.</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9"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Pursuant to the Amended and Restated Registration Rights Agreement, dated as of November 10, 2022, by and among us, Vickers Venture Fund VI Pte Ltd, Vickers Venture Fund VI (Plan) Pte Ltd, Sorrento</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79"/>
        <w:spacing w:after="0" w:line="247" w:lineRule="auto"/>
        <w:rPr>
          <w:sz w:val="20"/>
          <w:szCs w:val="20"/>
          <w:color w:val="auto"/>
        </w:rPr>
      </w:pPr>
      <w:r>
        <w:rPr>
          <w:rFonts w:ascii="Times New Roman" w:cs="Times New Roman" w:eastAsia="Times New Roman" w:hAnsi="Times New Roman"/>
          <w:sz w:val="14"/>
          <w:szCs w:val="14"/>
          <w:color w:val="auto"/>
        </w:rPr>
        <w:t>Therapeutics, Inc. and certain security holders set forth on the signature pages thereto (the “Registration Rights Agreement”), entered into in connection with the closing of the Business Combination, certain of our stockholders are able to demand that we register their registrable securities under certain circumstances and each also have piggyback registration rights for these securities. In addition, we are required to file and maintain an effective registration statement under the Securities Act covering the resale of all such registrable securities. We have filed a registration statement on Form S-1 (File No. 333-268603) which was initially declared effective by the SEC on December 27, 2022, in order to satisfy these obligations. The registration of these securities will enable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Anti-Takeover Matters in our Governing Documents and Under Delaware Law</w:t>
      </w:r>
    </w:p>
    <w:p>
      <w:pPr>
        <w:spacing w:after="0" w:line="89"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Certain provisions of Delaware law, along with the Certificate of Incorporation and the Bylaws, all of which are summarized below,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our Common Stock at prices higher than prevailing market prices.</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89"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the rules and listing standards of The Nasdaq Stock Market LLC.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Impact of the Equity Repurchase Transaction on Provisions Related to a Sorrento Trigger Event</w:t>
      </w:r>
    </w:p>
    <w:p>
      <w:pPr>
        <w:spacing w:after="0" w:line="89"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Certain provisions of our Certificate of Incorporation related to the number of authorized directors, filling vacancies on the Board, removal of directors, stockholder actions by written consent, calling of special meetings of our stockholders, our election to not be governed by Section 203 of the DGCL and amendments to our Certificate of Incorporation and our Bylaws lapse upon or are triggered at the time Sorrento Therapeutics, Inc. (“Sorrento”, together with its affiliates, subsidiaries, successors and assigns (other than us and our subsidiaries)) first ceases to beneficially own more than 50% in voting power of the then-outstanding shares of our capital stock entitled to vote generally in the election of directors (the “Sorrento Trigger Event”). Upon the closing of the equity repurchase transaction pursuant to the Sorrento SPA in which we purchased from Sorrento (i) 1,716,245 shares of Common Stock, (ii) 29,057,097 shares of Series A Preferred Stock, and (iii) warrants exercisable for 128,304 shares of Common Stock, each with an exercise price of $402.50 per whole share (the “Equity Repurchase Transaction”),, a Sorrento Trigger Event occurred. The disclosures below related to the foregoing provisions are based on the occurrence of such event.</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89"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The Certificate of Incorporation provides that our Board is divided into three classes, with the classes as nearly equal in number as practical and each class serving three-year staggered terms. The directors in each class serve for a three-year term, with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Certificate of Incorporation also provides that the total number of directors shall be determined from time to time exclusively by our Board.</w:t>
      </w:r>
    </w:p>
    <w:p>
      <w:pPr>
        <w:spacing w:after="0" w:line="25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89" w:lineRule="exact"/>
        <w:rPr>
          <w:sz w:val="20"/>
          <w:szCs w:val="20"/>
          <w:color w:val="auto"/>
        </w:rPr>
      </w:pPr>
    </w:p>
    <w:p>
      <w:pPr>
        <w:jc w:val="both"/>
        <w:ind w:left="1460" w:right="459" w:firstLine="335"/>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provides that, except as otherwise required by law or the Certificate of Incorporation, directors may be removed only for cause and only by the affirmative vote of the holders of at least 66 2/3% in voting power of all the then-outstanding shares of our capital stock entitled to vote thereon, voting together as a single class, in each case subject to the rights of holders of any series of Preferred Stock.</w:t>
      </w:r>
    </w:p>
    <w:p>
      <w:pPr>
        <w:spacing w:after="0" w:line="143"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except as otherwise provided therein or by law, any vacancy resulting from the death, resignation, removal or disqualification of a director or other cause, or any newly created directorship in our Board, shall be filled only by a majority of the directors then in office, although less than a quorum, and shall not be filled by our stockholders, in each case subject to the rights of the holders of any series of Preferred Stock.</w:t>
      </w:r>
    </w:p>
    <w:p>
      <w:pPr>
        <w:spacing w:after="0" w:line="145" w:lineRule="exact"/>
        <w:rPr>
          <w:sz w:val="20"/>
          <w:szCs w:val="20"/>
          <w:color w:val="auto"/>
        </w:rPr>
      </w:pPr>
    </w:p>
    <w:p>
      <w:pPr>
        <w:ind w:left="1460" w:right="479" w:firstLine="335"/>
        <w:spacing w:after="0" w:line="266" w:lineRule="auto"/>
        <w:rPr>
          <w:sz w:val="20"/>
          <w:szCs w:val="20"/>
          <w:color w:val="auto"/>
        </w:rPr>
      </w:pPr>
      <w:r>
        <w:rPr>
          <w:rFonts w:ascii="Times New Roman" w:cs="Times New Roman" w:eastAsia="Times New Roman" w:hAnsi="Times New Roman"/>
          <w:sz w:val="14"/>
          <w:szCs w:val="14"/>
          <w:color w:val="auto"/>
        </w:rPr>
        <w:t>These provisions may have the effect of deferring, delaying, or discouraging hostile takeovers, changes in control of the Company or changes in our management.</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Certificate of Incorporation provides that we are governed by Section 203 of the DGCL.</w:t>
      </w:r>
    </w:p>
    <w:p>
      <w:pPr>
        <w:spacing w:after="0" w:line="167" w:lineRule="exact"/>
        <w:rPr>
          <w:sz w:val="20"/>
          <w:szCs w:val="20"/>
          <w:color w:val="auto"/>
        </w:rPr>
      </w:pPr>
    </w:p>
    <w:p>
      <w:pPr>
        <w:jc w:val="both"/>
        <w:ind w:left="1460" w:right="559" w:firstLine="335"/>
        <w:spacing w:after="0" w:line="269" w:lineRule="auto"/>
        <w:rPr>
          <w:sz w:val="20"/>
          <w:szCs w:val="20"/>
          <w:color w:val="auto"/>
        </w:rPr>
      </w:pPr>
      <w:r>
        <w:rPr>
          <w:rFonts w:ascii="Times New Roman" w:cs="Times New Roman" w:eastAsia="Times New Roman" w:hAnsi="Times New Roman"/>
          <w:sz w:val="13"/>
          <w:szCs w:val="13"/>
          <w:color w:val="auto"/>
        </w:rPr>
        <w:t>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w:t>
      </w:r>
    </w:p>
    <w:p>
      <w:pPr>
        <w:spacing w:after="0" w:line="1" w:lineRule="exact"/>
        <w:rPr>
          <w:sz w:val="20"/>
          <w:szCs w:val="20"/>
          <w:color w:val="auto"/>
        </w:rPr>
      </w:pPr>
    </w:p>
    <w:p>
      <w:pPr>
        <w:ind w:left="1460" w:right="479"/>
        <w:spacing w:after="0" w:line="245" w:lineRule="auto"/>
        <w:rPr>
          <w:sz w:val="20"/>
          <w:szCs w:val="20"/>
          <w:color w:val="auto"/>
        </w:rPr>
      </w:pPr>
      <w:r>
        <w:rPr>
          <w:rFonts w:ascii="Times New Roman" w:cs="Times New Roman" w:eastAsia="Times New Roman" w:hAnsi="Times New Roman"/>
          <w:sz w:val="14"/>
          <w:szCs w:val="14"/>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spacing w:after="0" w:line="151" w:lineRule="exact"/>
        <w:rPr>
          <w:sz w:val="20"/>
          <w:szCs w:val="20"/>
          <w:color w:val="auto"/>
        </w:rPr>
      </w:pPr>
    </w:p>
    <w:p>
      <w:pPr>
        <w:jc w:val="both"/>
        <w:ind w:left="1460" w:right="459" w:firstLine="335"/>
        <w:spacing w:after="0" w:line="284" w:lineRule="auto"/>
        <w:rPr>
          <w:sz w:val="20"/>
          <w:szCs w:val="20"/>
          <w:color w:val="auto"/>
        </w:rPr>
      </w:pPr>
      <w:r>
        <w:rPr>
          <w:rFonts w:ascii="Times New Roman" w:cs="Times New Roman" w:eastAsia="Times New Roman" w:hAnsi="Times New Roman"/>
          <w:sz w:val="13"/>
          <w:szCs w:val="13"/>
          <w:color w:val="auto"/>
        </w:rPr>
        <w:t>The Certificate of Incorporation provides that the restrictions on business combination of Section 203 of the DGCL will not apply to Sorrento or its current or future Affiliates (as defined in the Certificate of Incorporation) regardless of the percentage of ownership of the total voting power of all the then-outstanding shares of our capital stock entitled to vote generally in the election of directors beneficially owned by them.</w:t>
      </w:r>
    </w:p>
    <w:p>
      <w:pPr>
        <w:spacing w:after="0" w:line="2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89"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The Certificate of Incorporation does not authorize cumulative voting. Therefore, stockholders holding a majority of the shares of our capital stock entitled to vote generally in the election of directors will be able to elect all of our directors.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89" w:lineRule="exact"/>
        <w:rPr>
          <w:sz w:val="20"/>
          <w:szCs w:val="20"/>
          <w:color w:val="auto"/>
        </w:rPr>
      </w:pPr>
    </w:p>
    <w:p>
      <w:pPr>
        <w:jc w:val="both"/>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The Certificate of Incorporation provides that special meetings of stockholders may only be called by order of the Chairperson of our Board, our Board or the Chief Executive Officer, subject to the rights of the holders of any series of Preferred Stock with respect to such series of preferred stock. The Bylaws prohibit the conduct of any business at a special meeting other than as specified in the notice for such meeting. These provisions may have the effect of deferring, delaying, or discouraging hostile takeovers or changes in control or management.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89" w:lineRule="exact"/>
        <w:rPr>
          <w:sz w:val="20"/>
          <w:szCs w:val="20"/>
          <w:color w:val="auto"/>
        </w:rPr>
      </w:pPr>
    </w:p>
    <w:p>
      <w:pPr>
        <w:jc w:val="both"/>
        <w:ind w:left="1460" w:right="439" w:firstLine="335"/>
        <w:spacing w:after="0" w:line="255" w:lineRule="auto"/>
        <w:rPr>
          <w:sz w:val="20"/>
          <w:szCs w:val="20"/>
          <w:color w:val="auto"/>
        </w:rPr>
      </w:pPr>
      <w:r>
        <w:rPr>
          <w:rFonts w:ascii="Times New Roman" w:cs="Times New Roman" w:eastAsia="Times New Roman" w:hAnsi="Times New Roman"/>
          <w:sz w:val="14"/>
          <w:szCs w:val="14"/>
          <w:color w:val="auto"/>
        </w:rPr>
        <w:t>The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advance notice requirements and provide us with certain information.</w:t>
      </w:r>
    </w:p>
    <w:p>
      <w:pPr>
        <w:spacing w:after="0" w:line="143" w:lineRule="exact"/>
        <w:rPr>
          <w:sz w:val="20"/>
          <w:szCs w:val="20"/>
          <w:color w:val="auto"/>
        </w:rPr>
      </w:pPr>
    </w:p>
    <w:p>
      <w:pPr>
        <w:ind w:left="1460" w:right="439" w:firstLine="335"/>
        <w:spacing w:after="0" w:line="267" w:lineRule="auto"/>
        <w:rPr>
          <w:sz w:val="20"/>
          <w:szCs w:val="20"/>
          <w:color w:val="auto"/>
        </w:rPr>
      </w:pPr>
      <w:r>
        <w:rPr>
          <w:rFonts w:ascii="Times New Roman" w:cs="Times New Roman" w:eastAsia="Times New Roman" w:hAnsi="Times New Roman"/>
          <w:sz w:val="13"/>
          <w:szCs w:val="13"/>
          <w:color w:val="auto"/>
        </w:rPr>
        <w:t>Generally, to be timely, a stockholder’s notice must be delivered to our secretary at our principal executive offices not earlier than the close of business on the 120th day nor later than the close of business on the 90th day prior to the first anniversary of the preceding year’s annual meeting;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w:t>
      </w:r>
    </w:p>
    <w:p>
      <w:pPr>
        <w:spacing w:after="0" w:line="1" w:lineRule="exact"/>
        <w:rPr>
          <w:sz w:val="20"/>
          <w:szCs w:val="20"/>
          <w:color w:val="auto"/>
        </w:rPr>
      </w:pPr>
    </w:p>
    <w:p>
      <w:pPr>
        <w:ind w:left="1460" w:right="339"/>
        <w:spacing w:after="0" w:line="245" w:lineRule="auto"/>
        <w:rPr>
          <w:sz w:val="20"/>
          <w:szCs w:val="20"/>
          <w:color w:val="auto"/>
        </w:rPr>
      </w:pPr>
      <w:r>
        <w:rPr>
          <w:rFonts w:ascii="Times New Roman" w:cs="Times New Roman" w:eastAsia="Times New Roman" w:hAnsi="Times New Roman"/>
          <w:sz w:val="14"/>
          <w:szCs w:val="14"/>
          <w:color w:val="auto"/>
        </w:rPr>
        <w:t>the 90th day prior to such annual meeting and the 10th day following the day on which public announcement of the date of such meeting is first made by us. The Bylaws also specify requirements as to the form and content of a stockholder’s notice. The Bylaws allow any previously scheduled meeting of stockholders to be postponed, adjourned or canceled by resolution of our Board. In addition, the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89" w:lineRule="exact"/>
        <w:rPr>
          <w:sz w:val="20"/>
          <w:szCs w:val="20"/>
          <w:color w:val="auto"/>
        </w:rPr>
      </w:pPr>
    </w:p>
    <w:p>
      <w:pPr>
        <w:jc w:val="both"/>
        <w:ind w:left="1460" w:right="779" w:firstLine="335"/>
        <w:spacing w:after="0" w:line="255" w:lineRule="auto"/>
        <w:rPr>
          <w:sz w:val="20"/>
          <w:szCs w:val="20"/>
          <w:color w:val="auto"/>
        </w:rPr>
      </w:pPr>
      <w:r>
        <w:rPr>
          <w:rFonts w:ascii="Times New Roman" w:cs="Times New Roman" w:eastAsia="Times New Roman" w:hAnsi="Times New Roman"/>
          <w:sz w:val="14"/>
          <w:szCs w:val="14"/>
          <w:color w:val="auto"/>
        </w:rPr>
        <w:t>Pursuant to Section 228 of the DGCL and the terms of the Certificate of Incorporation, any action required or permitted to be taken by our stockholders must be effected by a duly called annual or special meeting of such stockholders, subject to the rights of the holders of any series of Preferred Stock with respect to such series of preferred stock.</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89" w:lineRule="exact"/>
        <w:rPr>
          <w:sz w:val="20"/>
          <w:szCs w:val="20"/>
          <w:color w:val="auto"/>
        </w:rPr>
      </w:pPr>
    </w:p>
    <w:p>
      <w:pPr>
        <w:ind w:left="1460" w:right="479" w:firstLine="335"/>
        <w:spacing w:after="0" w:line="255"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43" w:lineRule="exact"/>
        <w:rPr>
          <w:sz w:val="20"/>
          <w:szCs w:val="20"/>
          <w:color w:val="auto"/>
        </w:rPr>
      </w:pPr>
    </w:p>
    <w:p>
      <w:pPr>
        <w:ind w:left="1460" w:right="359" w:firstLine="335"/>
        <w:spacing w:after="0" w:line="271" w:lineRule="auto"/>
        <w:rPr>
          <w:sz w:val="20"/>
          <w:szCs w:val="20"/>
          <w:color w:val="auto"/>
        </w:rPr>
      </w:pPr>
      <w:r>
        <w:rPr>
          <w:rFonts w:ascii="Times New Roman" w:cs="Times New Roman" w:eastAsia="Times New Roman" w:hAnsi="Times New Roman"/>
          <w:sz w:val="13"/>
          <w:szCs w:val="13"/>
          <w:color w:val="auto"/>
        </w:rPr>
        <w:t>The Certificate of Incorporation provides that the affirmative vote of the holders of at least 66 2/3% of the voting power of the then-outstanding shares of our capital stock entitled to vote thereon, voting together as a single class, will be required to alter, amend or repeal the following provisions of the Certificate of Incorporation: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w:t>
      </w:r>
    </w:p>
    <w:p>
      <w:pPr>
        <w:spacing w:after="0" w:line="136" w:lineRule="exact"/>
        <w:rPr>
          <w:sz w:val="20"/>
          <w:szCs w:val="20"/>
          <w:color w:val="auto"/>
        </w:rPr>
      </w:pPr>
    </w:p>
    <w:p>
      <w:pPr>
        <w:jc w:val="both"/>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our Board is authorized to make, alter and repeal the Bylaws, without the consent or vote of the stockholders, by an approval of a majority of the total authorized number of directors. The affirmative vote of the holders of at least 66 2/3% of the voting power of the then-outstanding shares of our capital stock entitled to vote thereon, voting together as a single class, will be required to alter, amend or repeal the Bylaws.</w:t>
      </w:r>
    </w:p>
    <w:p>
      <w:pPr>
        <w:spacing w:after="0" w:line="145" w:lineRule="exact"/>
        <w:rPr>
          <w:sz w:val="20"/>
          <w:szCs w:val="20"/>
          <w:color w:val="auto"/>
        </w:rPr>
      </w:pPr>
    </w:p>
    <w:p>
      <w:pPr>
        <w:jc w:val="both"/>
        <w:ind w:left="1460" w:right="399" w:firstLine="335"/>
        <w:spacing w:after="0" w:line="266" w:lineRule="auto"/>
        <w:rPr>
          <w:sz w:val="20"/>
          <w:szCs w:val="20"/>
          <w:color w:val="auto"/>
        </w:rPr>
      </w:pPr>
      <w:r>
        <w:rPr>
          <w:rFonts w:ascii="Times New Roman" w:cs="Times New Roman" w:eastAsia="Times New Roman" w:hAnsi="Times New Roman"/>
          <w:sz w:val="14"/>
          <w:szCs w:val="14"/>
          <w:color w:val="auto"/>
        </w:rPr>
        <w:t>The provisions of the DGCL, the Certificate of Incorporation and the Bylaws could have the effect of discouraging others from attempting hostile takeovers and, as a consequence, they may also inhibit temporary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jc w:val="both"/>
        <w:ind w:left="1460" w:right="619"/>
        <w:spacing w:after="0" w:line="255" w:lineRule="auto"/>
        <w:rPr>
          <w:sz w:val="20"/>
          <w:szCs w:val="20"/>
          <w:color w:val="auto"/>
        </w:rPr>
      </w:pPr>
      <w:r>
        <w:rPr>
          <w:rFonts w:ascii="Times New Roman" w:cs="Times New Roman" w:eastAsia="Times New Roman" w:hAnsi="Times New Roman"/>
          <w:sz w:val="14"/>
          <w:szCs w:val="14"/>
          <w:color w:val="auto"/>
        </w:rPr>
        <w:t>fluctuations in the market price of our Common Stock that often result from actual or rumored hostile takeover attempts. These provisions may also have the effect of preventing changes in the composition of our Board and our management. It is possible that these provisions could make it more difficult to accomplish transactions that stockholders may otherwise deem to be in their best interests.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89" w:lineRule="exact"/>
        <w:rPr>
          <w:sz w:val="20"/>
          <w:szCs w:val="20"/>
          <w:color w:val="auto"/>
        </w:rPr>
      </w:pPr>
    </w:p>
    <w:p>
      <w:pPr>
        <w:ind w:left="1460" w:right="359" w:firstLine="335"/>
        <w:spacing w:after="0" w:line="246" w:lineRule="auto"/>
        <w:rPr>
          <w:sz w:val="20"/>
          <w:szCs w:val="20"/>
          <w:color w:val="auto"/>
        </w:rPr>
      </w:pPr>
      <w:r>
        <w:rPr>
          <w:rFonts w:ascii="Times New Roman" w:cs="Times New Roman" w:eastAsia="Times New Roman" w:hAnsi="Times New Roman"/>
          <w:sz w:val="14"/>
          <w:szCs w:val="14"/>
          <w:color w:val="auto"/>
        </w:rPr>
        <w:t>The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the Company,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w:t>
      </w:r>
    </w:p>
    <w:p>
      <w:pPr>
        <w:spacing w:after="0" w:line="154" w:lineRule="exact"/>
        <w:rPr>
          <w:sz w:val="20"/>
          <w:szCs w:val="20"/>
          <w:color w:val="auto"/>
        </w:rPr>
      </w:pPr>
    </w:p>
    <w:p>
      <w:pPr>
        <w:ind w:left="1460" w:right="359" w:firstLine="335"/>
        <w:spacing w:after="0" w:line="255"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43" w:lineRule="exact"/>
        <w:rPr>
          <w:sz w:val="20"/>
          <w:szCs w:val="20"/>
          <w:color w:val="auto"/>
        </w:rPr>
      </w:pPr>
    </w:p>
    <w:p>
      <w:pPr>
        <w:ind w:left="1460" w:right="339" w:firstLine="335"/>
        <w:spacing w:after="0" w:line="269" w:lineRule="auto"/>
        <w:rPr>
          <w:sz w:val="20"/>
          <w:szCs w:val="20"/>
          <w:color w:val="auto"/>
        </w:rPr>
      </w:pPr>
      <w:r>
        <w:rPr>
          <w:rFonts w:ascii="Times New Roman" w:cs="Times New Roman" w:eastAsia="Times New Roman" w:hAnsi="Times New Roman"/>
          <w:sz w:val="13"/>
          <w:szCs w:val="13"/>
          <w:color w:val="auto"/>
        </w:rPr>
        <w:t>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the Certificate of Incorporation to be inapplicable or unenforceable in such action. We may incur additional costs associated with resolving such action in other jurisdictions, which could harm our business, operating results and financial condition. Any person or entity purchasing or otherwise acquiring any interest in shares of our capital stock shall be deemed to have notice of and consented to the forum provisions in the Certificate of Incorporation.</w:t>
      </w:r>
    </w:p>
    <w:p>
      <w:pPr>
        <w:spacing w:after="0" w:line="2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 and Indemnification of Directors and Officers</w:t>
      </w:r>
    </w:p>
    <w:p>
      <w:pPr>
        <w:spacing w:after="0" w:line="89" w:lineRule="exact"/>
        <w:rPr>
          <w:sz w:val="20"/>
          <w:szCs w:val="20"/>
          <w:color w:val="auto"/>
        </w:rPr>
      </w:pPr>
    </w:p>
    <w:p>
      <w:pPr>
        <w:ind w:left="1460" w:right="419" w:firstLine="335"/>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and the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72" w:lineRule="exact"/>
        <w:rPr>
          <w:sz w:val="20"/>
          <w:szCs w:val="20"/>
          <w:color w:val="auto"/>
        </w:rPr>
      </w:pPr>
    </w:p>
    <w:p>
      <w:pPr>
        <w:ind w:left="2200" w:hanging="331"/>
        <w:spacing w:after="0"/>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us or our stockholders;</w:t>
      </w:r>
    </w:p>
    <w:p>
      <w:pPr>
        <w:spacing w:after="0" w:line="95" w:lineRule="exact"/>
        <w:rPr>
          <w:rFonts w:ascii="Times New Roman" w:cs="Times New Roman" w:eastAsia="Times New Roman" w:hAnsi="Times New Roman"/>
          <w:sz w:val="14"/>
          <w:szCs w:val="14"/>
          <w:color w:val="auto"/>
        </w:rPr>
      </w:pPr>
    </w:p>
    <w:p>
      <w:pPr>
        <w:ind w:left="5580" w:right="2279" w:hanging="3711"/>
        <w:spacing w:after="0" w:line="435" w:lineRule="auto"/>
        <w:tabs>
          <w:tab w:leader="none" w:pos="220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 17</w:t>
      </w:r>
    </w:p>
    <w:p>
      <w:pPr>
        <w:sectPr>
          <w:pgSz w:w="11900" w:h="16838" w:orient="portrait"/>
          <w:cols w:equalWidth="0" w:num="1">
            <w:col w:w="10159"/>
          </w:cols>
          <w:pgMar w:left="300" w:top="37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payments of dividends or unlawful stock repurchases or redemptions in violation of the DGCL; or</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67" w:lineRule="exact"/>
        <w:rPr>
          <w:sz w:val="20"/>
          <w:szCs w:val="20"/>
          <w:color w:val="auto"/>
        </w:rPr>
      </w:pPr>
    </w:p>
    <w:p>
      <w:pPr>
        <w:ind w:left="1460" w:right="479" w:firstLine="335"/>
        <w:spacing w:after="0" w:line="266" w:lineRule="auto"/>
        <w:rPr>
          <w:sz w:val="20"/>
          <w:szCs w:val="20"/>
          <w:color w:val="auto"/>
        </w:rPr>
      </w:pPr>
      <w:r>
        <w:rPr>
          <w:rFonts w:ascii="Times New Roman" w:cs="Times New Roman" w:eastAsia="Times New Roman" w:hAnsi="Times New Roman"/>
          <w:sz w:val="14"/>
          <w:szCs w:val="14"/>
          <w:color w:val="auto"/>
        </w:rPr>
        <w:t>The Certificate of Incorporation also provides that if the DGCL is amended to permit further elimination or limitation of the personal liability of directors, then the liability of our directors will be eliminated or limited to the fullest extent permitted by the DGCL, as so amended.</w:t>
      </w:r>
    </w:p>
    <w:p>
      <w:pPr>
        <w:spacing w:after="0" w:line="136" w:lineRule="exact"/>
        <w:rPr>
          <w:sz w:val="20"/>
          <w:szCs w:val="20"/>
          <w:color w:val="auto"/>
        </w:rPr>
      </w:pPr>
    </w:p>
    <w:p>
      <w:pPr>
        <w:ind w:left="1460" w:right="359" w:firstLine="335"/>
        <w:spacing w:after="0" w:line="266" w:lineRule="auto"/>
        <w:rPr>
          <w:sz w:val="20"/>
          <w:szCs w:val="20"/>
          <w:color w:val="auto"/>
        </w:rPr>
      </w:pPr>
      <w:r>
        <w:rPr>
          <w:rFonts w:ascii="Times New Roman" w:cs="Times New Roman" w:eastAsia="Times New Roman" w:hAnsi="Times New Roman"/>
          <w:sz w:val="13"/>
          <w:szCs w:val="13"/>
          <w:color w:val="auto"/>
        </w:rPr>
        <w:t>The Bylaws provide that we shall indemnify any person who is or was a director or officer of the Company or who is or was serving at our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a director, officer, employee or agent of the Company or is or was a director, officer, employee or agent of the Company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w:t>
      </w:r>
    </w:p>
    <w:p>
      <w:pPr>
        <w:spacing w:after="0" w:line="141"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executive officers and certain other employees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Our Board believes that these agreements are necessary to attract and retain qualified individuals to serve as directors and executive officers.</w:t>
      </w:r>
    </w:p>
    <w:p>
      <w:pPr>
        <w:spacing w:after="0" w:line="146" w:lineRule="exact"/>
        <w:rPr>
          <w:sz w:val="20"/>
          <w:szCs w:val="20"/>
          <w:color w:val="auto"/>
        </w:rPr>
      </w:pPr>
    </w:p>
    <w:p>
      <w:pPr>
        <w:ind w:left="1460" w:right="399" w:firstLine="335"/>
        <w:spacing w:after="0" w:line="255" w:lineRule="auto"/>
        <w:rPr>
          <w:sz w:val="20"/>
          <w:szCs w:val="20"/>
          <w:color w:val="auto"/>
        </w:rPr>
      </w:pPr>
      <w:r>
        <w:rPr>
          <w:rFonts w:ascii="Times New Roman" w:cs="Times New Roman" w:eastAsia="Times New Roman" w:hAnsi="Times New Roman"/>
          <w:sz w:val="14"/>
          <w:szCs w:val="14"/>
          <w:color w:val="auto"/>
        </w:rPr>
        <w:t>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is a part.</w:t>
      </w:r>
    </w:p>
    <w:p>
      <w:pPr>
        <w:spacing w:after="0" w:line="143" w:lineRule="exact"/>
        <w:rPr>
          <w:sz w:val="20"/>
          <w:szCs w:val="20"/>
          <w:color w:val="auto"/>
        </w:rPr>
      </w:pPr>
    </w:p>
    <w:p>
      <w:pPr>
        <w:ind w:left="1460" w:right="479" w:firstLine="335"/>
        <w:spacing w:after="0" w:line="266" w:lineRule="auto"/>
        <w:rPr>
          <w:sz w:val="20"/>
          <w:szCs w:val="20"/>
          <w:color w:val="auto"/>
        </w:rPr>
      </w:pPr>
      <w:r>
        <w:rPr>
          <w:rFonts w:ascii="Times New Roman" w:cs="Times New Roman" w:eastAsia="Times New Roman" w:hAnsi="Times New Roman"/>
          <w:sz w:val="14"/>
          <w:szCs w:val="14"/>
          <w:color w:val="auto"/>
        </w:rPr>
        <w:t>Certain of our non-employee directors may, through their relationships with their employers, be insured or indemnified against certain liabilities incurred in their capacity as members of our Board.</w:t>
      </w:r>
    </w:p>
    <w:p>
      <w:pPr>
        <w:spacing w:after="0" w:line="136" w:lineRule="exact"/>
        <w:rPr>
          <w:sz w:val="20"/>
          <w:szCs w:val="20"/>
          <w:color w:val="auto"/>
        </w:rPr>
      </w:pPr>
    </w:p>
    <w:p>
      <w:pPr>
        <w:ind w:left="1460" w:right="399" w:firstLine="335"/>
        <w:spacing w:after="0" w:line="271" w:lineRule="auto"/>
        <w:rPr>
          <w:sz w:val="20"/>
          <w:szCs w:val="20"/>
          <w:color w:val="auto"/>
        </w:rPr>
      </w:pPr>
      <w:r>
        <w:rPr>
          <w:rFonts w:ascii="Times New Roman" w:cs="Times New Roman" w:eastAsia="Times New Roman" w:hAnsi="Times New Roman"/>
          <w:sz w:val="13"/>
          <w:szCs w:val="13"/>
          <w:color w:val="auto"/>
        </w:rPr>
        <w:t>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89" w:lineRule="exact"/>
        <w:rPr>
          <w:sz w:val="20"/>
          <w:szCs w:val="20"/>
          <w:color w:val="auto"/>
        </w:rPr>
      </w:pPr>
    </w:p>
    <w:p>
      <w:pPr>
        <w:ind w:left="1460" w:right="359" w:firstLine="335"/>
        <w:spacing w:after="0" w:line="246"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The Certificate of Incorporation provides that, to the fullest extent permitted by law, no Identified Person (as defined therein)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is engaged in the same or similar business activities as we or our affiliates are engaged in or competes with us or our affiliates. In addition, to the fullest extent permitted by law, no Identified Person will have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Subject to the preceding sentences and to the fullest extent permitted by applicable law, neither we nor any of our subsidiaries shall have any rights in any business interests, activities or ventures of any Identified Person, and we waive and renounce any interest or expectancy therein, except with respect to opportunities offered solely and expressly to our officers in their capacity as such.</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Rights of Appraisal and Payment</w:t>
      </w:r>
    </w:p>
    <w:p>
      <w:pPr>
        <w:spacing w:after="0" w:line="89" w:lineRule="exact"/>
        <w:rPr>
          <w:sz w:val="20"/>
          <w:szCs w:val="20"/>
          <w:color w:val="auto"/>
        </w:rPr>
      </w:pPr>
    </w:p>
    <w:p>
      <w:pPr>
        <w:ind w:left="1460" w:right="639" w:firstLine="335"/>
        <w:spacing w:after="0" w:line="252"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89" w:lineRule="exact"/>
        <w:rPr>
          <w:sz w:val="20"/>
          <w:szCs w:val="20"/>
          <w:color w:val="auto"/>
        </w:rPr>
      </w:pPr>
    </w:p>
    <w:p>
      <w:pPr>
        <w:ind w:left="1460" w:right="699" w:firstLine="335"/>
        <w:spacing w:after="0" w:line="255"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the Company’s name to procure a judgment in its favor, also known as a derivative action, provided that the stockholder bringing the action is a holder of our capital stock at the time of the transaction to which the action relates.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SPAC Warrants</w:t>
      </w:r>
    </w:p>
    <w:p>
      <w:pPr>
        <w:spacing w:after="0" w:line="89"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At the effective time of the Domestication, each warrant to purchase Vickers Ordinary Shares that was issued and outstanding immediately prior to the effective time of the Domestication and not terminated pursuant to its terms was converted into a warrant to purchase shares of our Common Stock on the same terms and conditions as are in effect with respect to such warrant immediately prior to the effective time of the Domestication. As of January 31, 2026, there were 6,968,204 SPAC Warrants outstanding, which are currently exercisable for an aggregate of up to 198,807 shares of Common Stock.</w:t>
      </w:r>
    </w:p>
    <w:p>
      <w:pPr>
        <w:spacing w:after="0" w:line="146"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“SPAC Warrants” consist of (i) 5,555,249 redeemable warrants that were included in the Units (each of which consisted of one Vickers Ordinary Share and one-half of one redeemable warrant) that entitle the holder of each whole warrant to purchase one Vickers Ordinary Share at a price of $11.50 per share (the “Public Warrants”), and (ii) 1,402,955 warrants sold in a private placement to Vickers Venture Fund VI Pte Ltd and Vickers Venture Fund VI (Plan) Pte Ltd consummated on January 11, 2021 (the “Private Warrants”).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89" w:lineRule="exact"/>
        <w:rPr>
          <w:sz w:val="20"/>
          <w:szCs w:val="20"/>
          <w:color w:val="auto"/>
        </w:rPr>
      </w:pPr>
    </w:p>
    <w:p>
      <w:pPr>
        <w:ind w:left="1460" w:right="359" w:firstLine="335"/>
        <w:spacing w:after="0" w:line="219" w:lineRule="auto"/>
        <w:rPr>
          <w:sz w:val="20"/>
          <w:szCs w:val="20"/>
          <w:color w:val="auto"/>
        </w:rPr>
      </w:pPr>
      <w:r>
        <w:rPr>
          <w:rFonts w:ascii="Times New Roman" w:cs="Times New Roman" w:eastAsia="Times New Roman" w:hAnsi="Times New Roman"/>
          <w:sz w:val="14"/>
          <w:szCs w:val="14"/>
          <w:color w:val="auto"/>
        </w:rPr>
        <w:t>Each Public Warrant entitles the registered holder thereof to purchase 1/35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of a share of our Common Stock at a price of $402.50 per whole share, subject to adjustment as described in the Warrant Agreement. Pursuant to the Warrant Agreement, a Public Warrant holder may exercise its Public Warrants only for a whole number of shares of Common Stock. We may, in our sole discretion, lower the warrant exercise price at any time</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719"/>
        <w:spacing w:after="0" w:line="266" w:lineRule="auto"/>
        <w:rPr>
          <w:sz w:val="20"/>
          <w:szCs w:val="20"/>
          <w:color w:val="auto"/>
        </w:rPr>
      </w:pPr>
      <w:r>
        <w:rPr>
          <w:rFonts w:ascii="Times New Roman" w:cs="Times New Roman" w:eastAsia="Times New Roman" w:hAnsi="Times New Roman"/>
          <w:sz w:val="14"/>
          <w:szCs w:val="14"/>
          <w:color w:val="auto"/>
        </w:rPr>
        <w:t>prior to the expiration date for a period of not less than 20 business days and any such reduction will be applied consistently to all of the warrants, provided that we will provide at least 20 days’ prior written notice to registered holders of the warrants.</w:t>
      </w:r>
    </w:p>
    <w:p>
      <w:pPr>
        <w:spacing w:after="0" w:line="136"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However, no Public Warrants will be exercisable for cash unless we have an effective and current registration statement covering the issuance of the Common Stock issuable upon exercise of the warrants and a current prospectus relating to such Common Stock. Notwithstanding the foregoing, if a registration statement covering the issuance of the Common Stock issuable upon exercise of the Public Warrants is not effective within 90 days from the consummation of the Business Combination, warrantholders may, from the 91st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w:t>
      </w:r>
    </w:p>
    <w:p>
      <w:pPr>
        <w:spacing w:after="0" w:line="149"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The warrants will expire five years from the consummation of the Business Combination (i.e., November 10, 2027) at 5:00 p.m., New York City time or earlier upon redemption or liquidation.</w:t>
      </w:r>
    </w:p>
    <w:p>
      <w:pPr>
        <w:spacing w:after="0" w:line="1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may call the warrants for redemption (excluding the Private Warrants), in whole and not in part, at a price of $0.01 per warrant:</w:t>
      </w:r>
    </w:p>
    <w:p>
      <w:pPr>
        <w:spacing w:after="0" w:line="95" w:lineRule="exact"/>
        <w:rPr>
          <w:sz w:val="20"/>
          <w:szCs w:val="20"/>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while the warrants are exercisable,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warrantholder,</w:t>
      </w:r>
    </w:p>
    <w:p>
      <w:pPr>
        <w:spacing w:after="0" w:line="95" w:lineRule="exact"/>
        <w:rPr>
          <w:rFonts w:ascii="Times New Roman" w:cs="Times New Roman" w:eastAsia="Times New Roman" w:hAnsi="Times New Roman"/>
          <w:sz w:val="14"/>
          <w:szCs w:val="14"/>
          <w:color w:val="auto"/>
        </w:rPr>
      </w:pPr>
    </w:p>
    <w:p>
      <w:pPr>
        <w:ind w:left="2200" w:right="559" w:hanging="331"/>
        <w:spacing w:after="0" w:line="255"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Common Stock equals or exceeds $18.00 per share (as adjusted for share sub-divisions, share dividends, reorganizations and recapitalizations), for any 20 trading days within a 30 trading day period commencing after the warrants become exercisable and ending on the third trading day prior to the date on which notice of redemption is given, and</w:t>
      </w:r>
    </w:p>
    <w:p>
      <w:pPr>
        <w:spacing w:after="0" w:line="71" w:lineRule="exact"/>
        <w:rPr>
          <w:rFonts w:ascii="Times New Roman" w:cs="Times New Roman" w:eastAsia="Times New Roman" w:hAnsi="Times New Roman"/>
          <w:sz w:val="14"/>
          <w:szCs w:val="14"/>
          <w:color w:val="auto"/>
        </w:rPr>
      </w:pPr>
    </w:p>
    <w:p>
      <w:pPr>
        <w:ind w:left="2200" w:right="379" w:hanging="331"/>
        <w:spacing w:after="0" w:line="266"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an effective registration statement covering the Common Stock issuable upon exercise of the Public Warrants, and a current prospectus relating thereto, available throughout the 30-day redemption.</w:t>
      </w:r>
    </w:p>
    <w:p>
      <w:pPr>
        <w:spacing w:after="0" w:line="136"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We may not exercise such redemption right if the issuance of the Common Stock upon exercise of the warrants is not exempt from registration or qualification under applicable state blue sky laws or we are unable to effect such registration or qualification. 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45"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The redemption criteria for our warrants have been established at a price which is intended to provide warrantholders a reasonable premium to the initial exercise price and provide a sufficient differential between the then-prevailing per share price of our Common Stock and the warrant exercise price so that if the per share price of our Common Stock declines as a result of our redemption call, the redemption will not cause the per share price of our Common Stock to drop below the exercise price of the warrants.</w:t>
      </w:r>
    </w:p>
    <w:p>
      <w:pPr>
        <w:spacing w:after="0" w:line="145"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If we call the warrants for redemption as described above, our management will have the option to require all holders of warrants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our Common Stock for the 10 trading days ending on the third trading day prior to the date on which the notice of redemption is sent to the holders of warrants. For example, if a holder held 150 warrants to purchase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459"/>
        <w:spacing w:after="0" w:line="249" w:lineRule="auto"/>
        <w:rPr>
          <w:sz w:val="20"/>
          <w:szCs w:val="20"/>
          <w:color w:val="auto"/>
        </w:rPr>
      </w:pPr>
      <w:r>
        <w:rPr>
          <w:rFonts w:ascii="Times New Roman" w:cs="Times New Roman" w:eastAsia="Times New Roman" w:hAnsi="Times New Roman"/>
          <w:sz w:val="14"/>
          <w:szCs w:val="14"/>
          <w:color w:val="auto"/>
        </w:rPr>
        <w:t>150 shares of our Common Stock and the fair market value on the trading date prior to exercise was $15.00, that holder would receive 35 shares of our Common Stock without the payment of any additional cash consideration. Whether we will exercise our option to require all holders to exercise their warrants on a “cashless basis” will depend on a variety of factors including the price of our Common Stock at the time the warrants are called for redemption, our cash needs at such time and concerns regarding dilutive share issuances. Requiring a cashless exercise in this manner will reduce the number of shares of our Common Stock to be issued and thereby lessen the dilutive effect of a warrant redemption. We believe this feature is an attractive option to use if we do not need the cash from the exercise of the Public Warrants.</w:t>
      </w:r>
    </w:p>
    <w:p>
      <w:pPr>
        <w:spacing w:after="0" w:line="147"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The warrants are issued in registered form under a warrant agreement (the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Placement Warrants) in order to make any change that adversely affects the interests of the registered holders.</w:t>
      </w:r>
    </w:p>
    <w:p>
      <w:pPr>
        <w:spacing w:after="0" w:line="14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color w:val="auto"/>
        </w:rPr>
        <w:t>The exercise price and number of shares of Common Stock issuable on exercise of the warrants may be adjusted in certain circumstances</w:t>
      </w:r>
    </w:p>
    <w:p>
      <w:pPr>
        <w:spacing w:after="0" w:line="1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including in the event of (i) a stock dividend or split up, (ii) a consolidation, combination, reverse stock split or reclassification of the Common Stock,</w:t>
      </w:r>
    </w:p>
    <w:p>
      <w:pPr>
        <w:spacing w:after="0" w:line="3" w:lineRule="exact"/>
        <w:rPr>
          <w:sz w:val="20"/>
          <w:szCs w:val="20"/>
          <w:color w:val="auto"/>
        </w:rPr>
      </w:pPr>
    </w:p>
    <w:p>
      <w:pPr>
        <w:ind w:left="1460" w:right="399" w:hanging="1"/>
        <w:spacing w:after="0" w:line="263" w:lineRule="auto"/>
        <w:tabs>
          <w:tab w:leader="none" w:pos="169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extraordinary dividend or (iv) reclassification or reorganization of the outstanding Common Stock or an merger or consolidation of us with or into another corporation. However, the warrants will not be adjusted for issuances of shares of Common Stock at a price below the par value per share issuable upon exercise of the warrants. Whenever the number of shares of Common Stock purchasable upon the exercise of the warrants is adjusted, the warrant exercise price will be adjusted by multiplying such warrant exercise price immediately prior to such adjustment by a fraction (x) the numerator of which will be the number of shares of Common Stock purchasable upon the exercise of the warrants immediately prior to such adjustment, and</w:t>
      </w:r>
    </w:p>
    <w:p>
      <w:pPr>
        <w:spacing w:after="0" w:line="1" w:lineRule="exact"/>
        <w:rPr>
          <w:rFonts w:ascii="Times New Roman" w:cs="Times New Roman" w:eastAsia="Times New Roman" w:hAnsi="Times New Roman"/>
          <w:sz w:val="13"/>
          <w:szCs w:val="13"/>
          <w:color w:val="auto"/>
        </w:rPr>
      </w:pPr>
    </w:p>
    <w:p>
      <w:pPr>
        <w:ind w:left="1660" w:hanging="201"/>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will be the number of shares of Common Stock so purchasable immediately thereafter.</w:t>
      </w:r>
    </w:p>
    <w:p>
      <w:pPr>
        <w:spacing w:after="0" w:line="156" w:lineRule="exact"/>
        <w:rPr>
          <w:sz w:val="20"/>
          <w:szCs w:val="20"/>
          <w:color w:val="auto"/>
        </w:rPr>
      </w:pPr>
    </w:p>
    <w:p>
      <w:pPr>
        <w:ind w:left="1460" w:right="379" w:firstLine="335"/>
        <w:spacing w:after="0" w:line="271" w:lineRule="auto"/>
        <w:rPr>
          <w:sz w:val="20"/>
          <w:szCs w:val="20"/>
          <w:color w:val="auto"/>
        </w:rPr>
      </w:pPr>
      <w:r>
        <w:rPr>
          <w:rFonts w:ascii="Times New Roman" w:cs="Times New Roman" w:eastAsia="Times New Roman" w:hAnsi="Times New Roman"/>
          <w:sz w:val="13"/>
          <w:szCs w:val="13"/>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check or bank draft payable to the order of the warrant agent or wire transfer, for the number of warrants being exercised. The warrantholders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w:t>
      </w:r>
    </w:p>
    <w:p>
      <w:pPr>
        <w:spacing w:after="0" w:line="136" w:lineRule="exact"/>
        <w:rPr>
          <w:sz w:val="20"/>
          <w:szCs w:val="20"/>
          <w:color w:val="auto"/>
        </w:rPr>
      </w:pPr>
    </w:p>
    <w:p>
      <w:pPr>
        <w:ind w:left="1460" w:right="379" w:firstLine="335"/>
        <w:spacing w:after="0" w:line="268" w:lineRule="auto"/>
        <w:rPr>
          <w:sz w:val="20"/>
          <w:szCs w:val="20"/>
          <w:color w:val="auto"/>
        </w:rPr>
      </w:pPr>
      <w:r>
        <w:rPr>
          <w:rFonts w:ascii="Times New Roman" w:cs="Times New Roman" w:eastAsia="Times New Roman" w:hAnsi="Times New Roman"/>
          <w:sz w:val="13"/>
          <w:szCs w:val="13"/>
          <w:color w:val="auto"/>
        </w:rPr>
        <w:t>Except as described above, no Public Warrants will be exercisable for cash and we will not be obligated to issue shares of Common Stock upon exercise of a warrant unless the shares of Common Stock issuable upon such warrant exercise have been registered, qualified or deemed to be exempt under the securities laws of the state of residence of the registered holder of the warrants. Under the terms of the Warrant Agreement, we have agreed to use our best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39" w:lineRule="exact"/>
        <w:rPr>
          <w:sz w:val="20"/>
          <w:szCs w:val="20"/>
          <w:color w:val="auto"/>
        </w:rPr>
      </w:pPr>
    </w:p>
    <w:p>
      <w:pPr>
        <w:ind w:left="1460" w:right="519" w:firstLine="335"/>
        <w:spacing w:after="0" w:line="266" w:lineRule="auto"/>
        <w:rPr>
          <w:sz w:val="20"/>
          <w:szCs w:val="20"/>
          <w:color w:val="auto"/>
        </w:rPr>
      </w:pPr>
      <w:r>
        <w:rPr>
          <w:rFonts w:ascii="Times New Roman" w:cs="Times New Roman" w:eastAsia="Times New Roman" w:hAnsi="Times New Roman"/>
          <w:sz w:val="14"/>
          <w:szCs w:val="14"/>
          <w:color w:val="auto"/>
        </w:rPr>
        <w:t>Warrantholders may elect to be subject to a restriction on the exercise of their warrants such that an electing warrantholder would not be able to exercise their warrants to the extent that, after giving effect to such exercise,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699"/>
        <w:spacing w:after="0" w:line="266" w:lineRule="auto"/>
        <w:rPr>
          <w:sz w:val="20"/>
          <w:szCs w:val="20"/>
          <w:color w:val="auto"/>
        </w:rPr>
      </w:pPr>
      <w:r>
        <w:rPr>
          <w:rFonts w:ascii="Times New Roman" w:cs="Times New Roman" w:eastAsia="Times New Roman" w:hAnsi="Times New Roman"/>
          <w:sz w:val="14"/>
          <w:szCs w:val="14"/>
          <w:color w:val="auto"/>
        </w:rPr>
        <w:t>such holder (together with such holder’s affiliates) would beneficially own in excess of 9.8% of the Common Stock outstanding immediately after giving effect to such exercise.</w:t>
      </w:r>
    </w:p>
    <w:p>
      <w:pPr>
        <w:spacing w:after="0" w:line="136" w:lineRule="exact"/>
        <w:rPr>
          <w:sz w:val="20"/>
          <w:szCs w:val="20"/>
          <w:color w:val="auto"/>
        </w:rPr>
      </w:pPr>
    </w:p>
    <w:p>
      <w:pPr>
        <w:ind w:left="1460" w:right="339" w:firstLine="335"/>
        <w:spacing w:after="0" w:line="305" w:lineRule="auto"/>
        <w:rPr>
          <w:sz w:val="20"/>
          <w:szCs w:val="20"/>
          <w:color w:val="auto"/>
        </w:rPr>
      </w:pPr>
      <w:r>
        <w:rPr>
          <w:rFonts w:ascii="Times New Roman" w:cs="Times New Roman" w:eastAsia="Times New Roman" w:hAnsi="Times New Roman"/>
          <w:sz w:val="13"/>
          <w:szCs w:val="13"/>
          <w:color w:val="auto"/>
        </w:rPr>
        <w:t>No fractional shares will be issued upon exercise of the warrants. If, upon exercise of the warrants, a holder would be entitled to receive a fractional interest in a share, we will, upon exercise, round up to the nearest whole number of shares of Common Stock to be issued to the warrantholder.</w:t>
      </w:r>
    </w:p>
    <w:p>
      <w:pPr>
        <w:spacing w:after="0" w:line="19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Private Warrants</w:t>
      </w:r>
    </w:p>
    <w:p>
      <w:pPr>
        <w:spacing w:after="0" w:line="89" w:lineRule="exact"/>
        <w:rPr>
          <w:sz w:val="20"/>
          <w:szCs w:val="20"/>
          <w:color w:val="auto"/>
        </w:rPr>
      </w:pPr>
    </w:p>
    <w:p>
      <w:pPr>
        <w:ind w:left="1460" w:right="579" w:firstLine="335"/>
        <w:spacing w:after="0" w:line="255" w:lineRule="auto"/>
        <w:rPr>
          <w:sz w:val="20"/>
          <w:szCs w:val="20"/>
          <w:color w:val="auto"/>
        </w:rPr>
      </w:pPr>
      <w:r>
        <w:rPr>
          <w:rFonts w:ascii="Times New Roman" w:cs="Times New Roman" w:eastAsia="Times New Roman" w:hAnsi="Times New Roman"/>
          <w:sz w:val="14"/>
          <w:szCs w:val="14"/>
          <w:color w:val="auto"/>
        </w:rPr>
        <w:t>The Private Warrants are identical to the Public Warrants except that such Private Warrants are exercisable for cash (even if a registration statement covering the issuance of the Common Stock issuable upon exercise of such warrants is not effective) or on a cashless basis, at the holder’s option, and will not be redeemable by us, in each case so long as they are still held by the initial purchasers or their affiliates.</w:t>
      </w:r>
    </w:p>
    <w:p>
      <w:pPr>
        <w:spacing w:after="0" w:line="143" w:lineRule="exact"/>
        <w:rPr>
          <w:sz w:val="20"/>
          <w:szCs w:val="20"/>
          <w:color w:val="auto"/>
        </w:rPr>
      </w:pPr>
    </w:p>
    <w:p>
      <w:pPr>
        <w:ind w:left="1460" w:right="419" w:firstLine="335"/>
        <w:spacing w:after="0" w:line="255" w:lineRule="auto"/>
        <w:rPr>
          <w:sz w:val="20"/>
          <w:szCs w:val="20"/>
          <w:color w:val="auto"/>
        </w:rPr>
      </w:pPr>
      <w:r>
        <w:rPr>
          <w:rFonts w:ascii="Times New Roman" w:cs="Times New Roman" w:eastAsia="Times New Roman" w:hAnsi="Times New Roman"/>
          <w:sz w:val="14"/>
          <w:szCs w:val="14"/>
          <w:color w:val="auto"/>
        </w:rPr>
        <w:t>The foregoing summary of the terms and conditions of the SPAC Warrants does not purport to be complete and is qualified in its entirety by reference to the copy of the specimen warrant certificate and the Warrant Agreement that are filed as exhibits to the registration statement of which this prospectus forms a part.</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Additional Warrants</w:t>
      </w:r>
    </w:p>
    <w:p>
      <w:pPr>
        <w:spacing w:after="0" w:line="89" w:lineRule="exact"/>
        <w:rPr>
          <w:sz w:val="20"/>
          <w:szCs w:val="20"/>
          <w:color w:val="auto"/>
        </w:rPr>
      </w:pPr>
    </w:p>
    <w:p>
      <w:pPr>
        <w:ind w:left="1460" w:right="399" w:firstLine="335"/>
        <w:spacing w:after="0" w:line="268" w:lineRule="auto"/>
        <w:rPr>
          <w:sz w:val="20"/>
          <w:szCs w:val="20"/>
          <w:color w:val="auto"/>
        </w:rPr>
      </w:pPr>
      <w:r>
        <w:rPr>
          <w:rFonts w:ascii="Times New Roman" w:cs="Times New Roman" w:eastAsia="Times New Roman" w:hAnsi="Times New Roman"/>
          <w:sz w:val="13"/>
          <w:szCs w:val="13"/>
          <w:color w:val="auto"/>
        </w:rPr>
        <w:t>As of March 31, 2026, warrants to purchase 13,091,124 shares of common stock with a weighted-average exercise price of $8.0349 per share were outstanding. All of our outstanding warrants are currently exercisable, except to the extent that certain of them may be subject to a blocker provision, which restricts the exercise of a warrant if, as a result of such exercise, the warrant holder, together with its affiliates and any other person whose beneficial ownership of common stock would be aggregated with the warrant holder’s for purposes of Section 13(d) of the Exchange Act, would beneficially own in excess of 4.99%, 9.99%, 19.99% or 19.9% of our then issued and outstanding shares of common stock (including the shares of common stock issuable upon such exercise), as such percentage ownership is determined in accordance with the terms of such warrant. All of our outstanding warrants contain provisions for the adjustment of the exercise price in the event of stock dividends, stock splits or similar transactions and our warrants issued on October 7, 2024 also provide for full-ratchet adjustment (down to the exercise price floor referenced therein) in connection with subsequent offerings at a per share price less than the exercise price then in effect). In addition, certain of the warrants contain a “cashless exercise” feature that allows the holders thereof to exercise the warrants without a cash payment to us under certain circumstances.</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9" w:lineRule="exact"/>
        <w:rPr>
          <w:sz w:val="20"/>
          <w:szCs w:val="20"/>
          <w:color w:val="auto"/>
        </w:rPr>
      </w:pPr>
    </w:p>
    <w:p>
      <w:pPr>
        <w:ind w:left="1460" w:right="559" w:firstLine="335"/>
        <w:spacing w:after="0" w:line="287"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 New York, New York 10004.</w:t>
      </w:r>
    </w:p>
    <w:p>
      <w:pPr>
        <w:spacing w:after="0" w:line="1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89" w:lineRule="exact"/>
        <w:rPr>
          <w:sz w:val="20"/>
          <w:szCs w:val="20"/>
          <w:color w:val="auto"/>
        </w:rPr>
      </w:pPr>
    </w:p>
    <w:p>
      <w:pPr>
        <w:ind w:left="1460" w:right="959" w:firstLine="335"/>
        <w:spacing w:after="0" w:line="266" w:lineRule="auto"/>
        <w:rPr>
          <w:sz w:val="20"/>
          <w:szCs w:val="20"/>
          <w:color w:val="auto"/>
        </w:rPr>
      </w:pPr>
      <w:r>
        <w:rPr>
          <w:rFonts w:ascii="Times New Roman" w:cs="Times New Roman" w:eastAsia="Times New Roman" w:hAnsi="Times New Roman"/>
          <w:sz w:val="14"/>
          <w:szCs w:val="14"/>
          <w:color w:val="auto"/>
        </w:rPr>
        <w:t>Shares of our Common Stock and Public Warrants are listed on the Nasdaq Capital Market under the symbols “SCLX” and “SCLXW”, respectively.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1" w:lineRule="exact"/>
        <w:rPr>
          <w:sz w:val="20"/>
          <w:szCs w:val="20"/>
          <w:color w:val="auto"/>
        </w:rPr>
      </w:pPr>
    </w:p>
    <w:p>
      <w:pPr>
        <w:ind w:left="1460" w:right="419" w:firstLine="335"/>
        <w:spacing w:after="0" w:line="274" w:lineRule="auto"/>
        <w:rPr>
          <w:sz w:val="20"/>
          <w:szCs w:val="20"/>
          <w:color w:val="auto"/>
        </w:rPr>
      </w:pPr>
      <w:r>
        <w:rPr>
          <w:rFonts w:ascii="Times New Roman" w:cs="Times New Roman" w:eastAsia="Times New Roman" w:hAnsi="Times New Roman"/>
          <w:sz w:val="13"/>
          <w:szCs w:val="13"/>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31"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6"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we authorize for use in connection with a specific offering of debt securities, as well as the complete indenture that contains the terms of the debt securities.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 Matters</w:t>
      </w:r>
    </w:p>
    <w:p>
      <w:pPr>
        <w:spacing w:after="0" w:line="89"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or financial condition or transactions involving us.</w:t>
      </w:r>
    </w:p>
    <w:p>
      <w:pPr>
        <w:spacing w:after="0" w:line="145" w:lineRule="exact"/>
        <w:rPr>
          <w:sz w:val="20"/>
          <w:szCs w:val="20"/>
          <w:color w:val="auto"/>
        </w:rPr>
      </w:pPr>
    </w:p>
    <w:p>
      <w:pPr>
        <w:ind w:left="1460" w:right="499" w:firstLine="335"/>
        <w:spacing w:after="0" w:line="250"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the applicable prospectus supplement.</w:t>
      </w:r>
    </w:p>
    <w:p>
      <w:pPr>
        <w:spacing w:after="0" w:line="1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5" w:lineRule="exact"/>
        <w:rPr>
          <w:sz w:val="20"/>
          <w:szCs w:val="20"/>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issue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we will pay the principal on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w:t>
      </w:r>
    </w:p>
    <w:p>
      <w:pPr>
        <w:spacing w:after="0" w:line="95" w:lineRule="exact"/>
        <w:rPr>
          <w:rFonts w:ascii="Times New Roman" w:cs="Times New Roman" w:eastAsia="Times New Roman" w:hAnsi="Times New Roman"/>
          <w:sz w:val="14"/>
          <w:szCs w:val="14"/>
          <w:color w:val="auto"/>
        </w:rPr>
      </w:pPr>
    </w:p>
    <w:p>
      <w:pPr>
        <w:ind w:left="2200" w:right="479" w:hanging="331"/>
        <w:spacing w:after="0" w:line="266"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right="759"/>
        <w:spacing w:after="0" w:line="266" w:lineRule="auto"/>
        <w:rPr>
          <w:sz w:val="20"/>
          <w:szCs w:val="20"/>
          <w:color w:val="auto"/>
        </w:rPr>
      </w:pPr>
      <w:r>
        <w:rPr>
          <w:rFonts w:ascii="Times New Roman" w:cs="Times New Roman" w:eastAsia="Times New Roman" w:hAnsi="Times New Roman"/>
          <w:sz w:val="14"/>
          <w:szCs w:val="14"/>
          <w:color w:val="auto"/>
        </w:rPr>
        <w:t>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4" w:lineRule="exact"/>
        <w:rPr>
          <w:sz w:val="20"/>
          <w:szCs w:val="20"/>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on the debt securities will be payable;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we may redeem the debt securities;</w:t>
      </w:r>
    </w:p>
    <w:p>
      <w:pPr>
        <w:spacing w:after="0" w:line="95" w:lineRule="exact"/>
        <w:rPr>
          <w:rFonts w:ascii="Times New Roman" w:cs="Times New Roman" w:eastAsia="Times New Roman" w:hAnsi="Times New Roman"/>
          <w:sz w:val="14"/>
          <w:szCs w:val="14"/>
          <w:color w:val="auto"/>
        </w:rPr>
      </w:pPr>
    </w:p>
    <w:p>
      <w:pPr>
        <w:ind w:left="2200" w:right="419" w:hanging="331"/>
        <w:spacing w:after="0" w:line="266"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3" w:lineRule="exact"/>
        <w:rPr>
          <w:rFonts w:ascii="Times New Roman" w:cs="Times New Roman" w:eastAsia="Times New Roman" w:hAnsi="Times New Roman"/>
          <w:sz w:val="14"/>
          <w:szCs w:val="14"/>
          <w:color w:val="auto"/>
        </w:rPr>
      </w:pPr>
    </w:p>
    <w:p>
      <w:pPr>
        <w:ind w:left="2200" w:right="379" w:hanging="331"/>
        <w:spacing w:after="0" w:line="266"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w:t>
      </w:r>
    </w:p>
    <w:p>
      <w:pPr>
        <w:spacing w:after="0" w:line="63" w:lineRule="exact"/>
        <w:rPr>
          <w:rFonts w:ascii="Times New Roman" w:cs="Times New Roman" w:eastAsia="Times New Roman" w:hAnsi="Times New Roman"/>
          <w:sz w:val="14"/>
          <w:szCs w:val="14"/>
          <w:color w:val="auto"/>
        </w:rPr>
      </w:pPr>
    </w:p>
    <w:p>
      <w:pPr>
        <w:ind w:left="2200" w:right="599" w:hanging="331"/>
        <w:spacing w:after="0" w:line="266"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95" w:lineRule="exact"/>
        <w:rPr>
          <w:rFonts w:ascii="Times New Roman" w:cs="Times New Roman" w:eastAsia="Times New Roman" w:hAnsi="Times New Roman"/>
          <w:sz w:val="14"/>
          <w:szCs w:val="14"/>
          <w:color w:val="auto"/>
        </w:rPr>
      </w:pPr>
    </w:p>
    <w:p>
      <w:pPr>
        <w:ind w:left="2200" w:right="379" w:hanging="331"/>
        <w:spacing w:after="0" w:line="252"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will be issued in whole or in part in the form of a global debt security, the terms and conditions, if any, upon which such global debt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spacing w:after="0" w:line="72"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due at maturity, and whether the debt securities will be issued with original issue discount;</w:t>
      </w:r>
    </w:p>
    <w:p>
      <w:pPr>
        <w:spacing w:after="0" w:line="95" w:lineRule="exact"/>
        <w:rPr>
          <w:rFonts w:ascii="Times New Roman" w:cs="Times New Roman" w:eastAsia="Times New Roman" w:hAnsi="Times New Roman"/>
          <w:sz w:val="14"/>
          <w:szCs w:val="14"/>
          <w:color w:val="auto"/>
        </w:rPr>
      </w:pPr>
    </w:p>
    <w:p>
      <w:pPr>
        <w:ind w:left="2200" w:right="779" w:hanging="331"/>
        <w:spacing w:after="0" w:line="266"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w:t>
      </w:r>
    </w:p>
    <w:p>
      <w:pPr>
        <w:spacing w:after="0" w:line="95" w:lineRule="exact"/>
        <w:rPr>
          <w:rFonts w:ascii="Times New Roman" w:cs="Times New Roman" w:eastAsia="Times New Roman" w:hAnsi="Times New Roman"/>
          <w:sz w:val="14"/>
          <w:szCs w:val="14"/>
          <w:color w:val="auto"/>
        </w:rPr>
      </w:pPr>
    </w:p>
    <w:p>
      <w:pPr>
        <w:ind w:left="2200" w:right="579" w:hanging="331"/>
        <w:spacing w:after="0" w:line="266"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and interest on the debt securities will be made;</w:t>
      </w:r>
    </w:p>
    <w:p>
      <w:pPr>
        <w:spacing w:after="0" w:line="63" w:lineRule="exact"/>
        <w:rPr>
          <w:rFonts w:ascii="Times New Roman" w:cs="Times New Roman" w:eastAsia="Times New Roman" w:hAnsi="Times New Roman"/>
          <w:sz w:val="14"/>
          <w:szCs w:val="14"/>
          <w:color w:val="auto"/>
        </w:rPr>
      </w:pPr>
    </w:p>
    <w:p>
      <w:pPr>
        <w:ind w:left="2200" w:right="619" w:hanging="331"/>
        <w:spacing w:after="0" w:line="255"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1" w:lineRule="exact"/>
        <w:rPr>
          <w:rFonts w:ascii="Times New Roman" w:cs="Times New Roman" w:eastAsia="Times New Roman" w:hAnsi="Times New Roman"/>
          <w:sz w:val="14"/>
          <w:szCs w:val="14"/>
          <w:color w:val="auto"/>
        </w:rPr>
      </w:pPr>
    </w:p>
    <w:p>
      <w:pPr>
        <w:ind w:left="2200" w:right="439" w:hanging="331"/>
        <w:spacing w:after="0" w:line="255"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7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of the debt securities, if any;</w:t>
      </w:r>
    </w:p>
    <w:p>
      <w:pPr>
        <w:spacing w:after="0" w:line="95" w:lineRule="exact"/>
        <w:rPr>
          <w:rFonts w:ascii="Times New Roman" w:cs="Times New Roman" w:eastAsia="Times New Roman" w:hAnsi="Times New Roman"/>
          <w:sz w:val="14"/>
          <w:szCs w:val="14"/>
          <w:color w:val="auto"/>
        </w:rPr>
      </w:pPr>
    </w:p>
    <w:p>
      <w:pPr>
        <w:ind w:left="2200" w:right="339" w:hanging="331"/>
        <w:spacing w:after="0" w:line="255"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right="439"/>
        <w:spacing w:after="0" w:line="255" w:lineRule="auto"/>
        <w:rPr>
          <w:sz w:val="20"/>
          <w:szCs w:val="20"/>
          <w:color w:val="auto"/>
        </w:rPr>
      </w:pPr>
      <w:r>
        <w:rPr>
          <w:rFonts w:ascii="Times New Roman" w:cs="Times New Roman" w:eastAsia="Times New Roman" w:hAnsi="Times New Roman"/>
          <w:sz w:val="14"/>
          <w:szCs w:val="14"/>
          <w:color w:val="auto"/>
        </w:rPr>
        <w:t>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p>
      <w:pPr>
        <w:spacing w:after="0" w:line="72" w:lineRule="exact"/>
        <w:rPr>
          <w:sz w:val="20"/>
          <w:szCs w:val="20"/>
          <w:color w:val="auto"/>
        </w:rPr>
      </w:pPr>
    </w:p>
    <w:p>
      <w:pPr>
        <w:ind w:left="2200" w:hanging="331"/>
        <w:spacing w:after="0"/>
        <w:tabs>
          <w:tab w:leader="none" w:pos="22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if any, to extend the interest payment periods or defer the payment of interest and maximum length of any such deferral period;</w:t>
      </w:r>
    </w:p>
    <w:p>
      <w:pPr>
        <w:spacing w:after="0" w:line="106" w:lineRule="exact"/>
        <w:rPr>
          <w:rFonts w:ascii="Times New Roman" w:cs="Times New Roman" w:eastAsia="Times New Roman" w:hAnsi="Times New Roman"/>
          <w:sz w:val="13"/>
          <w:szCs w:val="13"/>
          <w:color w:val="auto"/>
        </w:rPr>
      </w:pPr>
    </w:p>
    <w:p>
      <w:pPr>
        <w:ind w:left="2200" w:hanging="33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the debt securities that do not bear interest, the dates for certain required reports to the trustee;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granting special rights to holders when a specified event occurs;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provisions relating to or dealing with defeasance;</w:t>
      </w:r>
    </w:p>
    <w:p>
      <w:pPr>
        <w:spacing w:after="0" w:line="95" w:lineRule="exact"/>
        <w:rPr>
          <w:rFonts w:ascii="Times New Roman" w:cs="Times New Roman" w:eastAsia="Times New Roman" w:hAnsi="Times New Roman"/>
          <w:sz w:val="14"/>
          <w:szCs w:val="14"/>
          <w:color w:val="auto"/>
        </w:rPr>
      </w:pPr>
    </w:p>
    <w:p>
      <w:pPr>
        <w:ind w:left="2200" w:right="379" w:hanging="331"/>
        <w:spacing w:after="0" w:line="266"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indenture with respect to the debt securities;</w:t>
      </w:r>
    </w:p>
    <w:p>
      <w:pPr>
        <w:spacing w:after="0" w:line="95" w:lineRule="exact"/>
        <w:rPr>
          <w:rFonts w:ascii="Times New Roman" w:cs="Times New Roman" w:eastAsia="Times New Roman" w:hAnsi="Times New Roman"/>
          <w:sz w:val="14"/>
          <w:szCs w:val="14"/>
          <w:color w:val="auto"/>
        </w:rPr>
      </w:pPr>
    </w:p>
    <w:p>
      <w:pPr>
        <w:ind w:left="2200" w:right="499" w:hanging="331"/>
        <w:spacing w:after="0" w:line="266"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and</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9"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89" w:lineRule="exact"/>
        <w:rPr>
          <w:sz w:val="20"/>
          <w:szCs w:val="20"/>
          <w:color w:val="auto"/>
        </w:rPr>
      </w:pPr>
    </w:p>
    <w:p>
      <w:pPr>
        <w:jc w:val="both"/>
        <w:ind w:left="1460" w:right="439" w:firstLine="335"/>
        <w:spacing w:after="0" w:line="255"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89" w:lineRule="exact"/>
        <w:rPr>
          <w:sz w:val="20"/>
          <w:szCs w:val="20"/>
          <w:color w:val="auto"/>
        </w:rPr>
      </w:pPr>
    </w:p>
    <w:p>
      <w:pPr>
        <w:ind w:left="1460" w:right="619" w:firstLine="335"/>
        <w:spacing w:after="0" w:line="252" w:lineRule="auto"/>
        <w:rPr>
          <w:sz w:val="20"/>
          <w:szCs w:val="20"/>
          <w:color w:val="auto"/>
        </w:rPr>
      </w:pPr>
      <w:r>
        <w:rPr>
          <w:rFonts w:ascii="Times New Roman" w:cs="Times New Roman" w:eastAsia="Times New Roman" w:hAnsi="Times New Roman"/>
          <w:sz w:val="14"/>
          <w:szCs w:val="14"/>
          <w:color w:val="auto"/>
        </w:rPr>
        <w:t>Debt securities of a series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89"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which we refer to as a successor person, unless:</w:t>
      </w:r>
    </w:p>
    <w:p>
      <w:pPr>
        <w:spacing w:after="0" w:line="64" w:lineRule="exact"/>
        <w:rPr>
          <w:sz w:val="20"/>
          <w:szCs w:val="20"/>
          <w:color w:val="auto"/>
        </w:rPr>
      </w:pPr>
    </w:p>
    <w:p>
      <w:pPr>
        <w:ind w:left="2200" w:right="599" w:hanging="331"/>
        <w:spacing w:after="0" w:line="266" w:lineRule="auto"/>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corporation or the successor person (if other than Scilex) is a corporation organized and validly existing under the laws of any U.S. domestic jurisdiction and expressly assumes our obligations on the debt securities and under the indenture;</w:t>
      </w:r>
    </w:p>
    <w:p>
      <w:pPr>
        <w:spacing w:after="0" w:line="63" w:lineRule="exact"/>
        <w:rPr>
          <w:rFonts w:ascii="Times New Roman" w:cs="Times New Roman" w:eastAsia="Times New Roman" w:hAnsi="Times New Roman"/>
          <w:sz w:val="14"/>
          <w:szCs w:val="14"/>
          <w:color w:val="auto"/>
        </w:rPr>
      </w:pPr>
    </w:p>
    <w:p>
      <w:pPr>
        <w:ind w:left="2200" w:right="619" w:hanging="331"/>
        <w:spacing w:after="0" w:line="266" w:lineRule="auto"/>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conditions are met.</w:t>
      </w:r>
    </w:p>
    <w:p>
      <w:pPr>
        <w:spacing w:after="0" w:line="1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89" w:lineRule="exact"/>
        <w:rPr>
          <w:sz w:val="20"/>
          <w:szCs w:val="20"/>
          <w:color w:val="auto"/>
        </w:rPr>
      </w:pPr>
    </w:p>
    <w:p>
      <w:pPr>
        <w:ind w:left="1460" w:right="499" w:firstLine="335"/>
        <w:spacing w:after="0" w:line="266"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4" w:lineRule="exact"/>
        <w:rPr>
          <w:sz w:val="20"/>
          <w:szCs w:val="20"/>
          <w:color w:val="auto"/>
        </w:rPr>
      </w:pPr>
    </w:p>
    <w:p>
      <w:pPr>
        <w:ind w:left="2200" w:right="459" w:hanging="331"/>
        <w:spacing w:after="0" w:line="255"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debt security of that series when due and payable;</w:t>
      </w:r>
    </w:p>
    <w:p>
      <w:pPr>
        <w:spacing w:after="0" w:line="95" w:lineRule="exact"/>
        <w:rPr>
          <w:rFonts w:ascii="Times New Roman" w:cs="Times New Roman" w:eastAsia="Times New Roman" w:hAnsi="Times New Roman"/>
          <w:sz w:val="14"/>
          <w:szCs w:val="14"/>
          <w:color w:val="auto"/>
        </w:rPr>
      </w:pPr>
    </w:p>
    <w:p>
      <w:pPr>
        <w:ind w:left="2200" w:right="339" w:hanging="331"/>
        <w:spacing w:after="0" w:line="277" w:lineRule="auto"/>
        <w:tabs>
          <w:tab w:leader="none" w:pos="22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58" w:lineRule="exact"/>
        <w:rPr>
          <w:rFonts w:ascii="Times New Roman" w:cs="Times New Roman" w:eastAsia="Times New Roman" w:hAnsi="Times New Roman"/>
          <w:sz w:val="13"/>
          <w:szCs w:val="13"/>
          <w:color w:val="auto"/>
        </w:rPr>
      </w:pPr>
    </w:p>
    <w:p>
      <w:pPr>
        <w:ind w:left="2200" w:hanging="33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our company; and</w:t>
      </w:r>
    </w:p>
    <w:p>
      <w:pPr>
        <w:spacing w:after="0" w:line="95" w:lineRule="exact"/>
        <w:rPr>
          <w:rFonts w:ascii="Times New Roman" w:cs="Times New Roman" w:eastAsia="Times New Roman" w:hAnsi="Times New Roman"/>
          <w:sz w:val="14"/>
          <w:szCs w:val="14"/>
          <w:color w:val="auto"/>
        </w:rPr>
      </w:pPr>
    </w:p>
    <w:p>
      <w:pPr>
        <w:ind w:left="2200" w:right="499" w:hanging="331"/>
        <w:spacing w:after="0" w:line="266"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accompanying this prospectus.</w:t>
      </w:r>
    </w:p>
    <w:p>
      <w:pPr>
        <w:spacing w:after="0" w:line="136" w:lineRule="exact"/>
        <w:rPr>
          <w:sz w:val="20"/>
          <w:szCs w:val="20"/>
          <w:color w:val="auto"/>
        </w:rPr>
      </w:pPr>
    </w:p>
    <w:p>
      <w:pPr>
        <w:ind w:left="1460" w:right="519" w:firstLine="335"/>
        <w:spacing w:after="0" w:line="284" w:lineRule="auto"/>
        <w:rPr>
          <w:sz w:val="20"/>
          <w:szCs w:val="20"/>
          <w:color w:val="auto"/>
        </w:rPr>
      </w:pPr>
      <w:r>
        <w:rPr>
          <w:rFonts w:ascii="Times New Roman" w:cs="Times New Roman" w:eastAsia="Times New Roman" w:hAnsi="Times New Roman"/>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26" w:lineRule="exact"/>
        <w:rPr>
          <w:sz w:val="20"/>
          <w:szCs w:val="20"/>
          <w:color w:val="auto"/>
        </w:rPr>
      </w:pPr>
    </w:p>
    <w:p>
      <w:pPr>
        <w:ind w:left="1460" w:right="339" w:firstLine="335"/>
        <w:spacing w:after="0" w:line="271" w:lineRule="auto"/>
        <w:rPr>
          <w:sz w:val="20"/>
          <w:szCs w:val="20"/>
          <w:color w:val="auto"/>
        </w:rPr>
      </w:pPr>
      <w:r>
        <w:rPr>
          <w:rFonts w:ascii="Times New Roman" w:cs="Times New Roman" w:eastAsia="Times New Roman" w:hAnsi="Times New Roman"/>
          <w:sz w:val="13"/>
          <w:szCs w:val="13"/>
          <w:color w:val="auto"/>
        </w:rPr>
        <w:t>If an event of default with respect to debt securities of any series outstanding at the time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9"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6" w:lineRule="exact"/>
        <w:rPr>
          <w:sz w:val="20"/>
          <w:szCs w:val="20"/>
          <w:color w:val="auto"/>
        </w:rPr>
      </w:pPr>
    </w:p>
    <w:p>
      <w:pPr>
        <w:jc w:val="both"/>
        <w:ind w:left="1460" w:right="539" w:firstLine="335"/>
        <w:spacing w:after="0" w:line="277" w:lineRule="auto"/>
        <w:rPr>
          <w:sz w:val="20"/>
          <w:szCs w:val="20"/>
          <w:color w:val="auto"/>
        </w:rPr>
      </w:pPr>
      <w:r>
        <w:rPr>
          <w:rFonts w:ascii="Times New Roman" w:cs="Times New Roman" w:eastAsia="Times New Roman" w:hAnsi="Times New Roman"/>
          <w:sz w:val="13"/>
          <w:szCs w:val="13"/>
          <w:color w:val="auto"/>
        </w:rPr>
        <w:t>The indenture provides that the trustee will be under no obligation to exercise any of its rights or powers under the indenture,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31"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4" w:lineRule="exact"/>
        <w:rPr>
          <w:sz w:val="20"/>
          <w:szCs w:val="20"/>
          <w:color w:val="auto"/>
        </w:rPr>
      </w:pPr>
    </w:p>
    <w:p>
      <w:pPr>
        <w:ind w:left="2200" w:right="499" w:hanging="331"/>
        <w:spacing w:after="0" w:line="266"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63" w:lineRule="exact"/>
        <w:rPr>
          <w:rFonts w:ascii="Times New Roman" w:cs="Times New Roman" w:eastAsia="Times New Roman" w:hAnsi="Times New Roman"/>
          <w:sz w:val="14"/>
          <w:szCs w:val="14"/>
          <w:color w:val="auto"/>
        </w:rPr>
      </w:pPr>
    </w:p>
    <w:p>
      <w:pPr>
        <w:ind w:left="2200" w:right="359" w:hanging="331"/>
        <w:spacing w:after="0" w:line="252"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reasonable indemnity, to the trustee to institute the proceeding as trustee, and the trustee has not received from the holders of not less than 25% in principal amount of the outstanding debt securities of that series a direction inconsistent with that request and has failed to institute the proceeding within 60 days.</w:t>
      </w:r>
    </w:p>
    <w:p>
      <w:pPr>
        <w:spacing w:after="0" w:line="145" w:lineRule="exact"/>
        <w:rPr>
          <w:sz w:val="20"/>
          <w:szCs w:val="20"/>
          <w:color w:val="auto"/>
        </w:rPr>
      </w:pPr>
    </w:p>
    <w:p>
      <w:pPr>
        <w:ind w:left="1460" w:right="359" w:firstLine="335"/>
        <w:spacing w:after="0" w:line="305" w:lineRule="auto"/>
        <w:rPr>
          <w:sz w:val="20"/>
          <w:szCs w:val="20"/>
          <w:color w:val="auto"/>
        </w:rPr>
      </w:pPr>
      <w:r>
        <w:rPr>
          <w:rFonts w:ascii="Times New Roman" w:cs="Times New Roman" w:eastAsia="Times New Roman" w:hAnsi="Times New Roman"/>
          <w:sz w:val="13"/>
          <w:szCs w:val="13"/>
          <w:color w:val="auto"/>
        </w:rPr>
        <w:t>Notwithstanding the foregoing, the holder of any debt security will have an absolute and unconditional right to receive payment of the principal of and any interest on that debt security on or after the due dates expressed in that debt security and to institute suit for the enforcement of payment.</w:t>
      </w:r>
    </w:p>
    <w:p>
      <w:pPr>
        <w:spacing w:after="0" w:line="112"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89" w:lineRule="exact"/>
        <w:rPr>
          <w:sz w:val="20"/>
          <w:szCs w:val="20"/>
          <w:color w:val="auto"/>
        </w:rPr>
      </w:pPr>
    </w:p>
    <w:p>
      <w:pPr>
        <w:ind w:left="1460" w:right="599" w:firstLine="335"/>
        <w:spacing w:after="0" w:line="255" w:lineRule="auto"/>
        <w:rPr>
          <w:sz w:val="20"/>
          <w:szCs w:val="20"/>
          <w:color w:val="auto"/>
        </w:rPr>
      </w:pPr>
      <w:r>
        <w:rPr>
          <w:rFonts w:ascii="Times New Roman" w:cs="Times New Roman" w:eastAsia="Times New Roman" w:hAnsi="Times New Roman"/>
          <w:sz w:val="14"/>
          <w:szCs w:val="14"/>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2" w:lineRule="exact"/>
        <w:rPr>
          <w:sz w:val="20"/>
          <w:szCs w:val="20"/>
          <w:color w:val="auto"/>
        </w:rPr>
      </w:pPr>
    </w:p>
    <w:p>
      <w:pPr>
        <w:ind w:left="2200" w:hanging="331"/>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95" w:lineRule="exact"/>
        <w:rPr>
          <w:rFonts w:ascii="Times New Roman" w:cs="Times New Roman" w:eastAsia="Times New Roman" w:hAnsi="Times New Roman"/>
          <w:sz w:val="14"/>
          <w:szCs w:val="14"/>
          <w:color w:val="auto"/>
        </w:rPr>
      </w:pPr>
    </w:p>
    <w:p>
      <w:pPr>
        <w:ind w:left="2200" w:right="699" w:hanging="331"/>
        <w:spacing w:after="0" w:line="266"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debt security or reduce the amount of, or postpone the date fixed for, the payment of any sinking fund or analogous obligation with respect to any series of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hanging="33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95" w:lineRule="exact"/>
        <w:rPr>
          <w:rFonts w:ascii="Times New Roman" w:cs="Times New Roman" w:eastAsia="Times New Roman" w:hAnsi="Times New Roman"/>
          <w:sz w:val="14"/>
          <w:szCs w:val="14"/>
          <w:color w:val="auto"/>
        </w:rPr>
      </w:pPr>
    </w:p>
    <w:p>
      <w:pPr>
        <w:ind w:left="2200" w:right="359" w:hanging="331"/>
        <w:spacing w:after="0" w:line="255" w:lineRule="auto"/>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interest on, any debt security payable in currency other than that stated in the debt security;</w:t>
      </w:r>
    </w:p>
    <w:p>
      <w:pPr>
        <w:spacing w:after="0" w:line="95" w:lineRule="exact"/>
        <w:rPr>
          <w:rFonts w:ascii="Times New Roman" w:cs="Times New Roman" w:eastAsia="Times New Roman" w:hAnsi="Times New Roman"/>
          <w:sz w:val="14"/>
          <w:szCs w:val="14"/>
          <w:color w:val="auto"/>
        </w:rPr>
      </w:pPr>
    </w:p>
    <w:p>
      <w:pPr>
        <w:ind w:left="2200" w:right="599" w:hanging="331"/>
        <w:spacing w:after="0" w:line="255" w:lineRule="auto"/>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interest on those debt securities and to institute a suit for the enforcement of any such payment and to waivers or amendments; or</w:t>
      </w:r>
    </w:p>
    <w:p>
      <w:pPr>
        <w:spacing w:after="0" w:line="7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67"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5" w:lineRule="exact"/>
        <w:rPr>
          <w:sz w:val="20"/>
          <w:szCs w:val="20"/>
          <w:color w:val="auto"/>
        </w:rPr>
      </w:pPr>
    </w:p>
    <w:p>
      <w:pPr>
        <w:ind w:left="1460" w:right="399" w:firstLine="33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Legal Defeasance. </w:t>
      </w:r>
      <w:r>
        <w:rPr>
          <w:rFonts w:ascii="Times New Roman" w:cs="Times New Roman" w:eastAsia="Times New Roman" w:hAnsi="Times New Roman"/>
          <w:sz w:val="13"/>
          <w:szCs w:val="13"/>
          <w:color w:val="auto"/>
        </w:rPr>
        <w:t>The indenture provides that, unless otherwise provided by the terms of the applicable series of debt securities, we may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w:t>
      </w:r>
    </w:p>
    <w:p>
      <w:pPr>
        <w:spacing w:after="0" w:line="2" w:lineRule="exact"/>
        <w:rPr>
          <w:sz w:val="20"/>
          <w:szCs w:val="20"/>
          <w:color w:val="auto"/>
        </w:rPr>
      </w:pPr>
    </w:p>
    <w:p>
      <w:pPr>
        <w:ind w:left="1460" w:right="359"/>
        <w:spacing w:after="0" w:line="245" w:lineRule="auto"/>
        <w:rPr>
          <w:sz w:val="20"/>
          <w:szCs w:val="20"/>
          <w:color w:val="auto"/>
        </w:rPr>
      </w:pPr>
      <w:r>
        <w:rPr>
          <w:rFonts w:ascii="Times New Roman" w:cs="Times New Roman" w:eastAsia="Times New Roman" w:hAnsi="Times New Roman"/>
          <w:sz w:val="14"/>
          <w:szCs w:val="14"/>
          <w:color w:val="auto"/>
        </w:rPr>
        <w:t>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51"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such opinion shall confirm based thereon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43" w:lineRule="exact"/>
        <w:rPr>
          <w:sz w:val="20"/>
          <w:szCs w:val="20"/>
          <w:color w:val="auto"/>
        </w:rPr>
      </w:pPr>
    </w:p>
    <w:p>
      <w:pPr>
        <w:ind w:left="1460" w:right="459" w:firstLine="335"/>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Defeasance of Certain Covenants. </w:t>
      </w:r>
      <w:r>
        <w:rPr>
          <w:rFonts w:ascii="Times New Roman" w:cs="Times New Roman" w:eastAsia="Times New Roman" w:hAnsi="Times New Roman"/>
          <w:sz w:val="14"/>
          <w:szCs w:val="14"/>
          <w:color w:val="auto"/>
        </w:rPr>
        <w:t>The indenture provides that, unless otherwise provided by the terms of the applicable series of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compliance with certain conditions:</w:t>
      </w:r>
    </w:p>
    <w:p>
      <w:pPr>
        <w:spacing w:after="0" w:line="60" w:lineRule="exact"/>
        <w:rPr>
          <w:sz w:val="20"/>
          <w:szCs w:val="20"/>
          <w:color w:val="auto"/>
        </w:rPr>
      </w:pPr>
    </w:p>
    <w:p>
      <w:pPr>
        <w:ind w:left="2200" w:right="419" w:hanging="331"/>
        <w:spacing w:after="0" w:line="266"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or Sale” and certain other covenants set forth in the indenture, as well as any additional covenants that may be set forth in the applicable prospectus supplement;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right="499" w:hanging="331"/>
        <w:spacing w:after="0" w:line="266"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or covenant defeasance.</w:t>
      </w:r>
    </w:p>
    <w:p>
      <w:pPr>
        <w:spacing w:after="0" w:line="1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5" w:lineRule="exact"/>
        <w:rPr>
          <w:sz w:val="20"/>
          <w:szCs w:val="20"/>
          <w:color w:val="auto"/>
        </w:rPr>
      </w:pPr>
    </w:p>
    <w:p>
      <w:pPr>
        <w:ind w:left="2200" w:right="399" w:hanging="331"/>
        <w:spacing w:after="0" w:line="249" w:lineRule="auto"/>
        <w:tabs>
          <w:tab w:leader="none" w:pos="2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of and interest on and any mandatory sinking fund payments in respect of the debt securities of that series on the stated maturity of those payments in accordance with the terms of the indenture and those debt securities; and</w:t>
      </w:r>
    </w:p>
    <w:p>
      <w:pPr>
        <w:spacing w:after="0" w:line="74" w:lineRule="exact"/>
        <w:rPr>
          <w:rFonts w:ascii="Times New Roman" w:cs="Times New Roman" w:eastAsia="Times New Roman" w:hAnsi="Times New Roman"/>
          <w:sz w:val="14"/>
          <w:szCs w:val="14"/>
          <w:color w:val="auto"/>
        </w:rPr>
      </w:pPr>
    </w:p>
    <w:p>
      <w:pPr>
        <w:ind w:left="2200" w:right="439" w:hanging="331"/>
        <w:spacing w:after="0" w:line="252" w:lineRule="auto"/>
        <w:tabs>
          <w:tab w:leader="none" w:pos="2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41" w:lineRule="exact"/>
        <w:rPr>
          <w:sz w:val="20"/>
          <w:szCs w:val="20"/>
          <w:color w:val="auto"/>
        </w:rPr>
      </w:pPr>
    </w:p>
    <w:p>
      <w:pPr>
        <w:ind w:left="1460" w:right="379" w:firstLine="335"/>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Covenant Defeasance and Events of Default. </w:t>
      </w:r>
      <w:r>
        <w:rPr>
          <w:rFonts w:ascii="Times New Roman" w:cs="Times New Roman" w:eastAsia="Times New Roman" w:hAnsi="Times New Roman"/>
          <w:sz w:val="14"/>
          <w:szCs w:val="14"/>
          <w:color w:val="auto"/>
        </w:rPr>
        <w:t>In the event we exercise our option to effect covenant defeasance with respect to any series of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Foreign Government Obligations</w:t>
      </w:r>
      <w:r>
        <w:rPr>
          <w:rFonts w:ascii="Times New Roman" w:cs="Times New Roman" w:eastAsia="Times New Roman" w:hAnsi="Times New Roman"/>
          <w:sz w:val="13"/>
          <w:szCs w:val="13"/>
          <w:color w:val="auto"/>
        </w:rPr>
        <w:t>” means, with respect to debt securities of any series that are denominated in a currency other than U.S. dollars:</w:t>
      </w:r>
    </w:p>
    <w:p>
      <w:pPr>
        <w:spacing w:after="0" w:line="111" w:lineRule="exact"/>
        <w:rPr>
          <w:sz w:val="20"/>
          <w:szCs w:val="20"/>
          <w:color w:val="auto"/>
        </w:rPr>
      </w:pPr>
    </w:p>
    <w:p>
      <w:pPr>
        <w:ind w:left="2200" w:right="359" w:hanging="331"/>
        <w:spacing w:after="0" w:line="266"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63" w:lineRule="exact"/>
        <w:rPr>
          <w:rFonts w:ascii="Times New Roman" w:cs="Times New Roman" w:eastAsia="Times New Roman" w:hAnsi="Times New Roman"/>
          <w:sz w:val="14"/>
          <w:szCs w:val="14"/>
          <w:color w:val="auto"/>
        </w:rPr>
      </w:pPr>
    </w:p>
    <w:p>
      <w:pPr>
        <w:jc w:val="both"/>
        <w:ind w:left="2200" w:right="519" w:hanging="331"/>
        <w:spacing w:after="0" w:line="255"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9"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42" w:lineRule="exact"/>
        <w:rPr>
          <w:sz w:val="20"/>
          <w:szCs w:val="20"/>
          <w:color w:val="auto"/>
        </w:rPr>
      </w:pPr>
    </w:p>
    <w:p>
      <w:pPr>
        <w:ind w:left="1460" w:right="679" w:firstLine="33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Certificated Debt Securities. </w:t>
      </w:r>
      <w:r>
        <w:rPr>
          <w:rFonts w:ascii="Times New Roman" w:cs="Times New Roman" w:eastAsia="Times New Roman" w:hAnsi="Times New Roman"/>
          <w:sz w:val="14"/>
          <w:szCs w:val="14"/>
          <w:color w:val="auto"/>
        </w:rPr>
        <w:t>The holder may transfer or exchange certificated debt securities at any office we maintain for this purpose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41"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The holder may effect the transfer of certificated debt securities and the right to receive the principal of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right="579" w:firstLine="335"/>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Global Debt Securities and Book-Entry System. </w:t>
      </w:r>
      <w:r>
        <w:rPr>
          <w:rFonts w:ascii="Times New Roman" w:cs="Times New Roman" w:eastAsia="Times New Roman" w:hAnsi="Times New Roman"/>
          <w:sz w:val="14"/>
          <w:szCs w:val="14"/>
          <w:color w:val="auto"/>
        </w:rPr>
        <w:t>Each global debt security representing book-entry debt securities will be deposited with, or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behalf of, the depositary, and registered in the name of the depositary or a nominee of the depositary.</w:t>
      </w:r>
    </w:p>
    <w:p>
      <w:pPr>
        <w:spacing w:after="0" w:line="1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require the depositary to agree to follow the following procedures with respect to book-entry debt securities.</w:t>
      </w:r>
    </w:p>
    <w:p>
      <w:pPr>
        <w:spacing w:after="0" w:line="167"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50"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49"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145"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We will make payments of principal of, and premium and interest on, book-entry debt securities to the depositary or its nominee, as the case may be, as the registered holder of the related global debt security. Scilex,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145" w:lineRule="exact"/>
        <w:rPr>
          <w:sz w:val="20"/>
          <w:szCs w:val="20"/>
          <w:color w:val="auto"/>
        </w:rPr>
      </w:pPr>
    </w:p>
    <w:p>
      <w:pPr>
        <w:ind w:left="1460" w:right="339" w:firstLine="335"/>
        <w:spacing w:after="0" w:line="274" w:lineRule="auto"/>
        <w:rPr>
          <w:sz w:val="20"/>
          <w:szCs w:val="20"/>
          <w:color w:val="auto"/>
        </w:rPr>
      </w:pPr>
      <w:r>
        <w:rPr>
          <w:rFonts w:ascii="Times New Roman" w:cs="Times New Roman" w:eastAsia="Times New Roman" w:hAnsi="Times New Roman"/>
          <w:sz w:val="13"/>
          <w:szCs w:val="13"/>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31" w:lineRule="exact"/>
        <w:rPr>
          <w:sz w:val="20"/>
          <w:szCs w:val="20"/>
          <w:color w:val="auto"/>
        </w:rPr>
      </w:pPr>
    </w:p>
    <w:p>
      <w:pPr>
        <w:ind w:left="1460" w:right="439" w:firstLine="335"/>
        <w:spacing w:after="0" w:line="266" w:lineRule="auto"/>
        <w:rPr>
          <w:sz w:val="20"/>
          <w:szCs w:val="20"/>
          <w:color w:val="auto"/>
        </w:rPr>
      </w:pPr>
      <w:r>
        <w:rPr>
          <w:rFonts w:ascii="Times New Roman" w:cs="Times New Roman" w:eastAsia="Times New Roman" w:hAnsi="Times New Roman"/>
          <w:sz w:val="14"/>
          <w:szCs w:val="14"/>
          <w:color w:val="auto"/>
        </w:rPr>
        <w:t>We will issue certificated debt securities in exchange for each global debt security if the depositary is at any time unwilling or unable to continue as depositary or ceases to be a clearing agency registered under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59"/>
        <w:spacing w:after="0" w:line="248" w:lineRule="auto"/>
        <w:rPr>
          <w:sz w:val="20"/>
          <w:szCs w:val="20"/>
          <w:color w:val="auto"/>
        </w:rPr>
      </w:pPr>
      <w:r>
        <w:rPr>
          <w:rFonts w:ascii="Times New Roman" w:cs="Times New Roman" w:eastAsia="Times New Roman" w:hAnsi="Times New Roman"/>
          <w:sz w:val="14"/>
          <w:szCs w:val="14"/>
          <w:color w:val="auto"/>
        </w:rPr>
        <w:t>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Global debt securities will also be exchangeable by the holders for certificated debt securities if an event of default with respect to the book-entry debt securities represented by those global debt securities has occurred and is continuing.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49" w:lineRule="exact"/>
        <w:rPr>
          <w:sz w:val="20"/>
          <w:szCs w:val="20"/>
          <w:color w:val="auto"/>
        </w:rPr>
      </w:pPr>
    </w:p>
    <w:p>
      <w:pPr>
        <w:ind w:left="1460" w:right="659" w:firstLine="335"/>
        <w:spacing w:after="0" w:line="266" w:lineRule="auto"/>
        <w:rPr>
          <w:sz w:val="20"/>
          <w:szCs w:val="20"/>
          <w:color w:val="auto"/>
        </w:rPr>
      </w:pPr>
      <w:r>
        <w:rPr>
          <w:rFonts w:ascii="Times New Roman" w:cs="Times New Roman" w:eastAsia="Times New Roman" w:hAnsi="Times New Roman"/>
          <w:sz w:val="14"/>
          <w:szCs w:val="14"/>
          <w:color w:val="auto"/>
        </w:rPr>
        <w:t>We have obtained the foregoing information concerning the depositary and the depositary’s book-entry system from sources we believe to be reliable, but we take no responsibility for the accuracy of this information.</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89"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w:t>
      </w:r>
    </w:p>
    <w:p>
      <w:pPr>
        <w:spacing w:after="0" w:line="146" w:lineRule="exact"/>
        <w:rPr>
          <w:sz w:val="20"/>
          <w:szCs w:val="20"/>
          <w:color w:val="auto"/>
        </w:rPr>
      </w:pPr>
    </w:p>
    <w:p>
      <w:pPr>
        <w:ind w:left="1460" w:right="419" w:firstLine="335"/>
        <w:spacing w:after="0" w:line="277" w:lineRule="auto"/>
        <w:rPr>
          <w:sz w:val="20"/>
          <w:szCs w:val="20"/>
          <w:color w:val="auto"/>
        </w:rPr>
      </w:pPr>
      <w:r>
        <w:rPr>
          <w:rFonts w:ascii="Times New Roman" w:cs="Times New Roman" w:eastAsia="Times New Roman" w:hAnsi="Times New Roman"/>
          <w:sz w:val="13"/>
          <w:szCs w:val="13"/>
          <w:color w:val="auto"/>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is permitted to engage in other transactions with us or any of our affiliates;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it acquires any conflicting interest (as defined in the indentures or in the Trust Indenture Act), it must eliminate such conflict or resign.</w:t>
      </w:r>
    </w:p>
    <w:p>
      <w:pPr>
        <w:spacing w:after="0" w:line="2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9" w:lineRule="exact"/>
        <w:rPr>
          <w:sz w:val="20"/>
          <w:szCs w:val="20"/>
          <w:color w:val="auto"/>
        </w:rPr>
      </w:pPr>
    </w:p>
    <w:p>
      <w:pPr>
        <w:jc w:val="both"/>
        <w:ind w:left="1460" w:right="339" w:firstLine="335"/>
        <w:spacing w:after="0" w:line="255"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3"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7" w:lineRule="exact"/>
        <w:rPr>
          <w:sz w:val="20"/>
          <w:szCs w:val="20"/>
          <w:color w:val="auto"/>
        </w:rPr>
      </w:pPr>
    </w:p>
    <w:p>
      <w:pPr>
        <w:ind w:left="1460" w:right="479" w:firstLine="335"/>
        <w:spacing w:after="0" w:line="255"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9" w:lineRule="exact"/>
        <w:rPr>
          <w:sz w:val="20"/>
          <w:szCs w:val="20"/>
          <w:color w:val="auto"/>
        </w:rPr>
      </w:pPr>
    </w:p>
    <w:p>
      <w:pPr>
        <w:ind w:left="1460" w:right="339" w:firstLine="335"/>
        <w:spacing w:after="0" w:line="266"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except to the extent that the Trust Indenture Act is applicable.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1"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the applicable prospectus supplements and free writing prospectuses we have authorized for use in connection with a specific offering, summarizes the material terms and provisions of the warrants that we may offer under this prospectus, which may consist of warrants to purchase Common Stock, preferred stock or debt securities and may be issued in one or more series.</w:t>
      </w:r>
    </w:p>
    <w:p>
      <w:pPr>
        <w:spacing w:after="0" w:line="145" w:lineRule="exact"/>
        <w:rPr>
          <w:sz w:val="20"/>
          <w:szCs w:val="20"/>
          <w:color w:val="auto"/>
        </w:rPr>
      </w:pPr>
    </w:p>
    <w:p>
      <w:pPr>
        <w:jc w:val="both"/>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we authorize for use in connection with the specific offering. The terms of any warrants offered under a prospectus supplement may differ from the terms described below.</w:t>
      </w:r>
    </w:p>
    <w:p>
      <w:pPr>
        <w:spacing w:after="0" w:line="146"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we have authorized for use in connection with a specific offering, and the complete warrant agreements and warrant certificates that contain the terms of the warrants.</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 Matters</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relating to a series of warrants being offered, including:</w:t>
      </w:r>
    </w:p>
    <w:p>
      <w:pPr>
        <w:spacing w:after="0" w:line="95" w:lineRule="exact"/>
        <w:rPr>
          <w:sz w:val="20"/>
          <w:szCs w:val="20"/>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or prices and aggregate number of warrants offered;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for which the warrants may be purchased;</w:t>
      </w:r>
    </w:p>
    <w:p>
      <w:pPr>
        <w:spacing w:after="0" w:line="95" w:lineRule="exact"/>
        <w:rPr>
          <w:rFonts w:ascii="Times New Roman" w:cs="Times New Roman" w:eastAsia="Times New Roman" w:hAnsi="Times New Roman"/>
          <w:sz w:val="14"/>
          <w:szCs w:val="14"/>
          <w:color w:val="auto"/>
        </w:rPr>
      </w:pPr>
    </w:p>
    <w:p>
      <w:pPr>
        <w:ind w:left="2200" w:right="499" w:hanging="331"/>
        <w:spacing w:after="0" w:line="266"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5" w:lineRule="exact"/>
        <w:rPr>
          <w:rFonts w:ascii="Times New Roman" w:cs="Times New Roman" w:eastAsia="Times New Roman" w:hAnsi="Times New Roman"/>
          <w:sz w:val="14"/>
          <w:szCs w:val="14"/>
          <w:color w:val="auto"/>
        </w:rPr>
      </w:pPr>
    </w:p>
    <w:p>
      <w:pPr>
        <w:ind w:left="2200" w:right="339" w:hanging="331"/>
        <w:spacing w:after="0" w:line="266"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3" w:lineRule="exact"/>
        <w:rPr>
          <w:rFonts w:ascii="Times New Roman" w:cs="Times New Roman" w:eastAsia="Times New Roman" w:hAnsi="Times New Roman"/>
          <w:sz w:val="14"/>
          <w:szCs w:val="14"/>
          <w:color w:val="auto"/>
        </w:rPr>
      </w:pPr>
    </w:p>
    <w:p>
      <w:pPr>
        <w:ind w:left="2200" w:right="539" w:hanging="331"/>
        <w:spacing w:after="0" w:line="255"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71"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consequences of holding or exercising the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67" w:lineRule="exact"/>
        <w:rPr>
          <w:sz w:val="20"/>
          <w:szCs w:val="20"/>
          <w:color w:val="auto"/>
        </w:rPr>
      </w:pPr>
    </w:p>
    <w:p>
      <w:pPr>
        <w:ind w:left="1460" w:right="539" w:firstLine="335"/>
        <w:spacing w:after="0" w:line="266"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64" w:lineRule="exact"/>
        <w:rPr>
          <w:sz w:val="20"/>
          <w:szCs w:val="20"/>
          <w:color w:val="auto"/>
        </w:rPr>
      </w:pPr>
    </w:p>
    <w:p>
      <w:pPr>
        <w:ind w:left="2200" w:right="399" w:hanging="331"/>
        <w:spacing w:after="0" w:line="266" w:lineRule="auto"/>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3" w:lineRule="exact"/>
        <w:rPr>
          <w:rFonts w:ascii="Times New Roman" w:cs="Times New Roman" w:eastAsia="Times New Roman" w:hAnsi="Times New Roman"/>
          <w:sz w:val="14"/>
          <w:szCs w:val="14"/>
          <w:color w:val="auto"/>
        </w:rPr>
      </w:pPr>
    </w:p>
    <w:p>
      <w:pPr>
        <w:ind w:left="2200" w:right="839" w:hanging="331"/>
        <w:spacing w:after="0" w:line="266" w:lineRule="auto"/>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89"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5"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46"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9" w:lineRule="exact"/>
        <w:rPr>
          <w:sz w:val="20"/>
          <w:szCs w:val="20"/>
          <w:color w:val="auto"/>
        </w:rPr>
      </w:pPr>
    </w:p>
    <w:p>
      <w:pPr>
        <w:jc w:val="both"/>
        <w:ind w:left="1460" w:right="359" w:firstLine="335"/>
        <w:spacing w:after="0" w:line="305" w:lineRule="auto"/>
        <w:rPr>
          <w:sz w:val="20"/>
          <w:szCs w:val="20"/>
          <w:color w:val="auto"/>
        </w:rPr>
      </w:pPr>
      <w:r>
        <w:rPr>
          <w:rFonts w:ascii="Times New Roman" w:cs="Times New Roman" w:eastAsia="Times New Roman" w:hAnsi="Times New Roman"/>
          <w:sz w:val="13"/>
          <w:szCs w:val="13"/>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89"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Warrant Agreement Will Not Be Qualified Under Trust Indenture Act</w:t>
      </w:r>
    </w:p>
    <w:p>
      <w:pPr>
        <w:spacing w:after="0" w:line="89" w:lineRule="exact"/>
        <w:rPr>
          <w:sz w:val="20"/>
          <w:szCs w:val="20"/>
          <w:color w:val="auto"/>
        </w:rPr>
      </w:pPr>
    </w:p>
    <w:p>
      <w:pPr>
        <w:ind w:left="1460" w:right="579" w:firstLine="335"/>
        <w:spacing w:after="0" w:line="255" w:lineRule="auto"/>
        <w:rPr>
          <w:sz w:val="20"/>
          <w:szCs w:val="20"/>
          <w:color w:val="auto"/>
        </w:rPr>
      </w:pPr>
      <w:r>
        <w:rPr>
          <w:rFonts w:ascii="Times New Roman" w:cs="Times New Roman" w:eastAsia="Times New Roman" w:hAnsi="Times New Roman"/>
          <w:sz w:val="14"/>
          <w:szCs w:val="14"/>
          <w:color w:val="auto"/>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Calculation Agent</w:t>
      </w:r>
    </w:p>
    <w:p>
      <w:pPr>
        <w:spacing w:after="0" w:line="89"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w:t>
      </w:r>
    </w:p>
    <w:p>
      <w:pPr>
        <w:spacing w:after="0" w:line="145" w:lineRule="exact"/>
        <w:rPr>
          <w:sz w:val="20"/>
          <w:szCs w:val="20"/>
          <w:color w:val="auto"/>
        </w:rPr>
      </w:pPr>
    </w:p>
    <w:p>
      <w:pPr>
        <w:ind w:left="1460" w:right="359" w:firstLine="335"/>
        <w:spacing w:after="0" w:line="266" w:lineRule="auto"/>
        <w:rPr>
          <w:sz w:val="20"/>
          <w:szCs w:val="20"/>
          <w:color w:val="auto"/>
        </w:rPr>
      </w:pPr>
      <w:r>
        <w:rPr>
          <w:rFonts w:ascii="Times New Roman" w:cs="Times New Roman" w:eastAsia="Times New Roman" w:hAnsi="Times New Roman"/>
          <w:sz w:val="14"/>
          <w:szCs w:val="14"/>
          <w:color w:val="auto"/>
        </w:rPr>
        <w:t>The calculation agent’s determination of any amount of money payable or securities deliverable with respect to a warrant will be final and binding in the absence of manifest error.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79"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jc w:val="both"/>
        <w:ind w:left="1460" w:right="339" w:firstLine="335"/>
        <w:spacing w:after="0" w:line="255" w:lineRule="auto"/>
        <w:rPr>
          <w:sz w:val="20"/>
          <w:szCs w:val="20"/>
          <w:color w:val="auto"/>
        </w:rPr>
      </w:pPr>
      <w:r>
        <w:rPr>
          <w:rFonts w:ascii="Times New Roman" w:cs="Times New Roman" w:eastAsia="Times New Roman" w:hAnsi="Times New Roman"/>
          <w:sz w:val="14"/>
          <w:szCs w:val="14"/>
          <w:color w:val="auto"/>
        </w:rPr>
        <w:t>We may issue rights to purchase Common Stock, preferred stock, units or the other securities described in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43" w:lineRule="exact"/>
        <w:rPr>
          <w:sz w:val="20"/>
          <w:szCs w:val="20"/>
          <w:color w:val="auto"/>
        </w:rPr>
      </w:pPr>
    </w:p>
    <w:p>
      <w:pPr>
        <w:ind w:left="1460" w:right="759" w:firstLine="335"/>
        <w:spacing w:after="0" w:line="266"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and conditions of the issue of rights being offered, the rights agreement relating to the rights and the rights certificates representing the rights, including, as applicable:</w:t>
      </w:r>
    </w:p>
    <w:p>
      <w:pPr>
        <w:spacing w:after="0" w:line="64" w:lineRule="exact"/>
        <w:rPr>
          <w:sz w:val="20"/>
          <w:szCs w:val="20"/>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rights;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stockholders entitled to the rights distribution;</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aggregate number of shares of Common Stock, preferred stock or other securities purchasable upon exercise of the rights;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rights are being offered;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issued;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rights will be separately transferable;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 will expire;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rights, including terms, procedures and limitations relating to the distribution, exchange and exercise of the rights.</w:t>
      </w:r>
    </w:p>
    <w:p>
      <w:pPr>
        <w:spacing w:after="0" w:line="25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Exercise of Rights</w:t>
      </w:r>
    </w:p>
    <w:p>
      <w:pPr>
        <w:spacing w:after="0" w:line="89"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Each right will entitle the holder of rights to purchase for cash the principal amount of shares of Common Stock, preferred stock, units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45"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brokers or dealers or through a combination of such methods, including pursuant to standby underwriting arrangements, as described in the applicable prospectus supplement.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79"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1" w:lineRule="exact"/>
        <w:rPr>
          <w:sz w:val="20"/>
          <w:szCs w:val="20"/>
          <w:color w:val="auto"/>
        </w:rPr>
      </w:pPr>
    </w:p>
    <w:p>
      <w:pPr>
        <w:jc w:val="both"/>
        <w:ind w:left="1460" w:right="619" w:firstLine="335"/>
        <w:spacing w:after="0" w:line="252"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45"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the applicable prospectus supplement, summarizes the general features of the units that we may offer under this prospectus. You should read any prospectus supplement and any free writing prospectus we authorize for use in connection with a specific offering of units,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47" w:lineRule="exact"/>
        <w:rPr>
          <w:sz w:val="20"/>
          <w:szCs w:val="20"/>
          <w:color w:val="auto"/>
        </w:rPr>
      </w:pPr>
    </w:p>
    <w:p>
      <w:pPr>
        <w:ind w:left="1460" w:right="439" w:firstLine="335"/>
        <w:spacing w:after="0" w:line="266" w:lineRule="auto"/>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64" w:lineRule="exact"/>
        <w:rPr>
          <w:sz w:val="20"/>
          <w:szCs w:val="20"/>
          <w:color w:val="auto"/>
        </w:rPr>
      </w:pPr>
    </w:p>
    <w:p>
      <w:pPr>
        <w:ind w:left="2200" w:hanging="33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units;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7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71" w:lineRule="exact"/>
        <w:rPr>
          <w:sz w:val="20"/>
          <w:szCs w:val="20"/>
          <w:color w:val="auto"/>
        </w:rPr>
      </w:pPr>
    </w:p>
    <w:p>
      <w:pPr>
        <w:ind w:left="1460" w:right="379" w:firstLine="335"/>
        <w:spacing w:after="0" w:line="274" w:lineRule="auto"/>
        <w:rPr>
          <w:sz w:val="20"/>
          <w:szCs w:val="20"/>
          <w:color w:val="auto"/>
        </w:rPr>
      </w:pPr>
      <w:r>
        <w:rPr>
          <w:rFonts w:ascii="Times New Roman" w:cs="Times New Roman" w:eastAsia="Times New Roman" w:hAnsi="Times New Roman"/>
          <w:sz w:val="13"/>
          <w:szCs w:val="13"/>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89" w:lineRule="exact"/>
        <w:rPr>
          <w:sz w:val="20"/>
          <w:szCs w:val="20"/>
          <w:color w:val="auto"/>
        </w:rPr>
      </w:pPr>
    </w:p>
    <w:p>
      <w:pPr>
        <w:ind w:left="1460" w:right="539" w:firstLine="335"/>
        <w:spacing w:after="0" w:line="252"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5"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6" w:lineRule="exact"/>
        <w:rPr>
          <w:sz w:val="20"/>
          <w:szCs w:val="20"/>
          <w:color w:val="auto"/>
        </w:rPr>
      </w:pPr>
    </w:p>
    <w:p>
      <w:pPr>
        <w:jc w:val="both"/>
        <w:ind w:left="1460" w:right="359" w:firstLine="335"/>
        <w:spacing w:after="0" w:line="255" w:lineRule="auto"/>
        <w:rPr>
          <w:sz w:val="20"/>
          <w:szCs w:val="20"/>
          <w:color w:val="auto"/>
        </w:rPr>
      </w:pPr>
      <w:r>
        <w:rPr>
          <w:rFonts w:ascii="Times New Roman" w:cs="Times New Roman" w:eastAsia="Times New Roman" w:hAnsi="Times New Roman"/>
          <w:sz w:val="14"/>
          <w:szCs w:val="14"/>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89" w:lineRule="exact"/>
        <w:rPr>
          <w:sz w:val="20"/>
          <w:szCs w:val="20"/>
          <w:color w:val="auto"/>
        </w:rPr>
      </w:pPr>
    </w:p>
    <w:p>
      <w:pPr>
        <w:ind w:left="1460" w:right="379" w:firstLine="335"/>
        <w:spacing w:after="0" w:line="277" w:lineRule="auto"/>
        <w:rPr>
          <w:sz w:val="20"/>
          <w:szCs w:val="20"/>
          <w:color w:val="auto"/>
        </w:rPr>
      </w:pPr>
      <w:r>
        <w:rPr>
          <w:rFonts w:ascii="Times New Roman" w:cs="Times New Roman" w:eastAsia="Times New Roman" w:hAnsi="Times New Roman"/>
          <w:sz w:val="13"/>
          <w:szCs w:val="13"/>
          <w:color w:val="auto"/>
        </w:rPr>
        <w:t>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31"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89"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79"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59" w:firstLine="335"/>
        <w:spacing w:after="0" w:line="274" w:lineRule="auto"/>
        <w:rPr>
          <w:sz w:val="20"/>
          <w:szCs w:val="20"/>
          <w:color w:val="auto"/>
        </w:rPr>
      </w:pPr>
      <w:r>
        <w:rPr>
          <w:rFonts w:ascii="Times New Roman" w:cs="Times New Roman" w:eastAsia="Times New Roman" w:hAnsi="Times New Roman"/>
          <w:sz w:val="13"/>
          <w:szCs w:val="13"/>
          <w:color w:val="auto"/>
        </w:rPr>
        <w:t>For example, once we make a payment or give a notice to the legal holder, we have no further responsibility for the payment or notice even if that legal holder is required, under agreements with its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89" w:lineRule="exact"/>
        <w:rPr>
          <w:sz w:val="20"/>
          <w:szCs w:val="20"/>
          <w:color w:val="auto"/>
        </w:rPr>
      </w:pPr>
    </w:p>
    <w:p>
      <w:pPr>
        <w:ind w:left="1460" w:right="419" w:firstLine="335"/>
        <w:spacing w:after="0" w:line="266"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4" w:lineRule="exact"/>
        <w:rPr>
          <w:sz w:val="20"/>
          <w:szCs w:val="20"/>
          <w:color w:val="auto"/>
        </w:rPr>
      </w:pPr>
    </w:p>
    <w:p>
      <w:pPr>
        <w:ind w:left="2200" w:hanging="33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5" w:lineRule="exact"/>
        <w:rPr>
          <w:rFonts w:ascii="Times New Roman" w:cs="Times New Roman" w:eastAsia="Times New Roman" w:hAnsi="Times New Roman"/>
          <w:sz w:val="14"/>
          <w:szCs w:val="14"/>
          <w:color w:val="auto"/>
        </w:rPr>
      </w:pPr>
    </w:p>
    <w:p>
      <w:pPr>
        <w:ind w:left="2200" w:right="519" w:hanging="331"/>
        <w:spacing w:after="0" w:line="266"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63" w:lineRule="exact"/>
        <w:rPr>
          <w:rFonts w:ascii="Times New Roman" w:cs="Times New Roman" w:eastAsia="Times New Roman" w:hAnsi="Times New Roman"/>
          <w:sz w:val="14"/>
          <w:szCs w:val="14"/>
          <w:color w:val="auto"/>
        </w:rPr>
      </w:pPr>
    </w:p>
    <w:p>
      <w:pPr>
        <w:ind w:left="2200" w:right="419" w:hanging="331"/>
        <w:spacing w:after="0" w:line="266"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9" w:lineRule="exact"/>
        <w:rPr>
          <w:sz w:val="20"/>
          <w:szCs w:val="20"/>
          <w:color w:val="auto"/>
        </w:rPr>
      </w:pPr>
    </w:p>
    <w:p>
      <w:pPr>
        <w:ind w:left="1460" w:right="759" w:firstLine="335"/>
        <w:spacing w:after="0" w:line="266"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36"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45"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9" w:lineRule="exact"/>
        <w:rPr>
          <w:sz w:val="20"/>
          <w:szCs w:val="20"/>
          <w:color w:val="auto"/>
        </w:rPr>
      </w:pPr>
    </w:p>
    <w:p>
      <w:pPr>
        <w:ind w:left="1460" w:right="419" w:firstLine="335"/>
        <w:spacing w:after="0" w:line="255"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79"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89" w:lineRule="exact"/>
        <w:rPr>
          <w:sz w:val="20"/>
          <w:szCs w:val="20"/>
          <w:color w:val="auto"/>
        </w:rPr>
      </w:pPr>
    </w:p>
    <w:p>
      <w:pPr>
        <w:jc w:val="both"/>
        <w:ind w:left="1460" w:right="419" w:firstLine="335"/>
        <w:spacing w:after="0" w:line="255"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If securities are issued only as global securities, an investor should be aware of the following:</w:t>
      </w:r>
    </w:p>
    <w:p>
      <w:pPr>
        <w:spacing w:after="0" w:line="95" w:lineRule="exact"/>
        <w:rPr>
          <w:sz w:val="20"/>
          <w:szCs w:val="20"/>
          <w:color w:val="auto"/>
        </w:rPr>
      </w:pPr>
    </w:p>
    <w:p>
      <w:pPr>
        <w:ind w:left="2200" w:right="35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described below;</w:t>
      </w:r>
    </w:p>
    <w:p>
      <w:pPr>
        <w:spacing w:after="0" w:line="63" w:lineRule="exact"/>
        <w:rPr>
          <w:rFonts w:ascii="Times New Roman" w:cs="Times New Roman" w:eastAsia="Times New Roman" w:hAnsi="Times New Roman"/>
          <w:sz w:val="14"/>
          <w:szCs w:val="14"/>
          <w:color w:val="auto"/>
        </w:rPr>
      </w:pPr>
    </w:p>
    <w:p>
      <w:pPr>
        <w:ind w:left="2200" w:right="35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described above;</w:t>
      </w:r>
    </w:p>
    <w:p>
      <w:pPr>
        <w:spacing w:after="0" w:line="63" w:lineRule="exact"/>
        <w:rPr>
          <w:rFonts w:ascii="Times New Roman" w:cs="Times New Roman" w:eastAsia="Times New Roman" w:hAnsi="Times New Roman"/>
          <w:sz w:val="14"/>
          <w:szCs w:val="14"/>
          <w:color w:val="auto"/>
        </w:rPr>
      </w:pPr>
    </w:p>
    <w:p>
      <w:pPr>
        <w:ind w:left="2200" w:right="39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63" w:lineRule="exact"/>
        <w:rPr>
          <w:rFonts w:ascii="Times New Roman" w:cs="Times New Roman" w:eastAsia="Times New Roman" w:hAnsi="Times New Roman"/>
          <w:sz w:val="14"/>
          <w:szCs w:val="14"/>
          <w:color w:val="auto"/>
        </w:rPr>
      </w:pPr>
    </w:p>
    <w:p>
      <w:pPr>
        <w:ind w:left="2200" w:right="33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3" w:lineRule="exact"/>
        <w:rPr>
          <w:rFonts w:ascii="Times New Roman" w:cs="Times New Roman" w:eastAsia="Times New Roman" w:hAnsi="Times New Roman"/>
          <w:sz w:val="14"/>
          <w:szCs w:val="14"/>
          <w:color w:val="auto"/>
        </w:rPr>
      </w:pPr>
    </w:p>
    <w:p>
      <w:pPr>
        <w:ind w:left="2200" w:right="37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w:t>
      </w:r>
    </w:p>
    <w:p>
      <w:pPr>
        <w:spacing w:after="0" w:line="63" w:lineRule="exact"/>
        <w:rPr>
          <w:rFonts w:ascii="Times New Roman" w:cs="Times New Roman" w:eastAsia="Times New Roman" w:hAnsi="Times New Roman"/>
          <w:sz w:val="14"/>
          <w:szCs w:val="14"/>
          <w:color w:val="auto"/>
        </w:rPr>
      </w:pPr>
    </w:p>
    <w:p>
      <w:pPr>
        <w:ind w:left="2200" w:right="51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3" w:lineRule="exact"/>
        <w:rPr>
          <w:rFonts w:ascii="Times New Roman" w:cs="Times New Roman" w:eastAsia="Times New Roman" w:hAnsi="Times New Roman"/>
          <w:sz w:val="14"/>
          <w:szCs w:val="14"/>
          <w:color w:val="auto"/>
        </w:rPr>
      </w:pPr>
    </w:p>
    <w:p>
      <w:pPr>
        <w:ind w:left="2200" w:right="55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the global security within its book-entry system use immediately available funds, and your broker or bank may require you to do the same; and</w:t>
      </w:r>
    </w:p>
    <w:p>
      <w:pPr>
        <w:spacing w:after="0" w:line="63" w:lineRule="exact"/>
        <w:rPr>
          <w:rFonts w:ascii="Times New Roman" w:cs="Times New Roman" w:eastAsia="Times New Roman" w:hAnsi="Times New Roman"/>
          <w:sz w:val="14"/>
          <w:szCs w:val="14"/>
          <w:color w:val="auto"/>
        </w:rPr>
      </w:pPr>
    </w:p>
    <w:p>
      <w:pPr>
        <w:ind w:left="2200" w:right="519" w:hanging="331"/>
        <w:spacing w:after="0" w:line="266"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36" w:lineRule="exact"/>
        <w:rPr>
          <w:sz w:val="20"/>
          <w:szCs w:val="20"/>
          <w:color w:val="auto"/>
        </w:rPr>
      </w:pPr>
    </w:p>
    <w:p>
      <w:pPr>
        <w:ind w:left="1460" w:right="519" w:firstLine="335"/>
        <w:spacing w:after="0" w:line="266" w:lineRule="auto"/>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89" w:lineRule="exact"/>
        <w:rPr>
          <w:sz w:val="20"/>
          <w:szCs w:val="20"/>
          <w:color w:val="auto"/>
        </w:rPr>
      </w:pPr>
    </w:p>
    <w:p>
      <w:pPr>
        <w:ind w:left="1460" w:right="479" w:firstLine="335"/>
        <w:spacing w:after="0" w:line="252"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The rights of holders and street name investors are described above.</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 global security will terminate when the following special situations occur:</w:t>
      </w:r>
    </w:p>
    <w:p>
      <w:pPr>
        <w:spacing w:after="0" w:line="95" w:lineRule="exact"/>
        <w:rPr>
          <w:sz w:val="20"/>
          <w:szCs w:val="20"/>
          <w:color w:val="auto"/>
        </w:rPr>
      </w:pPr>
    </w:p>
    <w:p>
      <w:pPr>
        <w:ind w:left="2200" w:right="519" w:hanging="331"/>
        <w:spacing w:after="0" w:line="266"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79"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jc w:val="both"/>
        <w:ind w:left="1460" w:right="459" w:firstLine="335"/>
        <w:spacing w:after="0" w:line="255" w:lineRule="auto"/>
        <w:rPr>
          <w:sz w:val="20"/>
          <w:szCs w:val="20"/>
          <w:color w:val="auto"/>
        </w:rPr>
      </w:pPr>
      <w:r>
        <w:rPr>
          <w:rFonts w:ascii="Times New Roman" w:cs="Times New Roman" w:eastAsia="Times New Roman" w:hAnsi="Times New Roman"/>
          <w:sz w:val="14"/>
          <w:szCs w:val="14"/>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79"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direct sales to the public, “at the market” offerings, negotiated transactions, block trades, a combination of these methods, or through any other method permitted by applicable law and described in a prospectus supplement. We may sell the securities to or through underwriters or dealers, through agents, or directly to one or more purchasers. We may distribute securities from time to time in one or more transactions:</w:t>
      </w:r>
    </w:p>
    <w:p>
      <w:pPr>
        <w:spacing w:after="0" w:line="73" w:lineRule="exact"/>
        <w:rPr>
          <w:sz w:val="20"/>
          <w:szCs w:val="20"/>
          <w:color w:val="auto"/>
        </w:rPr>
      </w:pPr>
    </w:p>
    <w:p>
      <w:pPr>
        <w:ind w:left="2200" w:hanging="331"/>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7" w:lineRule="exact"/>
        <w:rPr>
          <w:sz w:val="20"/>
          <w:szCs w:val="20"/>
          <w:color w:val="auto"/>
        </w:rPr>
      </w:pPr>
    </w:p>
    <w:p>
      <w:pPr>
        <w:ind w:left="1460" w:right="739" w:firstLine="335"/>
        <w:spacing w:after="0" w:line="266"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have authorized for use in connection with a specific offering) will describe the terms of the offering of the securities, including, to the extent applicable:</w:t>
      </w:r>
    </w:p>
    <w:p>
      <w:pPr>
        <w:spacing w:after="0" w:line="64" w:lineRule="exact"/>
        <w:rPr>
          <w:sz w:val="20"/>
          <w:szCs w:val="20"/>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the underwriters, if any;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if any, we will receive from the sale;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w:t>
      </w:r>
    </w:p>
    <w:p>
      <w:pPr>
        <w:spacing w:after="0" w:line="167" w:lineRule="exact"/>
        <w:rPr>
          <w:sz w:val="20"/>
          <w:szCs w:val="20"/>
          <w:color w:val="auto"/>
        </w:rPr>
      </w:pPr>
    </w:p>
    <w:p>
      <w:pPr>
        <w:ind w:left="1460" w:right="379" w:firstLine="335"/>
        <w:spacing w:after="0" w:line="270" w:lineRule="auto"/>
        <w:rPr>
          <w:sz w:val="20"/>
          <w:szCs w:val="20"/>
          <w:color w:val="auto"/>
        </w:rPr>
      </w:pPr>
      <w:r>
        <w:rPr>
          <w:rFonts w:ascii="Times New Roman" w:cs="Times New Roman" w:eastAsia="Times New Roman" w:hAnsi="Times New Roman"/>
          <w:sz w:val="13"/>
          <w:szCs w:val="13"/>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36" w:lineRule="exact"/>
        <w:rPr>
          <w:sz w:val="20"/>
          <w:szCs w:val="20"/>
          <w:color w:val="auto"/>
        </w:rPr>
      </w:pPr>
    </w:p>
    <w:p>
      <w:pPr>
        <w:ind w:left="1460" w:right="359" w:firstLine="335"/>
        <w:spacing w:after="0" w:line="255"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43" w:lineRule="exact"/>
        <w:rPr>
          <w:sz w:val="20"/>
          <w:szCs w:val="20"/>
          <w:color w:val="auto"/>
        </w:rPr>
      </w:pPr>
    </w:p>
    <w:p>
      <w:pPr>
        <w:ind w:left="1460" w:right="619" w:firstLine="335"/>
        <w:spacing w:after="0" w:line="266"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7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779"/>
        <w:spacing w:after="0" w:line="266" w:lineRule="auto"/>
        <w:rPr>
          <w:sz w:val="20"/>
          <w:szCs w:val="20"/>
          <w:color w:val="auto"/>
        </w:rPr>
      </w:pPr>
      <w:r>
        <w:rPr>
          <w:rFonts w:ascii="Times New Roman" w:cs="Times New Roman" w:eastAsia="Times New Roman" w:hAnsi="Times New Roman"/>
          <w:sz w:val="14"/>
          <w:szCs w:val="14"/>
          <w:color w:val="auto"/>
        </w:rPr>
        <w:t>delivery contracts providing for payment and delivery on a specified date in the future. We will describe the conditions to these contracts and the commissions we must pay for solicitation of these contracts in the prospectus supplement.</w:t>
      </w:r>
    </w:p>
    <w:p>
      <w:pPr>
        <w:spacing w:after="0" w:line="136" w:lineRule="exact"/>
        <w:rPr>
          <w:sz w:val="20"/>
          <w:szCs w:val="20"/>
          <w:color w:val="auto"/>
        </w:rPr>
      </w:pPr>
    </w:p>
    <w:p>
      <w:pPr>
        <w:jc w:val="both"/>
        <w:ind w:left="1460" w:right="339" w:firstLine="335"/>
        <w:spacing w:after="0" w:line="255"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43"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43" w:lineRule="exact"/>
        <w:rPr>
          <w:sz w:val="20"/>
          <w:szCs w:val="20"/>
          <w:color w:val="auto"/>
        </w:rPr>
      </w:pPr>
    </w:p>
    <w:p>
      <w:pPr>
        <w:ind w:left="1460" w:right="339" w:firstLine="335"/>
        <w:spacing w:after="0" w:line="270" w:lineRule="auto"/>
        <w:rPr>
          <w:sz w:val="20"/>
          <w:szCs w:val="20"/>
          <w:color w:val="auto"/>
        </w:rPr>
      </w:pPr>
      <w:r>
        <w:rPr>
          <w:rFonts w:ascii="Times New Roman" w:cs="Times New Roman" w:eastAsia="Times New Roman" w:hAnsi="Times New Roman"/>
          <w:sz w:val="13"/>
          <w:szCs w:val="13"/>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36"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color w:val="auto"/>
        </w:rPr>
        <w:t>Any underwriters that are qualified market makers on the Nasdaq Capital Market may engage in passive market making transactions in the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49" w:lineRule="exact"/>
        <w:rPr>
          <w:sz w:val="20"/>
          <w:szCs w:val="20"/>
          <w:color w:val="auto"/>
        </w:rPr>
      </w:pPr>
    </w:p>
    <w:p>
      <w:pPr>
        <w:jc w:val="both"/>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79"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1" w:lineRule="exact"/>
        <w:rPr>
          <w:sz w:val="20"/>
          <w:szCs w:val="20"/>
          <w:color w:val="auto"/>
        </w:rPr>
      </w:pPr>
    </w:p>
    <w:p>
      <w:pPr>
        <w:ind w:left="1460" w:right="479" w:firstLine="335"/>
        <w:spacing w:after="0" w:line="266"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validity of the securities offered by this prospectus, and any supplement thereto, will be passed upon for us by Paul Hastings LLP, Palo Alto, California.</w:t>
      </w:r>
    </w:p>
    <w:p>
      <w:pPr>
        <w:spacing w:after="0" w:line="2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The consolidated financial statements of Scilex Holding Company as of December 31, 2025 and December 31, 2024, and for each of the two years in the period ended December 31, 2025, appearing in this prospectus, have been audited by BPM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incorporated by reference herein, and are so incorporated in reliance upon such report given on the authority of such firm as experts in accounting and auditing.</w:t>
      </w: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1" w:lineRule="exact"/>
        <w:rPr>
          <w:sz w:val="20"/>
          <w:szCs w:val="20"/>
          <w:color w:val="auto"/>
        </w:rPr>
      </w:pPr>
    </w:p>
    <w:p>
      <w:pPr>
        <w:ind w:left="1460" w:right="539" w:firstLine="335"/>
        <w:spacing w:after="0" w:line="248" w:lineRule="auto"/>
        <w:rPr>
          <w:sz w:val="20"/>
          <w:szCs w:val="20"/>
          <w:color w:val="auto"/>
        </w:rPr>
      </w:pPr>
      <w:r>
        <w:rPr>
          <w:rFonts w:ascii="Times New Roman" w:cs="Times New Roman" w:eastAsia="Times New Roman" w:hAnsi="Times New Roman"/>
          <w:sz w:val="14"/>
          <w:szCs w:val="14"/>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registration statement and the exhibits and schedules filed as a part of the registration statement. The SEC maintains an Internet site that contains reports, proxy and information statements, and other information regarding issuers that file electronically with the SEC, including Scilex Holding Company. The SEC’s Internet site can be found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60" w:right="479" w:firstLine="335"/>
        <w:spacing w:after="0" w:line="251"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www.scilexholding.com</w:t>
      </w:r>
      <w:r>
        <w:rPr>
          <w:rFonts w:ascii="Times New Roman" w:cs="Times New Roman" w:eastAsia="Times New Roman" w:hAnsi="Times New Roman"/>
          <w:sz w:val="14"/>
          <w:szCs w:val="14"/>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should not be relied upon in connection with making any decision with respect to an investment in our securities, and the inclusion of our website address in this prospectus is an inactive textual reference only.</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7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IMPORTANT INFORMATION INCORPORATED BY REFERENCE</w:t>
      </w:r>
    </w:p>
    <w:p>
      <w:pPr>
        <w:spacing w:after="0" w:line="171"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following documents are incorporated by reference into this prospectus:</w:t>
      </w:r>
    </w:p>
    <w:p>
      <w:pPr>
        <w:spacing w:after="0" w:line="95" w:lineRule="exact"/>
        <w:rPr>
          <w:sz w:val="20"/>
          <w:szCs w:val="20"/>
          <w:color w:val="auto"/>
        </w:rPr>
      </w:pPr>
    </w:p>
    <w:p>
      <w:pPr>
        <w:ind w:left="2200" w:hanging="413"/>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December 31, 2025, filed with the SEC on </w:t>
      </w:r>
      <w:hyperlink r:id="rId72">
        <w:r>
          <w:rPr>
            <w:rFonts w:ascii="Times New Roman" w:cs="Times New Roman" w:eastAsia="Times New Roman" w:hAnsi="Times New Roman"/>
            <w:sz w:val="14"/>
            <w:szCs w:val="14"/>
            <w:u w:val="single" w:color="auto"/>
            <w:color w:val="0000EE"/>
          </w:rPr>
          <w:t>April 10, 2026</w:t>
        </w:r>
      </w:hyperlink>
      <w:r>
        <w:rPr>
          <w:rFonts w:ascii="Times New Roman" w:cs="Times New Roman" w:eastAsia="Times New Roman" w:hAnsi="Times New Roman"/>
          <w:sz w:val="14"/>
          <w:szCs w:val="14"/>
          <w:color w:val="auto"/>
        </w:rPr>
        <w:t>;</w:t>
      </w:r>
    </w:p>
    <w:p>
      <w:pPr>
        <w:spacing w:after="0" w:line="95" w:lineRule="exact"/>
        <w:rPr>
          <w:rFonts w:ascii="Times New Roman" w:cs="Times New Roman" w:eastAsia="Times New Roman" w:hAnsi="Times New Roman"/>
          <w:sz w:val="14"/>
          <w:szCs w:val="14"/>
          <w:color w:val="auto"/>
        </w:rPr>
      </w:pPr>
    </w:p>
    <w:p>
      <w:pPr>
        <w:ind w:left="2200" w:hanging="413"/>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73">
        <w:r>
          <w:rPr>
            <w:rFonts w:ascii="Times New Roman" w:cs="Times New Roman" w:eastAsia="Times New Roman" w:hAnsi="Times New Roman"/>
            <w:sz w:val="14"/>
            <w:szCs w:val="14"/>
            <w:u w:val="single" w:color="auto"/>
            <w:color w:val="0000EE"/>
          </w:rPr>
          <w:t>February 2, 2026</w:t>
        </w:r>
      </w:hyperlink>
      <w:r>
        <w:rPr>
          <w:rFonts w:ascii="Times New Roman" w:cs="Times New Roman" w:eastAsia="Times New Roman" w:hAnsi="Times New Roman"/>
          <w:sz w:val="14"/>
          <w:szCs w:val="14"/>
          <w:color w:val="auto"/>
        </w:rPr>
        <w:t xml:space="preserve">, </w:t>
      </w:r>
      <w:hyperlink r:id="rId74">
        <w:r>
          <w:rPr>
            <w:rFonts w:ascii="Times New Roman" w:cs="Times New Roman" w:eastAsia="Times New Roman" w:hAnsi="Times New Roman"/>
            <w:sz w:val="14"/>
            <w:szCs w:val="14"/>
            <w:u w:val="single" w:color="auto"/>
            <w:color w:val="0000EE"/>
          </w:rPr>
          <w:t>February 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5">
        <w:r>
          <w:rPr>
            <w:rFonts w:ascii="Times New Roman" w:cs="Times New Roman" w:eastAsia="Times New Roman" w:hAnsi="Times New Roman"/>
            <w:sz w:val="14"/>
            <w:szCs w:val="14"/>
            <w:u w:val="single" w:color="auto"/>
            <w:color w:val="0000EE"/>
          </w:rPr>
          <w:t>February 20, 2026</w:t>
        </w:r>
      </w:hyperlink>
      <w:r>
        <w:rPr>
          <w:rFonts w:ascii="Times New Roman" w:cs="Times New Roman" w:eastAsia="Times New Roman" w:hAnsi="Times New Roman"/>
          <w:sz w:val="14"/>
          <w:szCs w:val="14"/>
          <w:color w:val="auto"/>
        </w:rPr>
        <w:t>; and</w:t>
      </w:r>
    </w:p>
    <w:p>
      <w:pPr>
        <w:spacing w:after="0" w:line="95" w:lineRule="exact"/>
        <w:rPr>
          <w:rFonts w:ascii="Times New Roman" w:cs="Times New Roman" w:eastAsia="Times New Roman" w:hAnsi="Times New Roman"/>
          <w:sz w:val="14"/>
          <w:szCs w:val="14"/>
          <w:color w:val="auto"/>
        </w:rPr>
      </w:pPr>
    </w:p>
    <w:p>
      <w:pPr>
        <w:ind w:left="2200" w:right="839" w:hanging="413"/>
        <w:spacing w:after="0" w:line="250"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76">
        <w:r>
          <w:rPr>
            <w:rFonts w:ascii="Times New Roman" w:cs="Times New Roman" w:eastAsia="Times New Roman" w:hAnsi="Times New Roman"/>
            <w:sz w:val="14"/>
            <w:szCs w:val="14"/>
            <w:u w:val="single" w:color="auto"/>
            <w:color w:val="0000EE"/>
          </w:rPr>
          <w:t>Exhibit 4.16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Annual Report on Form 10-K for the fiscal year ended December 31, 2024, filed with the SEC on March 31, 2025, which updates the description of our Common Stock contained in the Registration Statement on </w:t>
      </w:r>
      <w:hyperlink r:id="rId77">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001-39852) filed with the SEC on January 6, 2021, pursuant to Section 12(b) of the Exchange Act , including any amendments or reports filed for the purpose of updating, amending, or otherwise modifying such description.</w:t>
      </w:r>
    </w:p>
    <w:p>
      <w:pPr>
        <w:spacing w:after="0" w:line="146" w:lineRule="exact"/>
        <w:rPr>
          <w:rFonts w:ascii="Times New Roman" w:cs="Times New Roman" w:eastAsia="Times New Roman" w:hAnsi="Times New Roman"/>
          <w:sz w:val="14"/>
          <w:szCs w:val="14"/>
          <w:color w:val="auto"/>
        </w:rPr>
      </w:pPr>
    </w:p>
    <w:p>
      <w:pPr>
        <w:ind w:left="1460" w:right="539" w:firstLine="335"/>
        <w:spacing w:after="0" w:line="272" w:lineRule="auto"/>
        <w:rPr>
          <w:sz w:val="20"/>
          <w:szCs w:val="20"/>
          <w:color w:val="auto"/>
        </w:rPr>
      </w:pPr>
      <w:r>
        <w:rPr>
          <w:rFonts w:ascii="Times New Roman" w:cs="Times New Roman" w:eastAsia="Times New Roman" w:hAnsi="Times New Roman"/>
          <w:sz w:val="13"/>
          <w:szCs w:val="13"/>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w:t>
      </w:r>
    </w:p>
    <w:p>
      <w:pPr>
        <w:spacing w:after="0" w:line="1" w:lineRule="exact"/>
        <w:rPr>
          <w:rFonts w:ascii="Times New Roman" w:cs="Times New Roman" w:eastAsia="Times New Roman" w:hAnsi="Times New Roman"/>
          <w:sz w:val="14"/>
          <w:szCs w:val="14"/>
          <w:color w:val="auto"/>
        </w:rPr>
      </w:pPr>
    </w:p>
    <w:p>
      <w:pPr>
        <w:ind w:left="1460" w:right="399"/>
        <w:spacing w:after="0" w:line="245" w:lineRule="auto"/>
        <w:rPr>
          <w:sz w:val="20"/>
          <w:szCs w:val="20"/>
          <w:color w:val="auto"/>
        </w:rPr>
      </w:pPr>
      <w:r>
        <w:rPr>
          <w:rFonts w:ascii="Times New Roman" w:cs="Times New Roman" w:eastAsia="Times New Roman" w:hAnsi="Times New Roman"/>
          <w:sz w:val="14"/>
          <w:szCs w:val="14"/>
          <w:color w:val="auto"/>
        </w:rPr>
        <w:t>Sections 13(a), 13(c), 14 or 15(d) of the Exchange Act, including those made after the date of the initial filing of the registration statement of which this prospectus forms a part,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51" w:lineRule="exact"/>
        <w:rPr>
          <w:rFonts w:ascii="Times New Roman" w:cs="Times New Roman" w:eastAsia="Times New Roman" w:hAnsi="Times New Roman"/>
          <w:sz w:val="14"/>
          <w:szCs w:val="14"/>
          <w:color w:val="auto"/>
        </w:rPr>
      </w:pPr>
    </w:p>
    <w:p>
      <w:pPr>
        <w:ind w:left="1460" w:right="859" w:firstLine="335"/>
        <w:spacing w:after="0" w:line="266"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You may obtain documents incorporated by reference in this prospectus by requesting them in writing or by telephone at the following address:</w:t>
      </w:r>
    </w:p>
    <w:p>
      <w:pPr>
        <w:spacing w:after="0" w:line="136"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Scilex Holding Company</w:t>
      </w:r>
    </w:p>
    <w:p>
      <w:pPr>
        <w:spacing w:after="0" w:line="1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960 San Antonio Road</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Palo Alto, CA 94303</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Phone: (650) 516-4310</w:t>
      </w:r>
    </w:p>
    <w:p>
      <w:pPr>
        <w:spacing w:after="0" w:line="10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7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Item 14. Other Expenses of Issuance and Distribution</w:t>
      </w:r>
    </w:p>
    <w:p>
      <w:pPr>
        <w:spacing w:after="0" w:line="89" w:lineRule="exact"/>
        <w:rPr>
          <w:sz w:val="20"/>
          <w:szCs w:val="20"/>
          <w:color w:val="auto"/>
        </w:rPr>
      </w:pPr>
    </w:p>
    <w:p>
      <w:pPr>
        <w:ind w:left="1460" w:right="519" w:firstLine="335"/>
        <w:spacing w:after="0" w:line="255"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other than underwriting discounts and commissions, payable by Scilex Holding Company (the “Registrant”), in connection with the sale of the securities being registered. All the amounts shown are estimates, except for the SEC registration fee and the FINRA filing fee.</w:t>
      </w:r>
    </w:p>
    <w:p>
      <w:pPr>
        <w:spacing w:after="0" w:line="177" w:lineRule="exact"/>
        <w:rPr>
          <w:sz w:val="20"/>
          <w:szCs w:val="20"/>
          <w:color w:val="auto"/>
        </w:rPr>
      </w:pPr>
    </w:p>
    <w:tbl>
      <w:tblPr>
        <w:tblLayout w:type="fixed"/>
        <w:tblInd w:w="2800" w:type="dxa"/>
        <w:tblCellMar>
          <w:top w:w="0" w:type="dxa"/>
          <w:left w:w="0" w:type="dxa"/>
          <w:bottom w:w="0" w:type="dxa"/>
          <w:right w:w="0" w:type="dxa"/>
        </w:tblCellMar>
      </w:tblP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69,050</w:t>
            </w: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 (if applicable)</w:t>
            </w: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75,500</w:t>
            </w: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4"/>
                <w:szCs w:val="14"/>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4"/>
                <w:szCs w:val="14"/>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4"/>
                <w:szCs w:val="14"/>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agent fees and expenses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4"/>
                <w:szCs w:val="14"/>
                <w:color w:val="auto"/>
              </w:rPr>
            </w:pPr>
          </w:p>
        </w:tc>
      </w:tr>
      <w:tr>
        <w:trPr>
          <w:trHeight w:val="165"/>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r>
      <w:tr>
        <w:trPr>
          <w:trHeight w:val="16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71755</wp:posOffset>
            </wp:positionV>
            <wp:extent cx="5861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1780" w:right="799" w:hanging="321"/>
        <w:spacing w:after="0" w:line="255"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Item 15. Indemnification of Directors and Officers</w:t>
      </w:r>
    </w:p>
    <w:p>
      <w:pPr>
        <w:spacing w:after="0" w:line="89" w:lineRule="exact"/>
        <w:rPr>
          <w:sz w:val="20"/>
          <w:szCs w:val="20"/>
          <w:color w:val="auto"/>
        </w:rPr>
      </w:pPr>
    </w:p>
    <w:p>
      <w:pPr>
        <w:ind w:left="1460" w:right="419" w:firstLine="335"/>
        <w:spacing w:after="0" w:line="247" w:lineRule="auto"/>
        <w:rPr>
          <w:sz w:val="20"/>
          <w:szCs w:val="20"/>
          <w:color w:val="auto"/>
        </w:rPr>
      </w:pPr>
      <w:r>
        <w:rPr>
          <w:rFonts w:ascii="Times New Roman" w:cs="Times New Roman" w:eastAsia="Times New Roman" w:hAnsi="Times New Roman"/>
          <w:sz w:val="14"/>
          <w:szCs w:val="14"/>
          <w:color w:val="auto"/>
        </w:rPr>
        <w:t>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(the “Certificate of Incorporation”) contains provisions that limit the liability of the Registrant’s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w:t>
      </w:r>
    </w:p>
    <w:p>
      <w:pPr>
        <w:spacing w:after="0" w:line="78" w:lineRule="exact"/>
        <w:rPr>
          <w:sz w:val="20"/>
          <w:szCs w:val="20"/>
          <w:color w:val="auto"/>
        </w:rPr>
      </w:pPr>
    </w:p>
    <w:p>
      <w:pPr>
        <w:ind w:left="2200" w:hanging="33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the Registrant or its stockholders;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director, unlawful payments of dividends or unlawful stock repurchases or redemptions in violation of the DGCL;</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 or</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officer, any action by or in the right of the corporation.</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w:t>
      </w:r>
    </w:p>
    <w:p>
      <w:pPr>
        <w:spacing w:after="0" w:line="143" w:lineRule="exact"/>
        <w:rPr>
          <w:sz w:val="20"/>
          <w:szCs w:val="20"/>
          <w:color w:val="auto"/>
        </w:rPr>
      </w:pPr>
    </w:p>
    <w:p>
      <w:pPr>
        <w:ind w:left="1460" w:right="359" w:firstLine="335"/>
        <w:spacing w:after="0" w:line="246"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provide that the Registrant will indemnify its directors and officers and permit the Registrant to indemnify its employees and other agents, in each case to the extent not prohibited by the DGCL or any other applicable law.</w:t>
      </w:r>
    </w:p>
    <w:p>
      <w:pPr>
        <w:spacing w:after="0" w:line="152" w:lineRule="exact"/>
        <w:rPr>
          <w:sz w:val="20"/>
          <w:szCs w:val="20"/>
          <w:color w:val="auto"/>
        </w:rPr>
      </w:pPr>
    </w:p>
    <w:p>
      <w:pPr>
        <w:ind w:left="1460" w:right="419" w:firstLine="335"/>
        <w:spacing w:after="0" w:line="250" w:lineRule="auto"/>
        <w:rPr>
          <w:sz w:val="20"/>
          <w:szCs w:val="20"/>
          <w:color w:val="auto"/>
        </w:rPr>
      </w:pPr>
      <w:r>
        <w:rPr>
          <w:rFonts w:ascii="Times New Roman" w:cs="Times New Roman" w:eastAsia="Times New Roman" w:hAnsi="Times New Roman"/>
          <w:sz w:val="14"/>
          <w:szCs w:val="14"/>
          <w:color w:val="auto"/>
        </w:rPr>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Item 16. Exhibits</w:t>
      </w:r>
    </w:p>
    <w:p>
      <w:pPr>
        <w:spacing w:after="0" w:line="172"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0" w:type="dxa"/>
            <w:vAlign w:val="bottom"/>
            <w:gridSpan w:val="7"/>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0" w:type="dxa"/>
            <w:vAlign w:val="bottom"/>
            <w:tcBorders>
              <w:bottom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w:t>
            </w:r>
          </w:p>
        </w:tc>
        <w:tc>
          <w:tcPr>
            <w:tcW w:w="440" w:type="dxa"/>
            <w:vAlign w:val="bottom"/>
          </w:tcPr>
          <w:p>
            <w:pPr>
              <w:spacing w:after="0"/>
              <w:rPr>
                <w:sz w:val="20"/>
                <w:szCs w:val="20"/>
                <w:color w:val="auto"/>
              </w:rPr>
            </w:pPr>
          </w:p>
        </w:tc>
        <w:tc>
          <w:tcPr>
            <w:tcW w:w="75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w:t>
            </w:r>
          </w:p>
        </w:tc>
        <w:tc>
          <w:tcPr>
            <w:tcW w:w="440" w:type="dxa"/>
            <w:vAlign w:val="bottom"/>
          </w:tcPr>
          <w:p>
            <w:pPr>
              <w:spacing w:after="0"/>
              <w:rPr>
                <w:sz w:val="18"/>
                <w:szCs w:val="18"/>
                <w:color w:val="auto"/>
              </w:rPr>
            </w:pPr>
          </w:p>
        </w:tc>
        <w:tc>
          <w:tcPr>
            <w:tcW w:w="716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7"/>
              </w:rPr>
            </w:pPr>
            <w:hyperlink r:id="rId81">
              <w:r>
                <w:rPr>
                  <w:rFonts w:ascii="Times New Roman" w:cs="Times New Roman" w:eastAsia="Times New Roman" w:hAnsi="Times New Roman"/>
                  <w:sz w:val="14"/>
                  <w:szCs w:val="14"/>
                  <w:color w:val="0000EE"/>
                  <w:w w:val="97"/>
                </w:rPr>
                <w:t>Agreement and Plan of Merger, dated as of March 17, 2022, by and among Vickers Vantage Corp. I, Vickers Merger Sub, Inc. and</w:t>
              </w:r>
            </w:hyperlink>
          </w:p>
        </w:tc>
        <w:tc>
          <w:tcPr>
            <w:tcW w:w="3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10"/>
          </w:tcPr>
          <w:p>
            <w:pPr>
              <w:spacing w:after="0" w:line="144" w:lineRule="exact"/>
              <w:rPr>
                <w:rFonts w:ascii="Times New Roman" w:cs="Times New Roman" w:eastAsia="Times New Roman" w:hAnsi="Times New Roman"/>
                <w:sz w:val="14"/>
                <w:szCs w:val="14"/>
                <w:color w:val="0000EE"/>
                <w:w w:val="99"/>
              </w:rPr>
            </w:pPr>
            <w:hyperlink r:id="rId81">
              <w:r>
                <w:rPr>
                  <w:rFonts w:ascii="Times New Roman" w:cs="Times New Roman" w:eastAsia="Times New Roman" w:hAnsi="Times New Roman"/>
                  <w:sz w:val="14"/>
                  <w:szCs w:val="14"/>
                  <w:color w:val="0000EE"/>
                  <w:w w:val="99"/>
                </w:rPr>
                <w:t>Scilex Holding Company (incorporated by reference to Exhibit 2.1 to Vickers’s Current Report on Form 8-K filed by the Registrant on</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60" w:type="dxa"/>
            <w:vAlign w:val="bottom"/>
            <w:tcBorders>
              <w:top w:val="single" w:sz="8" w:color="0000EE"/>
            </w:tcBorders>
            <w:gridSpan w:val="6"/>
          </w:tcPr>
          <w:p>
            <w:pPr>
              <w:spacing w:after="0" w:line="144"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March 21, 2022).</w:t>
              </w:r>
            </w:hyperlink>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2.2#</w:t>
            </w:r>
          </w:p>
        </w:tc>
        <w:tc>
          <w:tcPr>
            <w:tcW w:w="440" w:type="dxa"/>
            <w:vAlign w:val="bottom"/>
          </w:tcPr>
          <w:p>
            <w:pPr>
              <w:spacing w:after="0"/>
              <w:rPr>
                <w:sz w:val="19"/>
                <w:szCs w:val="19"/>
                <w:color w:val="auto"/>
              </w:rPr>
            </w:pPr>
          </w:p>
        </w:tc>
        <w:tc>
          <w:tcPr>
            <w:tcW w:w="7520" w:type="dxa"/>
            <w:vAlign w:val="bottom"/>
            <w:gridSpan w:val="10"/>
          </w:tcPr>
          <w:p>
            <w:pPr>
              <w:spacing w:after="0"/>
              <w:rPr>
                <w:rFonts w:ascii="Times New Roman" w:cs="Times New Roman" w:eastAsia="Times New Roman" w:hAnsi="Times New Roman"/>
                <w:sz w:val="14"/>
                <w:szCs w:val="14"/>
                <w:color w:val="0000EE"/>
                <w:w w:val="99"/>
              </w:rPr>
            </w:pPr>
            <w:hyperlink r:id="rId82">
              <w:r>
                <w:rPr>
                  <w:rFonts w:ascii="Times New Roman" w:cs="Times New Roman" w:eastAsia="Times New Roman" w:hAnsi="Times New Roman"/>
                  <w:sz w:val="14"/>
                  <w:szCs w:val="14"/>
                  <w:color w:val="0000EE"/>
                  <w:w w:val="99"/>
                </w:rPr>
                <w:t>Amendment No. 1 to Agreement and Plan of Merger, dated as of September 12, 2022, by and among Vickers Vantage Corp. I, Vickers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10"/>
          </w:tcPr>
          <w:p>
            <w:pPr>
              <w:spacing w:after="0" w:line="144" w:lineRule="exact"/>
              <w:rPr>
                <w:rFonts w:ascii="Times New Roman" w:cs="Times New Roman" w:eastAsia="Times New Roman" w:hAnsi="Times New Roman"/>
                <w:sz w:val="14"/>
                <w:szCs w:val="14"/>
                <w:color w:val="0000EE"/>
                <w:w w:val="98"/>
              </w:rPr>
            </w:pPr>
            <w:hyperlink r:id="rId82">
              <w:r>
                <w:rPr>
                  <w:rFonts w:ascii="Times New Roman" w:cs="Times New Roman" w:eastAsia="Times New Roman" w:hAnsi="Times New Roman"/>
                  <w:sz w:val="14"/>
                  <w:szCs w:val="14"/>
                  <w:color w:val="0000EE"/>
                  <w:w w:val="98"/>
                </w:rPr>
                <w:t>Merger Sub, Inc. and Scilex Holding Company (incorporated by reference to Exhibit 2.1 of Vickers’s Current Report on Form 8-K filed</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tcBorders>
              <w:top w:val="single" w:sz="8" w:color="0000EE"/>
              <w:bottom w:val="single" w:sz="8" w:color="0000EE"/>
            </w:tcBorders>
            <w:gridSpan w:val="3"/>
          </w:tcPr>
          <w:p>
            <w:pPr>
              <w:spacing w:after="0" w:line="144" w:lineRule="exact"/>
              <w:rPr>
                <w:rFonts w:ascii="Times New Roman" w:cs="Times New Roman" w:eastAsia="Times New Roman" w:hAnsi="Times New Roman"/>
                <w:sz w:val="14"/>
                <w:szCs w:val="14"/>
                <w:color w:val="0000EE"/>
                <w:w w:val="96"/>
              </w:rPr>
            </w:pPr>
            <w:hyperlink r:id="rId82">
              <w:r>
                <w:rPr>
                  <w:rFonts w:ascii="Times New Roman" w:cs="Times New Roman" w:eastAsia="Times New Roman" w:hAnsi="Times New Roman"/>
                  <w:sz w:val="14"/>
                  <w:szCs w:val="14"/>
                  <w:color w:val="0000EE"/>
                  <w:w w:val="96"/>
                </w:rPr>
                <w:t>by the Registrant on September 14, 2022).</w:t>
              </w:r>
            </w:hyperlink>
          </w:p>
        </w:tc>
        <w:tc>
          <w:tcPr>
            <w:tcW w:w="5100" w:type="dxa"/>
            <w:vAlign w:val="bottom"/>
            <w:tcBorders>
              <w:top w:val="single" w:sz="8" w:color="0000EE"/>
            </w:tcBorders>
            <w:gridSpan w:val="6"/>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w:t>
            </w:r>
          </w:p>
        </w:tc>
        <w:tc>
          <w:tcPr>
            <w:tcW w:w="440" w:type="dxa"/>
            <w:vAlign w:val="bottom"/>
          </w:tcPr>
          <w:p>
            <w:pPr>
              <w:spacing w:after="0"/>
              <w:rPr>
                <w:sz w:val="19"/>
                <w:szCs w:val="19"/>
                <w:color w:val="auto"/>
              </w:rPr>
            </w:pPr>
          </w:p>
        </w:tc>
        <w:tc>
          <w:tcPr>
            <w:tcW w:w="74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7"/>
              </w:rPr>
            </w:pPr>
            <w:hyperlink r:id="rId83">
              <w:r>
                <w:rPr>
                  <w:rFonts w:ascii="Times New Roman" w:cs="Times New Roman" w:eastAsia="Times New Roman" w:hAnsi="Times New Roman"/>
                  <w:sz w:val="14"/>
                  <w:szCs w:val="14"/>
                  <w:color w:val="0000EE"/>
                  <w:w w:val="97"/>
                </w:rPr>
                <w:t>Bill of Sale and Assignment and Assumption Agreement, dated May 12, 2022, by and between Scilex Holding Company and Sorrento</w:t>
              </w:r>
            </w:hyperlink>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20" w:type="dxa"/>
            <w:vAlign w:val="bottom"/>
            <w:tcBorders>
              <w:bottom w:val="single" w:sz="8" w:color="0000EE"/>
            </w:tcBorders>
            <w:gridSpan w:val="5"/>
          </w:tcPr>
          <w:p>
            <w:pPr>
              <w:spacing w:after="0" w:line="144" w:lineRule="exact"/>
              <w:rPr>
                <w:rFonts w:ascii="Times New Roman" w:cs="Times New Roman" w:eastAsia="Times New Roman" w:hAnsi="Times New Roman"/>
                <w:sz w:val="14"/>
                <w:szCs w:val="14"/>
                <w:color w:val="0000EE"/>
                <w:w w:val="97"/>
              </w:rPr>
            </w:pPr>
            <w:hyperlink r:id="rId83">
              <w:r>
                <w:rPr>
                  <w:rFonts w:ascii="Times New Roman" w:cs="Times New Roman" w:eastAsia="Times New Roman" w:hAnsi="Times New Roman"/>
                  <w:sz w:val="14"/>
                  <w:szCs w:val="14"/>
                  <w:color w:val="0000EE"/>
                  <w:w w:val="97"/>
                </w:rPr>
                <w:t>Therapeutics, Inc. (incorporated by reference to Exhibit 2.3 of Amendment No. 1 of Vickers’s Form S-4 (File No. 333-264941), filed</w:t>
              </w:r>
            </w:hyperlink>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6"/>
              </w:rPr>
            </w:pPr>
            <w:hyperlink r:id="rId83">
              <w:r>
                <w:rPr>
                  <w:rFonts w:ascii="Times New Roman" w:cs="Times New Roman" w:eastAsia="Times New Roman" w:hAnsi="Times New Roman"/>
                  <w:sz w:val="14"/>
                  <w:szCs w:val="14"/>
                  <w:color w:val="0000EE"/>
                  <w:w w:val="96"/>
                </w:rPr>
                <w:t>with the SEC on June 27, 2022).</w:t>
              </w:r>
            </w:hyperlink>
          </w:p>
        </w:tc>
        <w:tc>
          <w:tcPr>
            <w:tcW w:w="574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9"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3"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gridSpan w:val="14"/>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540" w:type="dxa"/>
            <w:vAlign w:val="bottom"/>
            <w:tcBorders>
              <w:bottom w:val="single" w:sz="8" w:color="auto"/>
            </w:tcBorders>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w:t>
            </w:r>
          </w:p>
        </w:tc>
        <w:tc>
          <w:tcPr>
            <w:tcW w:w="440" w:type="dxa"/>
            <w:vAlign w:val="bottom"/>
          </w:tcPr>
          <w:p>
            <w:pPr>
              <w:spacing w:after="0"/>
              <w:rPr>
                <w:sz w:val="17"/>
                <w:szCs w:val="17"/>
                <w:color w:val="auto"/>
              </w:rPr>
            </w:pPr>
          </w:p>
        </w:tc>
        <w:tc>
          <w:tcPr>
            <w:tcW w:w="742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7"/>
              </w:rPr>
            </w:pPr>
            <w:hyperlink r:id="rId85">
              <w:r>
                <w:rPr>
                  <w:rFonts w:ascii="Times New Roman" w:cs="Times New Roman" w:eastAsia="Times New Roman" w:hAnsi="Times New Roman"/>
                  <w:sz w:val="14"/>
                  <w:szCs w:val="14"/>
                  <w:color w:val="0000EE"/>
                  <w:w w:val="97"/>
                </w:rPr>
                <w:t>Asset Purchase Agreement, dated April 23, 2021, between Sorrento Therapeutics, Inc. and Aardvark Therapeutics, Inc., as assumed by</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80" w:type="dxa"/>
            <w:vAlign w:val="bottom"/>
            <w:tcBorders>
              <w:bottom w:val="single" w:sz="8" w:color="0000EE"/>
            </w:tcBorders>
            <w:gridSpan w:val="15"/>
          </w:tcPr>
          <w:p>
            <w:pPr>
              <w:spacing w:after="0" w:line="144" w:lineRule="exact"/>
              <w:rPr>
                <w:rFonts w:ascii="Times New Roman" w:cs="Times New Roman" w:eastAsia="Times New Roman" w:hAnsi="Times New Roman"/>
                <w:sz w:val="14"/>
                <w:szCs w:val="14"/>
                <w:color w:val="0000EE"/>
                <w:w w:val="98"/>
              </w:rPr>
            </w:pPr>
            <w:hyperlink r:id="rId85">
              <w:r>
                <w:rPr>
                  <w:rFonts w:ascii="Times New Roman" w:cs="Times New Roman" w:eastAsia="Times New Roman" w:hAnsi="Times New Roman"/>
                  <w:sz w:val="14"/>
                  <w:szCs w:val="14"/>
                  <w:color w:val="0000EE"/>
                  <w:w w:val="98"/>
                </w:rPr>
                <w:t>Scilex Holding Company on May 12, 2022, pursuant to the Bill of Sale and Assignment and Assumption Agreement, dated as of such</w:t>
              </w:r>
            </w:hyperlink>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60" w:type="dxa"/>
            <w:vAlign w:val="bottom"/>
            <w:tcBorders>
              <w:bottom w:val="single" w:sz="8" w:color="0000EE"/>
            </w:tcBorders>
            <w:gridSpan w:val="18"/>
          </w:tcPr>
          <w:p>
            <w:pPr>
              <w:spacing w:after="0" w:line="144" w:lineRule="exact"/>
              <w:rPr>
                <w:rFonts w:ascii="Times New Roman" w:cs="Times New Roman" w:eastAsia="Times New Roman" w:hAnsi="Times New Roman"/>
                <w:sz w:val="14"/>
                <w:szCs w:val="14"/>
                <w:color w:val="0000EE"/>
                <w:w w:val="97"/>
              </w:rPr>
            </w:pPr>
            <w:hyperlink r:id="rId85">
              <w:r>
                <w:rPr>
                  <w:rFonts w:ascii="Times New Roman" w:cs="Times New Roman" w:eastAsia="Times New Roman" w:hAnsi="Times New Roman"/>
                  <w:sz w:val="14"/>
                  <w:szCs w:val="14"/>
                  <w:color w:val="0000EE"/>
                  <w:w w:val="97"/>
                </w:rPr>
                <w:t>date, by and between Scilex Holding Company and Sorrento Therapeutics, Inc. (incorporated by reference to Exhibit 2.4 of Amendment</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No. 1 of Vickers’s Form S-4 (File No. 333-264941), filed with the SEC on June 27, 2022).</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2.5#</w:t>
            </w:r>
          </w:p>
        </w:tc>
        <w:tc>
          <w:tcPr>
            <w:tcW w:w="440" w:type="dxa"/>
            <w:vAlign w:val="bottom"/>
          </w:tcPr>
          <w:p>
            <w:pPr>
              <w:spacing w:after="0"/>
              <w:rPr>
                <w:sz w:val="19"/>
                <w:szCs w:val="19"/>
                <w:color w:val="auto"/>
              </w:rPr>
            </w:pPr>
          </w:p>
        </w:tc>
        <w:tc>
          <w:tcPr>
            <w:tcW w:w="738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r:id="rId86">
              <w:r>
                <w:rPr>
                  <w:rFonts w:ascii="Times New Roman" w:cs="Times New Roman" w:eastAsia="Times New Roman" w:hAnsi="Times New Roman"/>
                  <w:sz w:val="14"/>
                  <w:szCs w:val="14"/>
                  <w:color w:val="0000EE"/>
                  <w:w w:val="97"/>
                </w:rPr>
                <w:t>Agreement and Plan of Merger, dated as of August 30, 2024, by and among Denali Capital Acquisition Corp., Denali Merger Sub Inc.</w:t>
              </w:r>
            </w:hyperlink>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60" w:type="dxa"/>
            <w:vAlign w:val="bottom"/>
            <w:tcBorders>
              <w:bottom w:val="single" w:sz="8" w:color="0000EE"/>
            </w:tcBorders>
            <w:gridSpan w:val="14"/>
          </w:tcPr>
          <w:p>
            <w:pPr>
              <w:spacing w:after="0" w:line="144" w:lineRule="exact"/>
              <w:rPr>
                <w:rFonts w:ascii="Times New Roman" w:cs="Times New Roman" w:eastAsia="Times New Roman" w:hAnsi="Times New Roman"/>
                <w:sz w:val="14"/>
                <w:szCs w:val="14"/>
                <w:color w:val="0000EE"/>
                <w:w w:val="97"/>
              </w:rPr>
            </w:pPr>
            <w:hyperlink r:id="rId86">
              <w:r>
                <w:rPr>
                  <w:rFonts w:ascii="Times New Roman" w:cs="Times New Roman" w:eastAsia="Times New Roman" w:hAnsi="Times New Roman"/>
                  <w:sz w:val="14"/>
                  <w:szCs w:val="14"/>
                  <w:color w:val="0000EE"/>
                  <w:w w:val="97"/>
                </w:rPr>
                <w:t>and Semnur Pharmaceuticals, Inc. (incorporated by reference to Exhibit 2.1 of our Current Report on Form 8-K (File No. 001-39852),</w:t>
              </w:r>
            </w:hyperlink>
          </w:p>
        </w:tc>
        <w:tc>
          <w:tcPr>
            <w:tcW w:w="1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filed with the SEC on September 3, 2024).</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2.6#</w:t>
            </w:r>
          </w:p>
        </w:tc>
        <w:tc>
          <w:tcPr>
            <w:tcW w:w="440" w:type="dxa"/>
            <w:vAlign w:val="bottom"/>
          </w:tcPr>
          <w:p>
            <w:pPr>
              <w:spacing w:after="0"/>
              <w:rPr>
                <w:sz w:val="19"/>
                <w:szCs w:val="19"/>
                <w:color w:val="auto"/>
              </w:rPr>
            </w:pPr>
          </w:p>
        </w:tc>
        <w:tc>
          <w:tcPr>
            <w:tcW w:w="75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7"/>
              </w:rPr>
            </w:pPr>
            <w:hyperlink r:id="rId87">
              <w:r>
                <w:rPr>
                  <w:rFonts w:ascii="Times New Roman" w:cs="Times New Roman" w:eastAsia="Times New Roman" w:hAnsi="Times New Roman"/>
                  <w:sz w:val="14"/>
                  <w:szCs w:val="14"/>
                  <w:color w:val="0000EE"/>
                  <w:w w:val="97"/>
                </w:rPr>
                <w:t>Amendment No. 1 to Agreement and Plan of Merger, dated as of April 16, 2025, by and among Denali Capital Acquisition Corp., Denali</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80" w:type="dxa"/>
            <w:vAlign w:val="bottom"/>
            <w:tcBorders>
              <w:bottom w:val="single" w:sz="8" w:color="0000EE"/>
            </w:tcBorders>
            <w:gridSpan w:val="12"/>
          </w:tcPr>
          <w:p>
            <w:pPr>
              <w:spacing w:after="0" w:line="144" w:lineRule="exact"/>
              <w:rPr>
                <w:rFonts w:ascii="Times New Roman" w:cs="Times New Roman" w:eastAsia="Times New Roman" w:hAnsi="Times New Roman"/>
                <w:sz w:val="14"/>
                <w:szCs w:val="14"/>
                <w:color w:val="0000EE"/>
                <w:w w:val="96"/>
              </w:rPr>
            </w:pPr>
            <w:hyperlink r:id="rId87">
              <w:r>
                <w:rPr>
                  <w:rFonts w:ascii="Times New Roman" w:cs="Times New Roman" w:eastAsia="Times New Roman" w:hAnsi="Times New Roman"/>
                  <w:sz w:val="14"/>
                  <w:szCs w:val="14"/>
                  <w:color w:val="0000EE"/>
                  <w:w w:val="96"/>
                </w:rPr>
                <w:t>Merger Sub Inc. and Semnur Pharmaceuticals, Inc. (incorporated by reference to Exhibit 2.1 of our Current Report on Form 8-K (File</w:t>
              </w:r>
            </w:hyperlink>
          </w:p>
        </w:tc>
        <w:tc>
          <w:tcPr>
            <w:tcW w:w="24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No. 001-39852), filed with the SEC on April 21, 2025).</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2.7</w:t>
            </w:r>
          </w:p>
        </w:tc>
        <w:tc>
          <w:tcPr>
            <w:tcW w:w="440" w:type="dxa"/>
            <w:vAlign w:val="bottom"/>
          </w:tcPr>
          <w:p>
            <w:pPr>
              <w:spacing w:after="0"/>
              <w:rPr>
                <w:sz w:val="19"/>
                <w:szCs w:val="19"/>
                <w:color w:val="auto"/>
              </w:rPr>
            </w:pPr>
          </w:p>
        </w:tc>
        <w:tc>
          <w:tcPr>
            <w:tcW w:w="7520" w:type="dxa"/>
            <w:vAlign w:val="bottom"/>
            <w:gridSpan w:val="20"/>
          </w:tcPr>
          <w:p>
            <w:pPr>
              <w:spacing w:after="0"/>
              <w:rPr>
                <w:rFonts w:ascii="Times New Roman" w:cs="Times New Roman" w:eastAsia="Times New Roman" w:hAnsi="Times New Roman"/>
                <w:sz w:val="14"/>
                <w:szCs w:val="14"/>
                <w:color w:val="0000EE"/>
                <w:w w:val="98"/>
              </w:rPr>
            </w:pPr>
            <w:hyperlink r:id="rId88">
              <w:r>
                <w:rPr>
                  <w:rFonts w:ascii="Times New Roman" w:cs="Times New Roman" w:eastAsia="Times New Roman" w:hAnsi="Times New Roman"/>
                  <w:sz w:val="14"/>
                  <w:szCs w:val="14"/>
                  <w:color w:val="0000EE"/>
                  <w:w w:val="98"/>
                </w:rPr>
                <w:t>Amendment No. 2 to Agreement and Plan of Merger, dated as of July 22, 2025, by and among Denali Capital Acquisition Corp., Denali</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80" w:type="dxa"/>
            <w:vAlign w:val="bottom"/>
            <w:tcBorders>
              <w:top w:val="single" w:sz="8" w:color="0000EE"/>
              <w:bottom w:val="single" w:sz="8" w:color="0000EE"/>
            </w:tcBorders>
            <w:gridSpan w:val="12"/>
          </w:tcPr>
          <w:p>
            <w:pPr>
              <w:spacing w:after="0" w:line="144" w:lineRule="exact"/>
              <w:rPr>
                <w:rFonts w:ascii="Times New Roman" w:cs="Times New Roman" w:eastAsia="Times New Roman" w:hAnsi="Times New Roman"/>
                <w:sz w:val="14"/>
                <w:szCs w:val="14"/>
                <w:color w:val="0000EE"/>
                <w:w w:val="96"/>
              </w:rPr>
            </w:pPr>
            <w:hyperlink r:id="rId88">
              <w:r>
                <w:rPr>
                  <w:rFonts w:ascii="Times New Roman" w:cs="Times New Roman" w:eastAsia="Times New Roman" w:hAnsi="Times New Roman"/>
                  <w:sz w:val="14"/>
                  <w:szCs w:val="14"/>
                  <w:color w:val="0000EE"/>
                  <w:w w:val="96"/>
                </w:rPr>
                <w:t>Merger Sub Inc. and Semnur Pharmaceuticals, Inc. (incorporated by reference to Exhibit 2.1 of our Current Report on Form 8-K (File</w:t>
              </w:r>
            </w:hyperlink>
          </w:p>
        </w:tc>
        <w:tc>
          <w:tcPr>
            <w:tcW w:w="180" w:type="dxa"/>
            <w:vAlign w:val="bottom"/>
            <w:tcBorders>
              <w:top w:val="single" w:sz="8" w:color="0000EE"/>
            </w:tcBorders>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No. 001-39852), filed with the SEC on July 23, 2025).</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440" w:type="dxa"/>
            <w:vAlign w:val="bottom"/>
          </w:tcPr>
          <w:p>
            <w:pPr>
              <w:spacing w:after="0"/>
              <w:rPr>
                <w:sz w:val="19"/>
                <w:szCs w:val="19"/>
                <w:color w:val="auto"/>
              </w:rPr>
            </w:pPr>
          </w:p>
        </w:tc>
        <w:tc>
          <w:tcPr>
            <w:tcW w:w="72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7"/>
              </w:rPr>
            </w:pPr>
            <w:hyperlink r:id="rId89">
              <w:r>
                <w:rPr>
                  <w:rFonts w:ascii="Times New Roman" w:cs="Times New Roman" w:eastAsia="Times New Roman" w:hAnsi="Times New Roman"/>
                  <w:sz w:val="14"/>
                  <w:szCs w:val="14"/>
                  <w:color w:val="0000EE"/>
                  <w:w w:val="97"/>
                </w:rPr>
                <w:t>Restated Certificate of Incorporation of Scilex Holding Company (incorporated by reference to Exhibit 3.1 of our Current Report on</w:t>
              </w:r>
            </w:hyperlink>
          </w:p>
        </w:tc>
        <w:tc>
          <w:tcPr>
            <w:tcW w:w="2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0" w:type="dxa"/>
            <w:vAlign w:val="bottom"/>
            <w:tcBorders>
              <w:bottom w:val="single" w:sz="8" w:color="0000EE"/>
            </w:tcBorders>
            <w:gridSpan w:val="8"/>
          </w:tcPr>
          <w:p>
            <w:pPr>
              <w:spacing w:after="0" w:line="144" w:lineRule="exact"/>
              <w:rPr>
                <w:rFonts w:ascii="Times New Roman" w:cs="Times New Roman" w:eastAsia="Times New Roman" w:hAnsi="Times New Roman"/>
                <w:sz w:val="14"/>
                <w:szCs w:val="14"/>
                <w:color w:val="0000EE"/>
                <w:w w:val="97"/>
              </w:rPr>
            </w:pPr>
            <w:hyperlink r:id="rId89">
              <w:r>
                <w:rPr>
                  <w:rFonts w:ascii="Times New Roman" w:cs="Times New Roman" w:eastAsia="Times New Roman" w:hAnsi="Times New Roman"/>
                  <w:sz w:val="14"/>
                  <w:szCs w:val="14"/>
                  <w:color w:val="0000EE"/>
                  <w:w w:val="97"/>
                </w:rPr>
                <w:t>Form 8-K (File No. 001-39852), filed with the SEC on November 17, 2022).</w:t>
              </w:r>
            </w:hyperlink>
          </w:p>
        </w:tc>
        <w:tc>
          <w:tcPr>
            <w:tcW w:w="33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440" w:type="dxa"/>
            <w:vAlign w:val="bottom"/>
          </w:tcPr>
          <w:p>
            <w:pPr>
              <w:spacing w:after="0"/>
              <w:rPr>
                <w:sz w:val="19"/>
                <w:szCs w:val="19"/>
                <w:color w:val="auto"/>
              </w:rPr>
            </w:pPr>
          </w:p>
        </w:tc>
        <w:tc>
          <w:tcPr>
            <w:tcW w:w="73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r:id="rId90">
              <w:r>
                <w:rPr>
                  <w:rFonts w:ascii="Times New Roman" w:cs="Times New Roman" w:eastAsia="Times New Roman" w:hAnsi="Times New Roman"/>
                  <w:sz w:val="14"/>
                  <w:szCs w:val="14"/>
                  <w:color w:val="0000EE"/>
                  <w:w w:val="97"/>
                </w:rPr>
                <w:t>Certificate of Amendment to the Restated Certificate of Incorporation of Scilex Holding Company, filed with the Secretary of State of</w:t>
              </w:r>
            </w:hyperlink>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40" w:type="dxa"/>
            <w:vAlign w:val="bottom"/>
            <w:tcBorders>
              <w:bottom w:val="single" w:sz="8" w:color="0000EE"/>
            </w:tcBorders>
            <w:gridSpan w:val="11"/>
          </w:tcPr>
          <w:p>
            <w:pPr>
              <w:spacing w:after="0" w:line="144" w:lineRule="exact"/>
              <w:rPr>
                <w:rFonts w:ascii="Times New Roman" w:cs="Times New Roman" w:eastAsia="Times New Roman" w:hAnsi="Times New Roman"/>
                <w:sz w:val="14"/>
                <w:szCs w:val="14"/>
                <w:color w:val="0000EE"/>
                <w:w w:val="97"/>
              </w:rPr>
            </w:pPr>
            <w:hyperlink r:id="rId90">
              <w:r>
                <w:rPr>
                  <w:rFonts w:ascii="Times New Roman" w:cs="Times New Roman" w:eastAsia="Times New Roman" w:hAnsi="Times New Roman"/>
                  <w:sz w:val="14"/>
                  <w:szCs w:val="14"/>
                  <w:color w:val="0000EE"/>
                  <w:w w:val="97"/>
                </w:rPr>
                <w:t>the State of Delaware on April 14, 2025 (incorporated by reference to Exhibit 3.1 of our Current Report on Form 8-K (File No. 001-</w:t>
              </w:r>
            </w:hyperlink>
          </w:p>
        </w:tc>
        <w:tc>
          <w:tcPr>
            <w:tcW w:w="2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60" w:type="dxa"/>
            <w:vAlign w:val="bottom"/>
            <w:tcBorders>
              <w:bottom w:val="single" w:sz="8" w:color="0000EE"/>
            </w:tcBorders>
            <w:gridSpan w:val="5"/>
          </w:tcPr>
          <w:p>
            <w:pPr>
              <w:spacing w:after="0" w:line="144" w:lineRule="exact"/>
              <w:rPr>
                <w:rFonts w:ascii="Times New Roman" w:cs="Times New Roman" w:eastAsia="Times New Roman" w:hAnsi="Times New Roman"/>
                <w:sz w:val="14"/>
                <w:szCs w:val="14"/>
                <w:color w:val="0000EE"/>
                <w:w w:val="97"/>
              </w:rPr>
            </w:pPr>
            <w:hyperlink r:id="rId90">
              <w:r>
                <w:rPr>
                  <w:rFonts w:ascii="Times New Roman" w:cs="Times New Roman" w:eastAsia="Times New Roman" w:hAnsi="Times New Roman"/>
                  <w:sz w:val="14"/>
                  <w:szCs w:val="14"/>
                  <w:color w:val="0000EE"/>
                  <w:w w:val="97"/>
                </w:rPr>
                <w:t>39852)</w:t>
              </w:r>
              <w:r>
                <w:rPr>
                  <w:rFonts w:ascii="Times New Roman" w:cs="Times New Roman" w:eastAsia="Times New Roman" w:hAnsi="Times New Roman"/>
                  <w:sz w:val="14"/>
                  <w:szCs w:val="14"/>
                  <w:u w:val="single" w:color="auto"/>
                  <w:color w:val="0000EE"/>
                  <w:w w:val="97"/>
                </w:rPr>
                <w:t>,</w:t>
              </w:r>
              <w:r>
                <w:rPr>
                  <w:rFonts w:ascii="Times New Roman" w:cs="Times New Roman" w:eastAsia="Times New Roman" w:hAnsi="Times New Roman"/>
                  <w:sz w:val="14"/>
                  <w:szCs w:val="14"/>
                  <w:color w:val="0000EE"/>
                  <w:w w:val="97"/>
                </w:rPr>
                <w:t xml:space="preserve"> filed with the SEC on April 15, 2025).</w:t>
              </w:r>
            </w:hyperlink>
          </w:p>
        </w:tc>
        <w:tc>
          <w:tcPr>
            <w:tcW w:w="496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3.3</w:t>
            </w:r>
          </w:p>
        </w:tc>
        <w:tc>
          <w:tcPr>
            <w:tcW w:w="440" w:type="dxa"/>
            <w:vAlign w:val="bottom"/>
          </w:tcPr>
          <w:p>
            <w:pPr>
              <w:spacing w:after="0"/>
              <w:rPr>
                <w:sz w:val="19"/>
                <w:szCs w:val="19"/>
                <w:color w:val="auto"/>
              </w:rPr>
            </w:pPr>
          </w:p>
        </w:tc>
        <w:tc>
          <w:tcPr>
            <w:tcW w:w="72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7"/>
              </w:rPr>
            </w:pPr>
            <w:hyperlink r:id="rId91">
              <w:r>
                <w:rPr>
                  <w:rFonts w:ascii="Times New Roman" w:cs="Times New Roman" w:eastAsia="Times New Roman" w:hAnsi="Times New Roman"/>
                  <w:sz w:val="14"/>
                  <w:szCs w:val="14"/>
                  <w:color w:val="0000EE"/>
                  <w:w w:val="97"/>
                </w:rPr>
                <w:t>Certificate of Designations of Scilex Holding Company (incorporated by reference to Exhibit 3.2 of our Current Report on Form 8-K</w:t>
              </w:r>
            </w:hyperlink>
          </w:p>
        </w:tc>
        <w:tc>
          <w:tcPr>
            <w:tcW w:w="2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(File No. 001-39852), filed with the SEC on November 17, 2022).</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3.4</w:t>
            </w:r>
          </w:p>
        </w:tc>
        <w:tc>
          <w:tcPr>
            <w:tcW w:w="440" w:type="dxa"/>
            <w:vAlign w:val="bottom"/>
          </w:tcPr>
          <w:p>
            <w:pPr>
              <w:spacing w:after="0"/>
              <w:rPr>
                <w:sz w:val="19"/>
                <w:szCs w:val="19"/>
                <w:color w:val="auto"/>
              </w:rPr>
            </w:pPr>
          </w:p>
        </w:tc>
        <w:tc>
          <w:tcPr>
            <w:tcW w:w="7520" w:type="dxa"/>
            <w:vAlign w:val="bottom"/>
            <w:gridSpan w:val="20"/>
          </w:tcPr>
          <w:p>
            <w:pPr>
              <w:spacing w:after="0"/>
              <w:rPr>
                <w:rFonts w:ascii="Times New Roman" w:cs="Times New Roman" w:eastAsia="Times New Roman" w:hAnsi="Times New Roman"/>
                <w:sz w:val="14"/>
                <w:szCs w:val="14"/>
                <w:color w:val="0000EE"/>
                <w:w w:val="97"/>
              </w:rPr>
            </w:pPr>
            <w:hyperlink r:id="rId92">
              <w:r>
                <w:rPr>
                  <w:rFonts w:ascii="Times New Roman" w:cs="Times New Roman" w:eastAsia="Times New Roman" w:hAnsi="Times New Roman"/>
                  <w:sz w:val="14"/>
                  <w:szCs w:val="14"/>
                  <w:color w:val="0000EE"/>
                  <w:w w:val="97"/>
                </w:rPr>
                <w:t>Certificate of Designation of Preferences, Rights and Limitations of Series 1 Mandatory Exchangeable Preferred Stock of Scilex Holding</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00" w:type="dxa"/>
            <w:vAlign w:val="bottom"/>
            <w:tcBorders>
              <w:top w:val="single" w:sz="8" w:color="0000EE"/>
            </w:tcBorders>
            <w:gridSpan w:val="19"/>
          </w:tcPr>
          <w:p>
            <w:pPr>
              <w:spacing w:after="0" w:line="144"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Company (incorporated by reference to Exhibit 3.1 of our Current Report on Form 8-K (File No. 001-39852), filed with the SEC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Borders>
              <w:top w:val="single" w:sz="8" w:color="0000EE"/>
              <w:bottom w:val="single" w:sz="8" w:color="0000EE"/>
            </w:tcBorders>
            <w:gridSpan w:val="2"/>
          </w:tcPr>
          <w:p>
            <w:pPr>
              <w:spacing w:after="0" w:line="144" w:lineRule="exact"/>
              <w:rPr>
                <w:rFonts w:ascii="Times New Roman" w:cs="Times New Roman" w:eastAsia="Times New Roman" w:hAnsi="Times New Roman"/>
                <w:sz w:val="14"/>
                <w:szCs w:val="14"/>
                <w:color w:val="0000EE"/>
                <w:w w:val="96"/>
              </w:rPr>
            </w:pPr>
            <w:hyperlink r:id="rId92">
              <w:r>
                <w:rPr>
                  <w:rFonts w:ascii="Times New Roman" w:cs="Times New Roman" w:eastAsia="Times New Roman" w:hAnsi="Times New Roman"/>
                  <w:sz w:val="14"/>
                  <w:szCs w:val="14"/>
                  <w:color w:val="0000EE"/>
                  <w:w w:val="96"/>
                </w:rPr>
                <w:t>October 28, 2024).</w:t>
              </w:r>
            </w:hyperlink>
          </w:p>
        </w:tc>
        <w:tc>
          <w:tcPr>
            <w:tcW w:w="6180" w:type="dxa"/>
            <w:vAlign w:val="bottom"/>
            <w:tcBorders>
              <w:top w:val="single" w:sz="8" w:color="0000EE"/>
            </w:tcBorders>
            <w:gridSpan w:val="8"/>
          </w:tcPr>
          <w:p>
            <w:pPr>
              <w:spacing w:after="0"/>
              <w:rPr>
                <w:sz w:val="12"/>
                <w:szCs w:val="12"/>
                <w:color w:val="auto"/>
              </w:rPr>
            </w:pPr>
          </w:p>
        </w:tc>
        <w:tc>
          <w:tcPr>
            <w:tcW w:w="3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3.5</w:t>
            </w:r>
          </w:p>
        </w:tc>
        <w:tc>
          <w:tcPr>
            <w:tcW w:w="440" w:type="dxa"/>
            <w:vAlign w:val="bottom"/>
          </w:tcPr>
          <w:p>
            <w:pPr>
              <w:spacing w:after="0"/>
              <w:rPr>
                <w:sz w:val="19"/>
                <w:szCs w:val="19"/>
                <w:color w:val="auto"/>
              </w:rPr>
            </w:pPr>
          </w:p>
        </w:tc>
        <w:tc>
          <w:tcPr>
            <w:tcW w:w="7520" w:type="dxa"/>
            <w:vAlign w:val="bottom"/>
            <w:gridSpan w:val="20"/>
          </w:tcPr>
          <w:p>
            <w:pPr>
              <w:spacing w:after="0"/>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Certificate of Elimination of Series 1 Mandatory Exchangeable Preferred Stock of Scilex Holding Company, dated February 3, 2026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940" w:type="dxa"/>
            <w:vAlign w:val="bottom"/>
            <w:gridSpan w:val="9"/>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0"/>
          </w:tcPr>
          <w:p>
            <w:pPr>
              <w:spacing w:after="0" w:line="144"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(incorporated by reference to Exhibit 3.1 of our Current Report on Form 8-K (File No. 001-39852), filed with the SEC on February 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ind w:left="440"/>
              <w:spacing w:after="0" w:line="144" w:lineRule="exact"/>
              <w:rPr>
                <w:rFonts w:ascii="Times New Roman" w:cs="Times New Roman" w:eastAsia="Times New Roman" w:hAnsi="Times New Roman"/>
                <w:sz w:val="14"/>
                <w:szCs w:val="14"/>
                <w:color w:val="0000EE"/>
                <w:w w:val="93"/>
              </w:rPr>
            </w:pPr>
            <w:hyperlink r:id="rId93">
              <w:r>
                <w:rPr>
                  <w:rFonts w:ascii="Times New Roman" w:cs="Times New Roman" w:eastAsia="Times New Roman" w:hAnsi="Times New Roman"/>
                  <w:sz w:val="14"/>
                  <w:szCs w:val="14"/>
                  <w:color w:val="0000EE"/>
                  <w:w w:val="93"/>
                </w:rPr>
                <w:t>2026).</w:t>
              </w:r>
            </w:hyperlink>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10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3.6</w:t>
            </w:r>
          </w:p>
        </w:tc>
        <w:tc>
          <w:tcPr>
            <w:tcW w:w="440" w:type="dxa"/>
            <w:vAlign w:val="bottom"/>
          </w:tcPr>
          <w:p>
            <w:pPr>
              <w:spacing w:after="0"/>
              <w:rPr>
                <w:sz w:val="19"/>
                <w:szCs w:val="19"/>
                <w:color w:val="auto"/>
              </w:rPr>
            </w:pPr>
          </w:p>
        </w:tc>
        <w:tc>
          <w:tcPr>
            <w:tcW w:w="7520" w:type="dxa"/>
            <w:vAlign w:val="bottom"/>
            <w:gridSpan w:val="20"/>
          </w:tcPr>
          <w:p>
            <w:pPr>
              <w:spacing w:after="0"/>
              <w:rPr>
                <w:rFonts w:ascii="Times New Roman" w:cs="Times New Roman" w:eastAsia="Times New Roman" w:hAnsi="Times New Roman"/>
                <w:sz w:val="14"/>
                <w:szCs w:val="14"/>
                <w:color w:val="0000EE"/>
                <w:w w:val="98"/>
              </w:rPr>
            </w:pPr>
            <w:hyperlink r:id="rId94">
              <w:r>
                <w:rPr>
                  <w:rFonts w:ascii="Times New Roman" w:cs="Times New Roman" w:eastAsia="Times New Roman" w:hAnsi="Times New Roman"/>
                  <w:sz w:val="14"/>
                  <w:szCs w:val="14"/>
                  <w:color w:val="0000EE"/>
                  <w:w w:val="98"/>
                </w:rPr>
                <w:t>Bylaws of Scilex Holding Company (incorporated by reference to Exhibit 3.3 to the Current Report on Form 8-K filed by the Registrant</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40" w:type="dxa"/>
            <w:vAlign w:val="bottom"/>
            <w:tcBorders>
              <w:top w:val="single" w:sz="8" w:color="0000EE"/>
            </w:tcBorders>
            <w:gridSpan w:val="17"/>
          </w:tcPr>
          <w:p>
            <w:pPr>
              <w:spacing w:after="0" w:line="144"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on November 17, 2022).</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3"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80" w:type="dxa"/>
            <w:vAlign w:val="bottom"/>
            <w:gridSpan w:val="2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gridSpan w:val="2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44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7"/>
              </w:rPr>
            </w:pPr>
            <w:hyperlink r:id="rId96">
              <w:r>
                <w:rPr>
                  <w:rFonts w:ascii="Times New Roman" w:cs="Times New Roman" w:eastAsia="Times New Roman" w:hAnsi="Times New Roman"/>
                  <w:sz w:val="14"/>
                  <w:szCs w:val="14"/>
                  <w:color w:val="0000EE"/>
                  <w:w w:val="97"/>
                </w:rPr>
                <w:t>Warrant Agreement, dated as of January 6, 2021, by and between Vickers Vantage Corp. I and Continental Stock Transfer &amp; Trust</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20" w:type="dxa"/>
            <w:vAlign w:val="bottom"/>
            <w:tcBorders>
              <w:bottom w:val="single" w:sz="8" w:color="0000EE"/>
            </w:tcBorders>
            <w:gridSpan w:val="25"/>
          </w:tcPr>
          <w:p>
            <w:pPr>
              <w:spacing w:after="0" w:line="144" w:lineRule="exact"/>
              <w:rPr>
                <w:rFonts w:ascii="Times New Roman" w:cs="Times New Roman" w:eastAsia="Times New Roman" w:hAnsi="Times New Roman"/>
                <w:sz w:val="14"/>
                <w:szCs w:val="14"/>
                <w:color w:val="0000EE"/>
                <w:w w:val="97"/>
              </w:rPr>
            </w:pPr>
            <w:hyperlink r:id="rId96">
              <w:r>
                <w:rPr>
                  <w:rFonts w:ascii="Times New Roman" w:cs="Times New Roman" w:eastAsia="Times New Roman" w:hAnsi="Times New Roman"/>
                  <w:sz w:val="14"/>
                  <w:szCs w:val="14"/>
                  <w:color w:val="0000EE"/>
                  <w:w w:val="97"/>
                </w:rPr>
                <w:t>Company (incorporated by reference to Exhibit 4.1 of Vickers’s Current Report on Form 8-K (File No. 001-39852), filed with the SEC</w:t>
              </w:r>
            </w:hyperlink>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on January 11, 2021).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440" w:type="dxa"/>
            <w:vAlign w:val="bottom"/>
          </w:tcPr>
          <w:p>
            <w:pPr>
              <w:spacing w:after="0"/>
              <w:rPr>
                <w:sz w:val="19"/>
                <w:szCs w:val="19"/>
                <w:color w:val="auto"/>
              </w:rPr>
            </w:pPr>
          </w:p>
        </w:tc>
        <w:tc>
          <w:tcPr>
            <w:tcW w:w="734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7"/>
              </w:rPr>
            </w:pPr>
            <w:hyperlink r:id="rId97">
              <w:r>
                <w:rPr>
                  <w:rFonts w:ascii="Times New Roman" w:cs="Times New Roman" w:eastAsia="Times New Roman" w:hAnsi="Times New Roman"/>
                  <w:sz w:val="14"/>
                  <w:szCs w:val="14"/>
                  <w:color w:val="0000EE"/>
                  <w:w w:val="97"/>
                </w:rPr>
                <w:t>Specimen Warrant Certificate of Scilex Holding Company (f/k/a Vickers Vantage Corp. I) (incorporated by reference to Exhibit 4.3 of</w:t>
              </w:r>
            </w:hyperlink>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780" w:type="dxa"/>
            <w:vAlign w:val="bottom"/>
            <w:tcBorders>
              <w:bottom w:val="single" w:sz="8" w:color="0000EE"/>
            </w:tcBorders>
            <w:gridSpan w:val="10"/>
          </w:tcPr>
          <w:p>
            <w:pPr>
              <w:spacing w:after="0" w:line="144" w:lineRule="exact"/>
              <w:rPr>
                <w:rFonts w:ascii="Times New Roman" w:cs="Times New Roman" w:eastAsia="Times New Roman" w:hAnsi="Times New Roman"/>
                <w:sz w:val="14"/>
                <w:szCs w:val="14"/>
                <w:color w:val="0000EE"/>
                <w:w w:val="97"/>
              </w:rPr>
            </w:pPr>
            <w:hyperlink r:id="rId97">
              <w:r>
                <w:rPr>
                  <w:rFonts w:ascii="Times New Roman" w:cs="Times New Roman" w:eastAsia="Times New Roman" w:hAnsi="Times New Roman"/>
                  <w:sz w:val="14"/>
                  <w:szCs w:val="14"/>
                  <w:color w:val="0000EE"/>
                  <w:w w:val="97"/>
                </w:rPr>
                <w:t>Vickers’s Form S-1 (File No. 333-251352), filed with the SEC on December 15, 2020).</w:t>
              </w:r>
            </w:hyperlink>
          </w:p>
        </w:tc>
        <w:tc>
          <w:tcPr>
            <w:tcW w:w="27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440" w:type="dxa"/>
            <w:vAlign w:val="bottom"/>
          </w:tcPr>
          <w:p>
            <w:pPr>
              <w:spacing w:after="0"/>
              <w:rPr>
                <w:sz w:val="19"/>
                <w:szCs w:val="19"/>
                <w:color w:val="auto"/>
              </w:rPr>
            </w:pPr>
          </w:p>
        </w:tc>
        <w:tc>
          <w:tcPr>
            <w:tcW w:w="7520" w:type="dxa"/>
            <w:vAlign w:val="bottom"/>
            <w:gridSpan w:val="27"/>
          </w:tcPr>
          <w:p>
            <w:pPr>
              <w:spacing w:after="0"/>
              <w:rPr>
                <w:rFonts w:ascii="Times New Roman" w:cs="Times New Roman" w:eastAsia="Times New Roman" w:hAnsi="Times New Roman"/>
                <w:sz w:val="14"/>
                <w:szCs w:val="14"/>
                <w:color w:val="0000EE"/>
                <w:w w:val="99"/>
              </w:rPr>
            </w:pPr>
            <w:hyperlink r:id="rId98">
              <w:r>
                <w:rPr>
                  <w:rFonts w:ascii="Times New Roman" w:cs="Times New Roman" w:eastAsia="Times New Roman" w:hAnsi="Times New Roman"/>
                  <w:sz w:val="14"/>
                  <w:szCs w:val="14"/>
                  <w:color w:val="0000EE"/>
                  <w:w w:val="99"/>
                </w:rPr>
                <w:t>Senior Secured Promissory Note issued to Oramed Pharmaceuticals, Inc. on September 21, 2023 (incorporated by reference to Exhibit</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40" w:type="dxa"/>
            <w:vAlign w:val="bottom"/>
            <w:tcBorders>
              <w:top w:val="single" w:sz="8" w:color="0000EE"/>
              <w:bottom w:val="single" w:sz="8" w:color="0000EE"/>
            </w:tcBorders>
            <w:gridSpan w:val="14"/>
          </w:tcPr>
          <w:p>
            <w:pPr>
              <w:spacing w:after="0" w:line="144" w:lineRule="exact"/>
              <w:rPr>
                <w:rFonts w:ascii="Times New Roman" w:cs="Times New Roman" w:eastAsia="Times New Roman" w:hAnsi="Times New Roman"/>
                <w:sz w:val="14"/>
                <w:szCs w:val="14"/>
                <w:color w:val="0000EE"/>
                <w:w w:val="97"/>
              </w:rPr>
            </w:pPr>
            <w:hyperlink r:id="rId98">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w:t>
              </w:r>
              <w:r>
                <w:rPr>
                  <w:rFonts w:ascii="Times New Roman" w:cs="Times New Roman" w:eastAsia="Times New Roman" w:hAnsi="Times New Roman"/>
                  <w:sz w:val="14"/>
                  <w:szCs w:val="14"/>
                  <w:color w:val="0000EE"/>
                  <w:w w:val="97"/>
                </w:rPr>
                <w:t xml:space="preserve"> of our Current Report on Form 8-K (File No. 001-39852), filed with the SEC on September 26, 2023).</w:t>
              </w:r>
            </w:hyperlink>
          </w:p>
        </w:tc>
        <w:tc>
          <w:tcPr>
            <w:tcW w:w="1540" w:type="dxa"/>
            <w:vAlign w:val="bottom"/>
            <w:tcBorders>
              <w:top w:val="single" w:sz="8" w:color="0000EE"/>
            </w:tcBorders>
            <w:gridSpan w:val="9"/>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4.4</w:t>
            </w:r>
          </w:p>
        </w:tc>
        <w:tc>
          <w:tcPr>
            <w:tcW w:w="440" w:type="dxa"/>
            <w:vAlign w:val="bottom"/>
          </w:tcPr>
          <w:p>
            <w:pPr>
              <w:spacing w:after="0"/>
              <w:rPr>
                <w:sz w:val="19"/>
                <w:szCs w:val="19"/>
                <w:color w:val="auto"/>
              </w:rPr>
            </w:pPr>
          </w:p>
        </w:tc>
        <w:tc>
          <w:tcPr>
            <w:tcW w:w="7520" w:type="dxa"/>
            <w:vAlign w:val="bottom"/>
            <w:gridSpan w:val="27"/>
          </w:tcPr>
          <w:p>
            <w:pPr>
              <w:spacing w:after="0"/>
              <w:rPr>
                <w:rFonts w:ascii="Times New Roman" w:cs="Times New Roman" w:eastAsia="Times New Roman" w:hAnsi="Times New Roman"/>
                <w:sz w:val="14"/>
                <w:szCs w:val="14"/>
                <w:color w:val="0000EE"/>
                <w:w w:val="99"/>
              </w:rPr>
            </w:pPr>
            <w:hyperlink r:id="rId99">
              <w:r>
                <w:rPr>
                  <w:rFonts w:ascii="Times New Roman" w:cs="Times New Roman" w:eastAsia="Times New Roman" w:hAnsi="Times New Roman"/>
                  <w:sz w:val="14"/>
                  <w:szCs w:val="14"/>
                  <w:color w:val="0000EE"/>
                  <w:w w:val="99"/>
                </w:rPr>
                <w:t>Form of Scilex Holding Company Warrant to Purchase Common Stock (incorporated by reference to Exhibit 4.2 of our Current Report</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80" w:type="dxa"/>
            <w:vAlign w:val="bottom"/>
            <w:tcBorders>
              <w:top w:val="single" w:sz="8" w:color="0000EE"/>
              <w:bottom w:val="single" w:sz="8" w:color="0000EE"/>
            </w:tcBorders>
            <w:gridSpan w:val="9"/>
          </w:tcPr>
          <w:p>
            <w:pPr>
              <w:spacing w:after="0" w:line="144" w:lineRule="exact"/>
              <w:rPr>
                <w:rFonts w:ascii="Times New Roman" w:cs="Times New Roman" w:eastAsia="Times New Roman" w:hAnsi="Times New Roman"/>
                <w:sz w:val="14"/>
                <w:szCs w:val="14"/>
                <w:color w:val="0000EE"/>
                <w:w w:val="97"/>
              </w:rPr>
            </w:pPr>
            <w:hyperlink r:id="rId99">
              <w:r>
                <w:rPr>
                  <w:rFonts w:ascii="Times New Roman" w:cs="Times New Roman" w:eastAsia="Times New Roman" w:hAnsi="Times New Roman"/>
                  <w:sz w:val="14"/>
                  <w:szCs w:val="14"/>
                  <w:color w:val="0000EE"/>
                  <w:w w:val="97"/>
                </w:rPr>
                <w:t>on Form 8-K (File No. 001-39852), filed with the SEC on September 26, 2023).</w:t>
              </w:r>
            </w:hyperlink>
          </w:p>
        </w:tc>
        <w:tc>
          <w:tcPr>
            <w:tcW w:w="3000" w:type="dxa"/>
            <w:vAlign w:val="bottom"/>
            <w:tcBorders>
              <w:top w:val="single" w:sz="8" w:color="0000EE"/>
            </w:tcBorders>
            <w:gridSpan w:val="14"/>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4.5</w:t>
            </w:r>
          </w:p>
        </w:tc>
        <w:tc>
          <w:tcPr>
            <w:tcW w:w="440" w:type="dxa"/>
            <w:vAlign w:val="bottom"/>
          </w:tcPr>
          <w:p>
            <w:pPr>
              <w:spacing w:after="0"/>
              <w:rPr>
                <w:sz w:val="19"/>
                <w:szCs w:val="19"/>
                <w:color w:val="auto"/>
              </w:rPr>
            </w:pPr>
          </w:p>
        </w:tc>
        <w:tc>
          <w:tcPr>
            <w:tcW w:w="7500" w:type="dxa"/>
            <w:vAlign w:val="bottom"/>
            <w:tcBorders>
              <w:bottom w:val="single" w:sz="8" w:color="0000EE"/>
            </w:tcBorders>
            <w:gridSpan w:val="26"/>
          </w:tcPr>
          <w:p>
            <w:pPr>
              <w:spacing w:after="0"/>
              <w:rPr>
                <w:rFonts w:ascii="Times New Roman" w:cs="Times New Roman" w:eastAsia="Times New Roman" w:hAnsi="Times New Roman"/>
                <w:sz w:val="14"/>
                <w:szCs w:val="14"/>
                <w:color w:val="0000EE"/>
                <w:w w:val="97"/>
              </w:rPr>
            </w:pPr>
            <w:hyperlink r:id="rId100">
              <w:r>
                <w:rPr>
                  <w:rFonts w:ascii="Times New Roman" w:cs="Times New Roman" w:eastAsia="Times New Roman" w:hAnsi="Times New Roman"/>
                  <w:sz w:val="14"/>
                  <w:szCs w:val="14"/>
                  <w:color w:val="0000EE"/>
                  <w:w w:val="97"/>
                </w:rPr>
                <w:t>Form of Common Warrant (incorporated by reference to Exhibit 4.1 of our Current Report on Form 8-K (File No. 001-39852), filed with</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6"/>
              </w:rPr>
            </w:pPr>
            <w:hyperlink r:id="rId100">
              <w:r>
                <w:rPr>
                  <w:rFonts w:ascii="Times New Roman" w:cs="Times New Roman" w:eastAsia="Times New Roman" w:hAnsi="Times New Roman"/>
                  <w:sz w:val="14"/>
                  <w:szCs w:val="14"/>
                  <w:color w:val="0000EE"/>
                  <w:w w:val="96"/>
                </w:rPr>
                <w:t>the SEC on March 5, 2024).</w:t>
              </w:r>
            </w:hyperlink>
          </w:p>
        </w:tc>
        <w:tc>
          <w:tcPr>
            <w:tcW w:w="5980" w:type="dxa"/>
            <w:vAlign w:val="bottom"/>
            <w:gridSpan w:val="2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4.6</w:t>
            </w:r>
          </w:p>
        </w:tc>
        <w:tc>
          <w:tcPr>
            <w:tcW w:w="440" w:type="dxa"/>
            <w:vAlign w:val="bottom"/>
          </w:tcPr>
          <w:p>
            <w:pPr>
              <w:spacing w:after="0"/>
              <w:rPr>
                <w:sz w:val="19"/>
                <w:szCs w:val="19"/>
                <w:color w:val="auto"/>
              </w:rPr>
            </w:pPr>
          </w:p>
        </w:tc>
        <w:tc>
          <w:tcPr>
            <w:tcW w:w="752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w w:val="97"/>
              </w:rPr>
            </w:pPr>
            <w:hyperlink r:id="rId101">
              <w:r>
                <w:rPr>
                  <w:rFonts w:ascii="Times New Roman" w:cs="Times New Roman" w:eastAsia="Times New Roman" w:hAnsi="Times New Roman"/>
                  <w:sz w:val="14"/>
                  <w:szCs w:val="14"/>
                  <w:color w:val="0000EE"/>
                  <w:w w:val="97"/>
                </w:rPr>
                <w:t>Form of Representative Warrant (incorporated by reference to Exhibit 4.2 of our Current Report on Form 8-K (File No. 001-39852), filed</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Borders>
              <w:bottom w:val="single" w:sz="8" w:color="0000EE"/>
            </w:tcBorders>
            <w:gridSpan w:val="4"/>
          </w:tcPr>
          <w:p>
            <w:pPr>
              <w:spacing w:after="0" w:line="144" w:lineRule="exact"/>
              <w:rPr>
                <w:rFonts w:ascii="Times New Roman" w:cs="Times New Roman" w:eastAsia="Times New Roman" w:hAnsi="Times New Roman"/>
                <w:sz w:val="14"/>
                <w:szCs w:val="14"/>
                <w:color w:val="0000EE"/>
                <w:w w:val="96"/>
              </w:rPr>
            </w:pPr>
            <w:hyperlink r:id="rId101">
              <w:r>
                <w:rPr>
                  <w:rFonts w:ascii="Times New Roman" w:cs="Times New Roman" w:eastAsia="Times New Roman" w:hAnsi="Times New Roman"/>
                  <w:sz w:val="14"/>
                  <w:szCs w:val="14"/>
                  <w:color w:val="0000EE"/>
                  <w:w w:val="96"/>
                </w:rPr>
                <w:t>with the SEC on March 5, 2024).</w:t>
              </w:r>
            </w:hyperlink>
          </w:p>
        </w:tc>
        <w:tc>
          <w:tcPr>
            <w:tcW w:w="570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4.7</w:t>
            </w:r>
          </w:p>
        </w:tc>
        <w:tc>
          <w:tcPr>
            <w:tcW w:w="440" w:type="dxa"/>
            <w:vAlign w:val="bottom"/>
          </w:tcPr>
          <w:p>
            <w:pPr>
              <w:spacing w:after="0"/>
              <w:rPr>
                <w:sz w:val="19"/>
                <w:szCs w:val="19"/>
                <w:color w:val="auto"/>
              </w:rPr>
            </w:pPr>
          </w:p>
        </w:tc>
        <w:tc>
          <w:tcPr>
            <w:tcW w:w="64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r:id="rId102">
              <w:r>
                <w:rPr>
                  <w:rFonts w:ascii="Times New Roman" w:cs="Times New Roman" w:eastAsia="Times New Roman" w:hAnsi="Times New Roman"/>
                  <w:sz w:val="14"/>
                  <w:szCs w:val="14"/>
                  <w:color w:val="0000EE"/>
                  <w:w w:val="97"/>
                </w:rPr>
                <w:t>Form of Placement Agent Warrant (incorporated by reference to Exhibit 4.2 of our Current Report on Form 8-K (File</w:t>
              </w:r>
            </w:hyperlink>
          </w:p>
        </w:tc>
        <w:tc>
          <w:tcPr>
            <w:tcW w:w="11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No. 001-39852), filed with the SEC on April 25, 2024).</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4.8</w:t>
            </w:r>
          </w:p>
        </w:tc>
        <w:tc>
          <w:tcPr>
            <w:tcW w:w="440" w:type="dxa"/>
            <w:vAlign w:val="bottom"/>
          </w:tcPr>
          <w:p>
            <w:pPr>
              <w:spacing w:after="0"/>
              <w:rPr>
                <w:sz w:val="19"/>
                <w:szCs w:val="19"/>
                <w:color w:val="auto"/>
              </w:rPr>
            </w:pPr>
          </w:p>
        </w:tc>
        <w:tc>
          <w:tcPr>
            <w:tcW w:w="712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7"/>
              </w:rPr>
            </w:pPr>
            <w:hyperlink r:id="rId103">
              <w:r>
                <w:rPr>
                  <w:rFonts w:ascii="Times New Roman" w:cs="Times New Roman" w:eastAsia="Times New Roman" w:hAnsi="Times New Roman"/>
                  <w:sz w:val="14"/>
                  <w:szCs w:val="14"/>
                  <w:color w:val="0000EE"/>
                  <w:w w:val="97"/>
                </w:rPr>
                <w:t>Warrant to Purchase Common Stock, issued to FSF 33433 LLC on June 18, 2024 (incorporated by reference to Exhibit 4.8 of our</w:t>
              </w:r>
            </w:hyperlink>
          </w:p>
        </w:tc>
        <w:tc>
          <w:tcPr>
            <w:tcW w:w="4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Registration Statement on Form S-3 (File No. 333-280882), filed with the SEC on July 18, 2024)</w:t>
              </w:r>
              <w:r>
                <w:rPr>
                  <w:rFonts w:ascii="Times New Roman" w:cs="Times New Roman" w:eastAsia="Times New Roman" w:hAnsi="Times New Roman"/>
                  <w:sz w:val="14"/>
                  <w:szCs w:val="14"/>
                  <w:color w:val="000000"/>
                </w:rPr>
                <w:t>.</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4.9</w:t>
            </w:r>
          </w:p>
        </w:tc>
        <w:tc>
          <w:tcPr>
            <w:tcW w:w="440" w:type="dxa"/>
            <w:vAlign w:val="bottom"/>
          </w:tcPr>
          <w:p>
            <w:pPr>
              <w:spacing w:after="0"/>
              <w:rPr>
                <w:sz w:val="19"/>
                <w:szCs w:val="19"/>
                <w:color w:val="auto"/>
              </w:rPr>
            </w:pPr>
          </w:p>
        </w:tc>
        <w:tc>
          <w:tcPr>
            <w:tcW w:w="752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w w:val="97"/>
              </w:rPr>
            </w:pPr>
            <w:hyperlink r:id="rId104">
              <w:r>
                <w:rPr>
                  <w:rFonts w:ascii="Times New Roman" w:cs="Times New Roman" w:eastAsia="Times New Roman" w:hAnsi="Times New Roman"/>
                  <w:sz w:val="14"/>
                  <w:szCs w:val="14"/>
                  <w:color w:val="0000EE"/>
                  <w:w w:val="97"/>
                </w:rPr>
                <w:t>Form of Tranche B Senior Secured Convertible Note issued by Scilex Holding Company. (incorporated by reference to Exhibit 4.1 of our</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40" w:type="dxa"/>
            <w:vAlign w:val="bottom"/>
            <w:tcBorders>
              <w:bottom w:val="single" w:sz="8" w:color="0000EE"/>
            </w:tcBorders>
            <w:gridSpan w:val="12"/>
          </w:tcPr>
          <w:p>
            <w:pPr>
              <w:spacing w:after="0" w:line="144" w:lineRule="exact"/>
              <w:rPr>
                <w:rFonts w:ascii="Times New Roman" w:cs="Times New Roman" w:eastAsia="Times New Roman" w:hAnsi="Times New Roman"/>
                <w:sz w:val="14"/>
                <w:szCs w:val="14"/>
                <w:color w:val="0000EE"/>
                <w:w w:val="97"/>
              </w:rPr>
            </w:pPr>
            <w:hyperlink r:id="rId104">
              <w:r>
                <w:rPr>
                  <w:rFonts w:ascii="Times New Roman" w:cs="Times New Roman" w:eastAsia="Times New Roman" w:hAnsi="Times New Roman"/>
                  <w:sz w:val="14"/>
                  <w:szCs w:val="14"/>
                  <w:color w:val="0000EE"/>
                  <w:w w:val="97"/>
                </w:rPr>
                <w:t>Current Report on Form 8-K (File No. 001-39852), filed with the SEC on October 8, 2024).</w:t>
              </w:r>
            </w:hyperlink>
          </w:p>
        </w:tc>
        <w:tc>
          <w:tcPr>
            <w:tcW w:w="24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4.10</w:t>
            </w:r>
          </w:p>
        </w:tc>
        <w:tc>
          <w:tcPr>
            <w:tcW w:w="440" w:type="dxa"/>
            <w:vAlign w:val="bottom"/>
          </w:tcPr>
          <w:p>
            <w:pPr>
              <w:spacing w:after="0"/>
              <w:rPr>
                <w:sz w:val="19"/>
                <w:szCs w:val="19"/>
                <w:color w:val="auto"/>
              </w:rPr>
            </w:pPr>
          </w:p>
        </w:tc>
        <w:tc>
          <w:tcPr>
            <w:tcW w:w="710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105">
              <w:r>
                <w:rPr>
                  <w:rFonts w:ascii="Times New Roman" w:cs="Times New Roman" w:eastAsia="Times New Roman" w:hAnsi="Times New Roman"/>
                  <w:sz w:val="14"/>
                  <w:szCs w:val="14"/>
                  <w:color w:val="0000EE"/>
                  <w:w w:val="97"/>
                </w:rPr>
                <w:t>Form of Warrant to Purchase Common Stock issued by Scilex Holding Company. (incorporated by reference to Exhibit 4.2 of our</w:t>
              </w:r>
            </w:hyperlink>
          </w:p>
        </w:tc>
        <w:tc>
          <w:tcPr>
            <w:tcW w:w="4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Current Report on Form 8-K (File No. 001-39852), filed with the SEC on October 8, 2024).</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4.11</w:t>
            </w:r>
          </w:p>
        </w:tc>
        <w:tc>
          <w:tcPr>
            <w:tcW w:w="440" w:type="dxa"/>
            <w:vAlign w:val="bottom"/>
          </w:tcPr>
          <w:p>
            <w:pPr>
              <w:spacing w:after="0"/>
              <w:rPr>
                <w:sz w:val="19"/>
                <w:szCs w:val="19"/>
                <w:color w:val="auto"/>
              </w:rPr>
            </w:pPr>
          </w:p>
        </w:tc>
        <w:tc>
          <w:tcPr>
            <w:tcW w:w="752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w w:val="97"/>
              </w:rPr>
            </w:pPr>
            <w:hyperlink r:id="rId106">
              <w:r>
                <w:rPr>
                  <w:rFonts w:ascii="Times New Roman" w:cs="Times New Roman" w:eastAsia="Times New Roman" w:hAnsi="Times New Roman"/>
                  <w:sz w:val="14"/>
                  <w:szCs w:val="14"/>
                  <w:color w:val="0000EE"/>
                  <w:w w:val="97"/>
                </w:rPr>
                <w:t>Form of Placement Agent Warrant issued by Scilex Holding Company (incorporated by reference to Exhibit 4.3 of our Current Report on</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tcBorders>
              <w:bottom w:val="single" w:sz="8" w:color="0000EE"/>
            </w:tcBorders>
            <w:gridSpan w:val="6"/>
          </w:tcPr>
          <w:p>
            <w:pPr>
              <w:spacing w:after="0" w:line="144" w:lineRule="exact"/>
              <w:rPr>
                <w:rFonts w:ascii="Times New Roman" w:cs="Times New Roman" w:eastAsia="Times New Roman" w:hAnsi="Times New Roman"/>
                <w:sz w:val="14"/>
                <w:szCs w:val="14"/>
                <w:color w:val="0000EE"/>
                <w:w w:val="97"/>
              </w:rPr>
            </w:pPr>
            <w:hyperlink r:id="rId106">
              <w:r>
                <w:rPr>
                  <w:rFonts w:ascii="Times New Roman" w:cs="Times New Roman" w:eastAsia="Times New Roman" w:hAnsi="Times New Roman"/>
                  <w:sz w:val="14"/>
                  <w:szCs w:val="14"/>
                  <w:color w:val="0000EE"/>
                  <w:w w:val="97"/>
                </w:rPr>
                <w:t>Form 8-K (File No. 001-39852), filed with the SEC on October 8, 2024).</w:t>
              </w:r>
            </w:hyperlink>
          </w:p>
        </w:tc>
        <w:tc>
          <w:tcPr>
            <w:tcW w:w="352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4.12</w:t>
            </w:r>
          </w:p>
        </w:tc>
        <w:tc>
          <w:tcPr>
            <w:tcW w:w="440" w:type="dxa"/>
            <w:vAlign w:val="bottom"/>
          </w:tcPr>
          <w:p>
            <w:pPr>
              <w:spacing w:after="0"/>
              <w:rPr>
                <w:sz w:val="19"/>
                <w:szCs w:val="19"/>
                <w:color w:val="auto"/>
              </w:rPr>
            </w:pPr>
          </w:p>
        </w:tc>
        <w:tc>
          <w:tcPr>
            <w:tcW w:w="7520" w:type="dxa"/>
            <w:vAlign w:val="bottom"/>
            <w:gridSpan w:val="27"/>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Form of Pre-Funded Warrant issued by Scilex Holding Company (incorporated by reference to Exhibit 4.1 of our Current Report on</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20" w:type="dxa"/>
            <w:vAlign w:val="bottom"/>
            <w:tcBorders>
              <w:top w:val="single" w:sz="8" w:color="0000EE"/>
              <w:bottom w:val="single" w:sz="8" w:color="0000EE"/>
            </w:tcBorders>
            <w:gridSpan w:val="8"/>
          </w:tcPr>
          <w:p>
            <w:pPr>
              <w:spacing w:after="0" w:line="144" w:lineRule="exact"/>
              <w:rPr>
                <w:rFonts w:ascii="Times New Roman" w:cs="Times New Roman" w:eastAsia="Times New Roman" w:hAnsi="Times New Roman"/>
                <w:sz w:val="14"/>
                <w:szCs w:val="14"/>
                <w:color w:val="0000EE"/>
                <w:w w:val="98"/>
              </w:rPr>
            </w:pPr>
            <w:hyperlink r:id="rId107">
              <w:r>
                <w:rPr>
                  <w:rFonts w:ascii="Times New Roman" w:cs="Times New Roman" w:eastAsia="Times New Roman" w:hAnsi="Times New Roman"/>
                  <w:sz w:val="14"/>
                  <w:szCs w:val="14"/>
                  <w:color w:val="0000EE"/>
                  <w:w w:val="98"/>
                </w:rPr>
                <w:t>Form 8-K (File No. 001-39852), filed with the SEC on December 13, 2024).</w:t>
              </w:r>
            </w:hyperlink>
          </w:p>
        </w:tc>
        <w:tc>
          <w:tcPr>
            <w:tcW w:w="3020" w:type="dxa"/>
            <w:vAlign w:val="bottom"/>
            <w:tcBorders>
              <w:top w:val="single" w:sz="8" w:color="0000EE"/>
            </w:tcBorders>
            <w:gridSpan w:val="13"/>
          </w:tcPr>
          <w:p>
            <w:pPr>
              <w:spacing w:after="0"/>
              <w:rPr>
                <w:sz w:val="12"/>
                <w:szCs w:val="12"/>
                <w:color w:val="auto"/>
              </w:rPr>
            </w:pPr>
          </w:p>
        </w:tc>
        <w:tc>
          <w:tcPr>
            <w:tcW w:w="2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4.13</w:t>
            </w:r>
          </w:p>
        </w:tc>
        <w:tc>
          <w:tcPr>
            <w:tcW w:w="440" w:type="dxa"/>
            <w:vAlign w:val="bottom"/>
          </w:tcPr>
          <w:p>
            <w:pPr>
              <w:spacing w:after="0"/>
              <w:rPr>
                <w:sz w:val="19"/>
                <w:szCs w:val="19"/>
                <w:color w:val="auto"/>
              </w:rPr>
            </w:pPr>
          </w:p>
        </w:tc>
        <w:tc>
          <w:tcPr>
            <w:tcW w:w="7520" w:type="dxa"/>
            <w:vAlign w:val="bottom"/>
            <w:gridSpan w:val="27"/>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Form of Common Warrant issued by Scilex Holding Company (incorporated by reference to Exhibit 4.2 of our Current Report on</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80" w:type="dxa"/>
            <w:vAlign w:val="bottom"/>
            <w:tcBorders>
              <w:top w:val="single" w:sz="8" w:color="0000EE"/>
            </w:tcBorders>
            <w:gridSpan w:val="16"/>
          </w:tcPr>
          <w:p>
            <w:pPr>
              <w:spacing w:after="0" w:line="144"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Form 8-K (File No. 001-39852), filed with the SEC on December 13, 2024).</w:t>
              </w:r>
            </w:hyperlink>
          </w:p>
        </w:tc>
        <w:tc>
          <w:tcPr>
            <w:tcW w:w="4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5"/>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4.14</w:t>
            </w:r>
          </w:p>
        </w:tc>
        <w:tc>
          <w:tcPr>
            <w:tcW w:w="440" w:type="dxa"/>
            <w:vAlign w:val="bottom"/>
          </w:tcPr>
          <w:p>
            <w:pPr>
              <w:spacing w:after="0"/>
              <w:rPr>
                <w:sz w:val="19"/>
                <w:szCs w:val="19"/>
                <w:color w:val="auto"/>
              </w:rPr>
            </w:pPr>
          </w:p>
        </w:tc>
        <w:tc>
          <w:tcPr>
            <w:tcW w:w="72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7"/>
              </w:rPr>
            </w:pPr>
            <w:hyperlink r:id="rId109">
              <w:r>
                <w:rPr>
                  <w:rFonts w:ascii="Times New Roman" w:cs="Times New Roman" w:eastAsia="Times New Roman" w:hAnsi="Times New Roman"/>
                  <w:sz w:val="14"/>
                  <w:szCs w:val="14"/>
                  <w:color w:val="0000EE"/>
                  <w:w w:val="97"/>
                </w:rPr>
                <w:t>Form of StockBlock Warrant issued by Scilex Holding Company (incorporated by reference to Exhibit 4.3 of our Current Report on</w:t>
              </w:r>
            </w:hyperlink>
          </w:p>
        </w:tc>
        <w:tc>
          <w:tcPr>
            <w:tcW w:w="3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Form 8-K (File No. 001-39852), filed with the SEC on December 13, 2024)</w:t>
              </w:r>
              <w:r>
                <w:rPr>
                  <w:rFonts w:ascii="Times New Roman" w:cs="Times New Roman" w:eastAsia="Times New Roman" w:hAnsi="Times New Roman"/>
                  <w:sz w:val="14"/>
                  <w:szCs w:val="14"/>
                  <w:color w:val="000000"/>
                </w:rPr>
                <w:t>.</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4.15</w:t>
            </w:r>
          </w:p>
        </w:tc>
        <w:tc>
          <w:tcPr>
            <w:tcW w:w="440" w:type="dxa"/>
            <w:vAlign w:val="bottom"/>
          </w:tcPr>
          <w:p>
            <w:pPr>
              <w:spacing w:after="0"/>
              <w:rPr>
                <w:sz w:val="19"/>
                <w:szCs w:val="19"/>
                <w:color w:val="auto"/>
              </w:rPr>
            </w:pPr>
          </w:p>
        </w:tc>
        <w:tc>
          <w:tcPr>
            <w:tcW w:w="740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7"/>
              </w:rPr>
            </w:pPr>
            <w:hyperlink r:id="rId110">
              <w:r>
                <w:rPr>
                  <w:rFonts w:ascii="Times New Roman" w:cs="Times New Roman" w:eastAsia="Times New Roman" w:hAnsi="Times New Roman"/>
                  <w:sz w:val="14"/>
                  <w:szCs w:val="14"/>
                  <w:color w:val="0000EE"/>
                  <w:w w:val="97"/>
                </w:rPr>
                <w:t>Amendment No. 1 to Common Stock Purchase Warrant, dated December 11, 2024, between Scilex Holding Company and the investor</w:t>
              </w:r>
            </w:hyperlink>
          </w:p>
        </w:tc>
        <w:tc>
          <w:tcPr>
            <w:tcW w:w="1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gridSpan w:val="27"/>
          </w:tcPr>
          <w:p>
            <w:pPr>
              <w:spacing w:after="0" w:line="144" w:lineRule="exact"/>
              <w:rPr>
                <w:rFonts w:ascii="Times New Roman" w:cs="Times New Roman" w:eastAsia="Times New Roman" w:hAnsi="Times New Roman"/>
                <w:sz w:val="14"/>
                <w:szCs w:val="14"/>
                <w:color w:val="0000EE"/>
                <w:w w:val="98"/>
              </w:rPr>
            </w:pPr>
            <w:hyperlink r:id="rId110">
              <w:r>
                <w:rPr>
                  <w:rFonts w:ascii="Times New Roman" w:cs="Times New Roman" w:eastAsia="Times New Roman" w:hAnsi="Times New Roman"/>
                  <w:sz w:val="14"/>
                  <w:szCs w:val="14"/>
                  <w:color w:val="0000EE"/>
                  <w:w w:val="98"/>
                </w:rPr>
                <w:t>named therein (incorporated by reference to Exhibit 4.4 of our Current Report on Form 8-K (File No. 001-39852), filed with the SEC on</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Borders>
              <w:top w:val="single" w:sz="8" w:color="0000EE"/>
              <w:bottom w:val="single" w:sz="8" w:color="0000EE"/>
            </w:tcBorders>
          </w:tcPr>
          <w:p>
            <w:pPr>
              <w:spacing w:after="0" w:line="144" w:lineRule="exact"/>
              <w:rPr>
                <w:rFonts w:ascii="Times New Roman" w:cs="Times New Roman" w:eastAsia="Times New Roman" w:hAnsi="Times New Roman"/>
                <w:sz w:val="14"/>
                <w:szCs w:val="14"/>
                <w:color w:val="0000EE"/>
                <w:w w:val="96"/>
              </w:rPr>
            </w:pPr>
            <w:hyperlink r:id="rId110">
              <w:r>
                <w:rPr>
                  <w:rFonts w:ascii="Times New Roman" w:cs="Times New Roman" w:eastAsia="Times New Roman" w:hAnsi="Times New Roman"/>
                  <w:sz w:val="14"/>
                  <w:szCs w:val="14"/>
                  <w:color w:val="0000EE"/>
                  <w:w w:val="96"/>
                </w:rPr>
                <w:t>December 13, 2024).</w:t>
              </w:r>
            </w:hyperlink>
          </w:p>
        </w:tc>
        <w:tc>
          <w:tcPr>
            <w:tcW w:w="6320" w:type="dxa"/>
            <w:vAlign w:val="bottom"/>
            <w:tcBorders>
              <w:top w:val="single" w:sz="8" w:color="0000EE"/>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4.16</w:t>
            </w:r>
          </w:p>
        </w:tc>
        <w:tc>
          <w:tcPr>
            <w:tcW w:w="440" w:type="dxa"/>
            <w:vAlign w:val="bottom"/>
          </w:tcPr>
          <w:p>
            <w:pPr>
              <w:spacing w:after="0"/>
              <w:rPr>
                <w:sz w:val="19"/>
                <w:szCs w:val="19"/>
                <w:color w:val="auto"/>
              </w:rPr>
            </w:pPr>
          </w:p>
        </w:tc>
        <w:tc>
          <w:tcPr>
            <w:tcW w:w="7520" w:type="dxa"/>
            <w:vAlign w:val="bottom"/>
            <w:gridSpan w:val="27"/>
          </w:tcPr>
          <w:p>
            <w:pPr>
              <w:spacing w:after="0"/>
              <w:rPr>
                <w:rFonts w:ascii="Times New Roman" w:cs="Times New Roman" w:eastAsia="Times New Roman" w:hAnsi="Times New Roman"/>
                <w:sz w:val="14"/>
                <w:szCs w:val="14"/>
                <w:color w:val="0000EE"/>
                <w:w w:val="99"/>
              </w:rPr>
            </w:pPr>
            <w:hyperlink r:id="rId111">
              <w:r>
                <w:rPr>
                  <w:rFonts w:ascii="Times New Roman" w:cs="Times New Roman" w:eastAsia="Times New Roman" w:hAnsi="Times New Roman"/>
                  <w:sz w:val="14"/>
                  <w:szCs w:val="14"/>
                  <w:color w:val="0000EE"/>
                  <w:w w:val="99"/>
                </w:rPr>
                <w:t>Form of Exchange Warrant (incorporated by reference to Exhibit 10.6 of our Current Report on Form 8-K (File No. 001-39852), filed</w:t>
              </w:r>
            </w:hyperlink>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Borders>
              <w:top w:val="single" w:sz="8" w:color="0000EE"/>
              <w:bottom w:val="single" w:sz="8" w:color="0000EE"/>
            </w:tcBorders>
            <w:gridSpan w:val="3"/>
          </w:tcPr>
          <w:p>
            <w:pPr>
              <w:spacing w:after="0" w:line="144" w:lineRule="exact"/>
              <w:rPr>
                <w:rFonts w:ascii="Times New Roman" w:cs="Times New Roman" w:eastAsia="Times New Roman" w:hAnsi="Times New Roman"/>
                <w:sz w:val="14"/>
                <w:szCs w:val="14"/>
                <w:color w:val="0000EE"/>
                <w:w w:val="96"/>
              </w:rPr>
            </w:pPr>
            <w:hyperlink r:id="rId111">
              <w:r>
                <w:rPr>
                  <w:rFonts w:ascii="Times New Roman" w:cs="Times New Roman" w:eastAsia="Times New Roman" w:hAnsi="Times New Roman"/>
                  <w:sz w:val="14"/>
                  <w:szCs w:val="14"/>
                  <w:color w:val="0000EE"/>
                  <w:w w:val="96"/>
                </w:rPr>
                <w:t>with the SEC on July 23, 2025).</w:t>
              </w:r>
            </w:hyperlink>
          </w:p>
        </w:tc>
        <w:tc>
          <w:tcPr>
            <w:tcW w:w="5580" w:type="dxa"/>
            <w:vAlign w:val="bottom"/>
            <w:tcBorders>
              <w:top w:val="single" w:sz="8" w:color="0000EE"/>
            </w:tcBorders>
            <w:gridSpan w:val="19"/>
          </w:tcPr>
          <w:p>
            <w:pPr>
              <w:spacing w:after="0"/>
              <w:rPr>
                <w:sz w:val="12"/>
                <w:szCs w:val="12"/>
                <w:color w:val="auto"/>
              </w:rPr>
            </w:pPr>
          </w:p>
        </w:tc>
        <w:tc>
          <w:tcPr>
            <w:tcW w:w="1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3"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4.17</w:t>
            </w:r>
          </w:p>
        </w:tc>
        <w:tc>
          <w:tcPr>
            <w:tcW w:w="380" w:type="dxa"/>
            <w:vAlign w:val="bottom"/>
          </w:tcPr>
          <w:p>
            <w:pPr>
              <w:spacing w:after="0"/>
              <w:rPr>
                <w:sz w:val="17"/>
                <w:szCs w:val="17"/>
                <w:color w:val="auto"/>
              </w:rPr>
            </w:pPr>
          </w:p>
        </w:tc>
        <w:tc>
          <w:tcPr>
            <w:tcW w:w="644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7"/>
              </w:rPr>
            </w:pPr>
            <w:hyperlink r:id="rId113">
              <w:r>
                <w:rPr>
                  <w:rFonts w:ascii="Times New Roman" w:cs="Times New Roman" w:eastAsia="Times New Roman" w:hAnsi="Times New Roman"/>
                  <w:sz w:val="14"/>
                  <w:szCs w:val="14"/>
                  <w:color w:val="0000EE"/>
                  <w:w w:val="97"/>
                </w:rPr>
                <w:t>Form of September 2025 Warrant (incorporated by reference to Exhibit 10.2 of our Current Report on Form 8-K (File</w:t>
              </w:r>
            </w:hyperlink>
          </w:p>
        </w:tc>
        <w:tc>
          <w:tcPr>
            <w:tcW w:w="1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520" w:type="dxa"/>
            <w:vAlign w:val="bottom"/>
            <w:gridSpan w:val="12"/>
          </w:tcPr>
          <w:p>
            <w:pPr>
              <w:spacing w:after="0" w:line="144"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No. 001-39852), filed with the SEC on October 1, 2025).</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4.18</w:t>
            </w:r>
          </w:p>
        </w:tc>
        <w:tc>
          <w:tcPr>
            <w:tcW w:w="380" w:type="dxa"/>
            <w:vAlign w:val="bottom"/>
          </w:tcPr>
          <w:p>
            <w:pPr>
              <w:spacing w:after="0"/>
              <w:rPr>
                <w:sz w:val="19"/>
                <w:szCs w:val="19"/>
                <w:color w:val="auto"/>
              </w:rPr>
            </w:pPr>
          </w:p>
        </w:tc>
        <w:tc>
          <w:tcPr>
            <w:tcW w:w="692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7"/>
              </w:rPr>
            </w:pPr>
            <w:hyperlink r:id="rId114">
              <w:r>
                <w:rPr>
                  <w:rFonts w:ascii="Times New Roman" w:cs="Times New Roman" w:eastAsia="Times New Roman" w:hAnsi="Times New Roman"/>
                  <w:sz w:val="14"/>
                  <w:szCs w:val="14"/>
                  <w:color w:val="0000EE"/>
                  <w:w w:val="97"/>
                </w:rPr>
                <w:t>Form of November 2025 Investor Warrant (incorporated by reference to Exhibit 10.2 of our Current Report on Form 8-K (File</w:t>
              </w:r>
            </w:hyperlink>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Borders>
              <w:bottom w:val="single" w:sz="8" w:color="0000EE"/>
            </w:tcBorders>
            <w:gridSpan w:val="7"/>
          </w:tcPr>
          <w:p>
            <w:pPr>
              <w:spacing w:after="0" w:line="144" w:lineRule="exact"/>
              <w:rPr>
                <w:rFonts w:ascii="Times New Roman" w:cs="Times New Roman" w:eastAsia="Times New Roman" w:hAnsi="Times New Roman"/>
                <w:sz w:val="14"/>
                <w:szCs w:val="14"/>
                <w:color w:val="0000EE"/>
                <w:w w:val="97"/>
              </w:rPr>
            </w:pPr>
            <w:hyperlink r:id="rId114">
              <w:r>
                <w:rPr>
                  <w:rFonts w:ascii="Times New Roman" w:cs="Times New Roman" w:eastAsia="Times New Roman" w:hAnsi="Times New Roman"/>
                  <w:sz w:val="14"/>
                  <w:szCs w:val="14"/>
                  <w:color w:val="0000EE"/>
                  <w:w w:val="97"/>
                </w:rPr>
                <w:t>No. 001- 39852), filed with the SEC on November 24, 2025).</w:t>
              </w:r>
            </w:hyperlink>
          </w:p>
        </w:tc>
        <w:tc>
          <w:tcPr>
            <w:tcW w:w="4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4.19</w:t>
            </w:r>
          </w:p>
        </w:tc>
        <w:tc>
          <w:tcPr>
            <w:tcW w:w="380" w:type="dxa"/>
            <w:vAlign w:val="bottom"/>
          </w:tcPr>
          <w:p>
            <w:pPr>
              <w:spacing w:after="0"/>
              <w:rPr>
                <w:sz w:val="19"/>
                <w:szCs w:val="19"/>
                <w:color w:val="auto"/>
              </w:rPr>
            </w:pPr>
          </w:p>
        </w:tc>
        <w:tc>
          <w:tcPr>
            <w:tcW w:w="7520" w:type="dxa"/>
            <w:vAlign w:val="bottom"/>
            <w:gridSpan w:val="12"/>
          </w:tcPr>
          <w:p>
            <w:pPr>
              <w:spacing w:after="0"/>
              <w:rPr>
                <w:rFonts w:ascii="Times New Roman" w:cs="Times New Roman" w:eastAsia="Times New Roman" w:hAnsi="Times New Roman"/>
                <w:sz w:val="14"/>
                <w:szCs w:val="14"/>
                <w:color w:val="0000EE"/>
                <w:w w:val="98"/>
              </w:rPr>
            </w:pPr>
            <w:hyperlink r:id="rId115">
              <w:r>
                <w:rPr>
                  <w:rFonts w:ascii="Times New Roman" w:cs="Times New Roman" w:eastAsia="Times New Roman" w:hAnsi="Times New Roman"/>
                  <w:sz w:val="14"/>
                  <w:szCs w:val="14"/>
                  <w:color w:val="0000EE"/>
                  <w:w w:val="98"/>
                </w:rPr>
                <w:t>Form of November 2025 Placement Agent Warrant (incorporated by reference to Exhibit 10.3 of our Current Report on Form 8-K (File</w:t>
              </w:r>
            </w:hyperlink>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0" w:type="dxa"/>
            <w:vAlign w:val="bottom"/>
            <w:tcBorders>
              <w:top w:val="single" w:sz="8" w:color="0000EE"/>
            </w:tcBorders>
            <w:gridSpan w:val="11"/>
          </w:tcPr>
          <w:p>
            <w:pPr>
              <w:spacing w:after="0" w:line="144"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No. 001- 39852), filed with the SEC on November 24, 2025).</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4.20+</w:t>
            </w:r>
          </w:p>
        </w:tc>
        <w:tc>
          <w:tcPr>
            <w:tcW w:w="380" w:type="dxa"/>
            <w:vAlign w:val="bottom"/>
          </w:tcPr>
          <w:p>
            <w:pPr>
              <w:spacing w:after="0"/>
              <w:rPr>
                <w:sz w:val="22"/>
                <w:szCs w:val="22"/>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Specimen Preferred Stock Certificate and Form of Certificate of Designation of Preferred Stock.</w:t>
            </w: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4.21*</w:t>
            </w:r>
          </w:p>
        </w:tc>
        <w:tc>
          <w:tcPr>
            <w:tcW w:w="380" w:type="dxa"/>
            <w:vAlign w:val="bottom"/>
          </w:tcPr>
          <w:p>
            <w:pPr>
              <w:spacing w:after="0"/>
              <w:rPr>
                <w:sz w:val="18"/>
                <w:szCs w:val="18"/>
                <w:color w:val="auto"/>
              </w:rPr>
            </w:pPr>
          </w:p>
        </w:tc>
        <w:tc>
          <w:tcPr>
            <w:tcW w:w="1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Form of Indenture.</w:t>
            </w:r>
          </w:p>
        </w:tc>
        <w:tc>
          <w:tcPr>
            <w:tcW w:w="64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4.22+</w:t>
            </w:r>
          </w:p>
        </w:tc>
        <w:tc>
          <w:tcPr>
            <w:tcW w:w="380" w:type="dxa"/>
            <w:vAlign w:val="bottom"/>
          </w:tcPr>
          <w:p>
            <w:pPr>
              <w:spacing w:after="0"/>
              <w:rPr>
                <w:sz w:val="22"/>
                <w:szCs w:val="22"/>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0" w:type="dxa"/>
            <w:vAlign w:val="bottom"/>
          </w:tcPr>
          <w:p>
            <w:pPr>
              <w:spacing w:after="0"/>
              <w:rPr>
                <w:sz w:val="1"/>
                <w:szCs w:val="1"/>
                <w:color w:val="auto"/>
              </w:rPr>
            </w:pPr>
          </w:p>
        </w:tc>
      </w:tr>
      <w:tr>
        <w:trPr>
          <w:trHeight w:val="24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4.23+</w:t>
            </w:r>
          </w:p>
        </w:tc>
        <w:tc>
          <w:tcPr>
            <w:tcW w:w="380" w:type="dxa"/>
            <w:vAlign w:val="bottom"/>
          </w:tcPr>
          <w:p>
            <w:pPr>
              <w:spacing w:after="0"/>
              <w:rPr>
                <w:sz w:val="21"/>
                <w:szCs w:val="21"/>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Common Stock Warrant Agreement and Warrant Certificate.</w:t>
            </w:r>
          </w:p>
        </w:tc>
        <w:tc>
          <w:tcPr>
            <w:tcW w:w="0" w:type="dxa"/>
            <w:vAlign w:val="bottom"/>
          </w:tcPr>
          <w:p>
            <w:pPr>
              <w:spacing w:after="0"/>
              <w:rPr>
                <w:sz w:val="1"/>
                <w:szCs w:val="1"/>
                <w:color w:val="auto"/>
              </w:rPr>
            </w:pPr>
          </w:p>
        </w:tc>
      </w:tr>
      <w:tr>
        <w:trPr>
          <w:trHeight w:val="24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4.24+</w:t>
            </w:r>
          </w:p>
        </w:tc>
        <w:tc>
          <w:tcPr>
            <w:tcW w:w="380" w:type="dxa"/>
            <w:vAlign w:val="bottom"/>
          </w:tcPr>
          <w:p>
            <w:pPr>
              <w:spacing w:after="0"/>
              <w:rPr>
                <w:sz w:val="21"/>
                <w:szCs w:val="21"/>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Preferred Stock Warrant Agreement and Warrant Certificate.</w:t>
            </w:r>
          </w:p>
        </w:tc>
        <w:tc>
          <w:tcPr>
            <w:tcW w:w="0" w:type="dxa"/>
            <w:vAlign w:val="bottom"/>
          </w:tcPr>
          <w:p>
            <w:pPr>
              <w:spacing w:after="0"/>
              <w:rPr>
                <w:sz w:val="1"/>
                <w:szCs w:val="1"/>
                <w:color w:val="auto"/>
              </w:rPr>
            </w:pPr>
          </w:p>
        </w:tc>
      </w:tr>
      <w:tr>
        <w:trPr>
          <w:trHeight w:val="24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4.25+</w:t>
            </w:r>
          </w:p>
        </w:tc>
        <w:tc>
          <w:tcPr>
            <w:tcW w:w="380" w:type="dxa"/>
            <w:vAlign w:val="bottom"/>
          </w:tcPr>
          <w:p>
            <w:pPr>
              <w:spacing w:after="0"/>
              <w:rPr>
                <w:sz w:val="21"/>
                <w:szCs w:val="21"/>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Debt Securities Warrant Agreement and Warrant Certificate.</w:t>
            </w:r>
          </w:p>
        </w:tc>
        <w:tc>
          <w:tcPr>
            <w:tcW w:w="0" w:type="dxa"/>
            <w:vAlign w:val="bottom"/>
          </w:tcPr>
          <w:p>
            <w:pPr>
              <w:spacing w:after="0"/>
              <w:rPr>
                <w:sz w:val="1"/>
                <w:szCs w:val="1"/>
                <w:color w:val="auto"/>
              </w:rPr>
            </w:pPr>
          </w:p>
        </w:tc>
      </w:tr>
      <w:tr>
        <w:trPr>
          <w:trHeight w:val="24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4.26+</w:t>
            </w:r>
          </w:p>
        </w:tc>
        <w:tc>
          <w:tcPr>
            <w:tcW w:w="380" w:type="dxa"/>
            <w:vAlign w:val="bottom"/>
          </w:tcPr>
          <w:p>
            <w:pPr>
              <w:spacing w:after="0"/>
              <w:rPr>
                <w:sz w:val="21"/>
                <w:szCs w:val="21"/>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Rights Agreement and Right Certificate.</w:t>
            </w:r>
          </w:p>
        </w:tc>
        <w:tc>
          <w:tcPr>
            <w:tcW w:w="0" w:type="dxa"/>
            <w:vAlign w:val="bottom"/>
          </w:tcPr>
          <w:p>
            <w:pPr>
              <w:spacing w:after="0"/>
              <w:rPr>
                <w:sz w:val="1"/>
                <w:szCs w:val="1"/>
                <w:color w:val="auto"/>
              </w:rPr>
            </w:pPr>
          </w:p>
        </w:tc>
      </w:tr>
      <w:tr>
        <w:trPr>
          <w:trHeight w:val="24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4.27+</w:t>
            </w:r>
          </w:p>
        </w:tc>
        <w:tc>
          <w:tcPr>
            <w:tcW w:w="380" w:type="dxa"/>
            <w:vAlign w:val="bottom"/>
          </w:tcPr>
          <w:p>
            <w:pPr>
              <w:spacing w:after="0"/>
              <w:rPr>
                <w:sz w:val="21"/>
                <w:szCs w:val="21"/>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w:t>
            </w: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380" w:type="dxa"/>
            <w:vAlign w:val="bottom"/>
          </w:tcPr>
          <w:p>
            <w:pPr>
              <w:spacing w:after="0"/>
              <w:rPr>
                <w:sz w:val="18"/>
                <w:szCs w:val="18"/>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Opinion of Paul Hastings LLP.</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380" w:type="dxa"/>
            <w:vAlign w:val="bottom"/>
          </w:tcPr>
          <w:p>
            <w:pPr>
              <w:spacing w:after="0"/>
              <w:rPr>
                <w:sz w:val="19"/>
                <w:szCs w:val="19"/>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Consent of BPM LLP, independent registered public accounting firm.</w:t>
            </w:r>
          </w:p>
        </w:tc>
        <w:tc>
          <w:tcPr>
            <w:tcW w:w="0" w:type="dxa"/>
            <w:vAlign w:val="bottom"/>
          </w:tcPr>
          <w:p>
            <w:pPr>
              <w:spacing w:after="0"/>
              <w:rPr>
                <w:sz w:val="1"/>
                <w:szCs w:val="1"/>
                <w:color w:val="auto"/>
              </w:rPr>
            </w:pPr>
          </w:p>
        </w:tc>
      </w:tr>
      <w:tr>
        <w:trPr>
          <w:trHeight w:val="22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23.2*</w:t>
            </w:r>
          </w:p>
        </w:tc>
        <w:tc>
          <w:tcPr>
            <w:tcW w:w="380" w:type="dxa"/>
            <w:vAlign w:val="bottom"/>
          </w:tcPr>
          <w:p>
            <w:pPr>
              <w:spacing w:after="0"/>
              <w:rPr>
                <w:sz w:val="19"/>
                <w:szCs w:val="19"/>
                <w:color w:val="auto"/>
              </w:rPr>
            </w:pPr>
          </w:p>
        </w:tc>
        <w:tc>
          <w:tcPr>
            <w:tcW w:w="31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Consent of Paul Hastings LLP (included in Exhibit 5.1).</w:t>
            </w:r>
          </w:p>
        </w:tc>
        <w:tc>
          <w:tcPr>
            <w:tcW w:w="680" w:type="dxa"/>
            <w:vAlign w:val="bottom"/>
            <w:tcBorders>
              <w:top w:val="single" w:sz="8" w:color="0000EE"/>
            </w:tcBorders>
            <w:gridSpan w:val="4"/>
          </w:tcPr>
          <w:p>
            <w:pPr>
              <w:spacing w:after="0"/>
              <w:rPr>
                <w:sz w:val="19"/>
                <w:szCs w:val="19"/>
                <w:color w:val="auto"/>
              </w:rPr>
            </w:pPr>
          </w:p>
        </w:tc>
        <w:tc>
          <w:tcPr>
            <w:tcW w:w="37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w:t>
            </w:r>
          </w:p>
        </w:tc>
        <w:tc>
          <w:tcPr>
            <w:tcW w:w="380" w:type="dxa"/>
            <w:vAlign w:val="bottom"/>
          </w:tcPr>
          <w:p>
            <w:pPr>
              <w:spacing w:after="0"/>
              <w:rPr>
                <w:sz w:val="19"/>
                <w:szCs w:val="19"/>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hereto).</w:t>
            </w:r>
          </w:p>
        </w:tc>
        <w:tc>
          <w:tcPr>
            <w:tcW w:w="0" w:type="dxa"/>
            <w:vAlign w:val="bottom"/>
          </w:tcPr>
          <w:p>
            <w:pPr>
              <w:spacing w:after="0"/>
              <w:rPr>
                <w:sz w:val="1"/>
                <w:szCs w:val="1"/>
                <w:color w:val="auto"/>
              </w:rPr>
            </w:pPr>
          </w:p>
        </w:tc>
      </w:tr>
      <w:tr>
        <w:trPr>
          <w:trHeight w:val="25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25.1^</w:t>
            </w:r>
          </w:p>
        </w:tc>
        <w:tc>
          <w:tcPr>
            <w:tcW w:w="380" w:type="dxa"/>
            <w:vAlign w:val="bottom"/>
          </w:tcPr>
          <w:p>
            <w:pPr>
              <w:spacing w:after="0"/>
              <w:rPr>
                <w:sz w:val="22"/>
                <w:szCs w:val="22"/>
                <w:color w:val="auto"/>
              </w:rPr>
            </w:pPr>
          </w:p>
        </w:tc>
        <w:tc>
          <w:tcPr>
            <w:tcW w:w="3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430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Pr>
          <w:p>
            <w:pPr>
              <w:spacing w:after="0"/>
              <w:rPr>
                <w:sz w:val="18"/>
                <w:szCs w:val="18"/>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78105</wp:posOffset>
            </wp:positionV>
            <wp:extent cx="58610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31" w:lineRule="exact"/>
        <w:rPr>
          <w:sz w:val="20"/>
          <w:szCs w:val="20"/>
          <w:color w:val="auto"/>
        </w:rPr>
      </w:pPr>
    </w:p>
    <w:p>
      <w:pPr>
        <w:ind w:left="1780" w:hanging="321"/>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5" w:lineRule="exact"/>
        <w:rPr>
          <w:sz w:val="20"/>
          <w:szCs w:val="20"/>
          <w:color w:val="auto"/>
        </w:rPr>
      </w:pPr>
    </w:p>
    <w:p>
      <w:pPr>
        <w:ind w:left="1780" w:hanging="321"/>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Current Report on Form 8-K and incorporated herein by reference, if applicable.</w:t>
      </w:r>
    </w:p>
    <w:p>
      <w:pPr>
        <w:spacing w:after="0" w:line="3" w:lineRule="exact"/>
        <w:rPr>
          <w:sz w:val="20"/>
          <w:szCs w:val="20"/>
          <w:color w:val="auto"/>
        </w:rPr>
      </w:pPr>
    </w:p>
    <w:p>
      <w:pPr>
        <w:ind w:left="1780" w:hanging="321"/>
        <w:spacing w:after="0"/>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 The Registrant agrees to</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furnish a copy of all omitted exhibits and schedules to the SEC upon its request.</w:t>
      </w:r>
    </w:p>
    <w:p>
      <w:pPr>
        <w:spacing w:after="0" w:line="3" w:lineRule="exact"/>
        <w:rPr>
          <w:sz w:val="20"/>
          <w:szCs w:val="20"/>
          <w:color w:val="auto"/>
        </w:rPr>
      </w:pPr>
    </w:p>
    <w:p>
      <w:pPr>
        <w:ind w:left="1780" w:hanging="321"/>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separately under the electronic form type 305B2, if applicable.</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Item 17. Undertakings</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5" w:lineRule="exact"/>
        <w:rPr>
          <w:sz w:val="20"/>
          <w:szCs w:val="20"/>
          <w:color w:val="auto"/>
        </w:rPr>
      </w:pPr>
    </w:p>
    <w:p>
      <w:pPr>
        <w:ind w:left="2200" w:hanging="413"/>
        <w:spacing w:after="0"/>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3" w:lineRule="exact"/>
        <w:rPr>
          <w:rFonts w:ascii="Times New Roman" w:cs="Times New Roman" w:eastAsia="Times New Roman" w:hAnsi="Times New Roman"/>
          <w:sz w:val="14"/>
          <w:szCs w:val="14"/>
          <w:color w:val="auto"/>
        </w:rPr>
      </w:pPr>
    </w:p>
    <w:p>
      <w:pPr>
        <w:ind w:left="2540" w:hanging="332"/>
        <w:spacing w:after="0"/>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95" w:lineRule="exact"/>
        <w:rPr>
          <w:rFonts w:ascii="Times New Roman" w:cs="Times New Roman" w:eastAsia="Times New Roman" w:hAnsi="Times New Roman"/>
          <w:sz w:val="14"/>
          <w:szCs w:val="14"/>
          <w:color w:val="auto"/>
        </w:rPr>
      </w:pPr>
    </w:p>
    <w:p>
      <w:pPr>
        <w:ind w:left="2540" w:right="399" w:hanging="332"/>
        <w:spacing w:after="0" w:line="250" w:lineRule="auto"/>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540" w:right="559"/>
        <w:spacing w:after="0" w:line="255" w:lineRule="auto"/>
        <w:rPr>
          <w:sz w:val="20"/>
          <w:szCs w:val="20"/>
          <w:color w:val="auto"/>
        </w:rPr>
      </w:pPr>
      <w:r>
        <w:rPr>
          <w:rFonts w:ascii="Times New Roman" w:cs="Times New Roman" w:eastAsia="Times New Roman" w:hAnsi="Times New Roman"/>
          <w:sz w:val="14"/>
          <w:szCs w:val="14"/>
          <w:color w:val="auto"/>
        </w:rPr>
        <w:t>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2" w:lineRule="exact"/>
        <w:rPr>
          <w:sz w:val="20"/>
          <w:szCs w:val="20"/>
          <w:color w:val="auto"/>
        </w:rPr>
      </w:pPr>
    </w:p>
    <w:p>
      <w:pPr>
        <w:ind w:left="2540" w:right="459" w:hanging="332"/>
        <w:spacing w:after="0" w:line="266" w:lineRule="auto"/>
        <w:tabs>
          <w:tab w:leader="none" w:pos="2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left="1460" w:right="579"/>
        <w:spacing w:after="0" w:line="254"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of this section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1" w:lineRule="exact"/>
        <w:rPr>
          <w:sz w:val="20"/>
          <w:szCs w:val="20"/>
          <w:color w:val="auto"/>
        </w:rPr>
      </w:pPr>
    </w:p>
    <w:p>
      <w:pPr>
        <w:ind w:left="2200" w:right="359" w:hanging="413"/>
        <w:spacing w:after="0" w:line="255"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4"/>
          <w:szCs w:val="14"/>
          <w:color w:val="auto"/>
        </w:rPr>
      </w:pPr>
    </w:p>
    <w:p>
      <w:pPr>
        <w:ind w:left="2200" w:right="599" w:hanging="413"/>
        <w:spacing w:after="0" w:line="266"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3" w:lineRule="exact"/>
        <w:rPr>
          <w:rFonts w:ascii="Times New Roman" w:cs="Times New Roman" w:eastAsia="Times New Roman" w:hAnsi="Times New Roman"/>
          <w:sz w:val="14"/>
          <w:szCs w:val="14"/>
          <w:color w:val="auto"/>
        </w:rPr>
      </w:pPr>
    </w:p>
    <w:p>
      <w:pPr>
        <w:ind w:left="2200" w:hanging="413"/>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95" w:lineRule="exact"/>
        <w:rPr>
          <w:rFonts w:ascii="Times New Roman" w:cs="Times New Roman" w:eastAsia="Times New Roman" w:hAnsi="Times New Roman"/>
          <w:sz w:val="14"/>
          <w:szCs w:val="14"/>
          <w:color w:val="auto"/>
        </w:rPr>
      </w:pPr>
    </w:p>
    <w:p>
      <w:pPr>
        <w:ind w:left="2540" w:right="499" w:hanging="332"/>
        <w:spacing w:after="0" w:line="266" w:lineRule="auto"/>
        <w:tabs>
          <w:tab w:leader="none" w:pos="25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3" w:lineRule="exact"/>
        <w:rPr>
          <w:rFonts w:ascii="Times New Roman" w:cs="Times New Roman" w:eastAsia="Times New Roman" w:hAnsi="Times New Roman"/>
          <w:sz w:val="14"/>
          <w:szCs w:val="14"/>
          <w:color w:val="auto"/>
        </w:rPr>
      </w:pPr>
    </w:p>
    <w:p>
      <w:pPr>
        <w:ind w:left="2540" w:right="339" w:hanging="332"/>
        <w:spacing w:after="0" w:line="246" w:lineRule="auto"/>
        <w:tabs>
          <w:tab w:leader="none" w:pos="25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4"/>
          <w:szCs w:val="14"/>
          <w:color w:val="auto"/>
        </w:rPr>
      </w:pPr>
    </w:p>
    <w:p>
      <w:pPr>
        <w:ind w:left="2200" w:right="339" w:hanging="413"/>
        <w:spacing w:after="0" w:line="250"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rFonts w:ascii="Times New Roman" w:cs="Times New Roman" w:eastAsia="Times New Roman" w:hAnsi="Times New Roman"/>
          <w:sz w:val="14"/>
          <w:szCs w:val="14"/>
          <w:color w:val="auto"/>
        </w:rPr>
      </w:pPr>
    </w:p>
    <w:p>
      <w:pPr>
        <w:ind w:left="2540" w:right="439" w:hanging="332"/>
        <w:spacing w:after="0" w:line="266" w:lineRule="auto"/>
        <w:tabs>
          <w:tab w:leader="none" w:pos="25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79"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540" w:right="479" w:hanging="332"/>
        <w:spacing w:after="0" w:line="266" w:lineRule="auto"/>
        <w:tabs>
          <w:tab w:leader="none" w:pos="25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3" w:lineRule="exact"/>
        <w:rPr>
          <w:rFonts w:ascii="Times New Roman" w:cs="Times New Roman" w:eastAsia="Times New Roman" w:hAnsi="Times New Roman"/>
          <w:sz w:val="14"/>
          <w:szCs w:val="14"/>
          <w:color w:val="auto"/>
        </w:rPr>
      </w:pPr>
    </w:p>
    <w:p>
      <w:pPr>
        <w:ind w:left="2540" w:right="719" w:hanging="332"/>
        <w:spacing w:after="0" w:line="266" w:lineRule="auto"/>
        <w:tabs>
          <w:tab w:leader="none" w:pos="25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63" w:lineRule="exact"/>
        <w:rPr>
          <w:rFonts w:ascii="Times New Roman" w:cs="Times New Roman" w:eastAsia="Times New Roman" w:hAnsi="Times New Roman"/>
          <w:sz w:val="14"/>
          <w:szCs w:val="14"/>
          <w:color w:val="auto"/>
        </w:rPr>
      </w:pPr>
    </w:p>
    <w:p>
      <w:pPr>
        <w:ind w:left="2540" w:hanging="332"/>
        <w:spacing w:after="0"/>
        <w:tabs>
          <w:tab w:leader="none" w:pos="25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5" w:lineRule="exact"/>
        <w:rPr>
          <w:rFonts w:ascii="Times New Roman" w:cs="Times New Roman" w:eastAsia="Times New Roman" w:hAnsi="Times New Roman"/>
          <w:sz w:val="14"/>
          <w:szCs w:val="14"/>
          <w:color w:val="auto"/>
        </w:rPr>
      </w:pPr>
    </w:p>
    <w:p>
      <w:pPr>
        <w:ind w:left="2200" w:right="339" w:hanging="413"/>
        <w:spacing w:after="0" w:line="250" w:lineRule="auto"/>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74" w:lineRule="exact"/>
        <w:rPr>
          <w:rFonts w:ascii="Times New Roman" w:cs="Times New Roman" w:eastAsia="Times New Roman" w:hAnsi="Times New Roman"/>
          <w:sz w:val="14"/>
          <w:szCs w:val="14"/>
          <w:color w:val="auto"/>
        </w:rPr>
      </w:pPr>
    </w:p>
    <w:p>
      <w:pPr>
        <w:ind w:left="2200" w:right="619" w:hanging="413"/>
        <w:spacing w:after="0" w:line="305" w:lineRule="auto"/>
        <w:tabs>
          <w:tab w:leader="none" w:pos="22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2"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7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1" w:lineRule="exact"/>
        <w:rPr>
          <w:sz w:val="20"/>
          <w:szCs w:val="20"/>
          <w:color w:val="auto"/>
        </w:rPr>
      </w:pPr>
    </w:p>
    <w:p>
      <w:pPr>
        <w:jc w:val="both"/>
        <w:ind w:left="1460" w:right="399"/>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Palo Alto, State of California, on the 16th day of April, 2026.</w:t>
      </w:r>
    </w:p>
    <w:p>
      <w:pPr>
        <w:spacing w:after="0" w:line="16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SCILEX HOLDING COMPANY</w:t>
      </w:r>
    </w:p>
    <w:p>
      <w:pPr>
        <w:spacing w:after="0" w:line="1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Henry Ji, Ph.D.</w:t>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Name: 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-100965</wp:posOffset>
            </wp:positionV>
            <wp:extent cx="19735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1973580" cy="635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4"/>
          <w:szCs w:val="14"/>
          <w:color w:val="auto"/>
        </w:rPr>
        <w:t>Title: Chief Executive Officer and President</w:t>
      </w:r>
    </w:p>
    <w:p>
      <w:pPr>
        <w:spacing w:after="0" w:line="3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each of Henry Ji and Stephen Ma, acting alone or together with another attorney-in-fact, as his or her true and lawful attorney-in-fact and agent, with full power of substitution and resubstitution, for such person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49" w:lineRule="exact"/>
        <w:rPr>
          <w:sz w:val="20"/>
          <w:szCs w:val="20"/>
          <w:color w:val="auto"/>
        </w:rPr>
      </w:pPr>
    </w:p>
    <w:p>
      <w:pPr>
        <w:ind w:left="1460" w:right="439" w:firstLine="335"/>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42"/>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SIGNATURE</w:t>
            </w:r>
          </w:p>
        </w:tc>
        <w:tc>
          <w:tcPr>
            <w:tcW w:w="160" w:type="dxa"/>
            <w:vAlign w:val="bottom"/>
          </w:tcPr>
          <w:p>
            <w:pPr>
              <w:spacing w:after="0"/>
              <w:rPr>
                <w:sz w:val="12"/>
                <w:szCs w:val="12"/>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6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DATE</w:t>
            </w:r>
          </w:p>
        </w:tc>
      </w:tr>
      <w:tr>
        <w:trPr>
          <w:trHeight w:val="307"/>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Henry Ji, Ph.D.</w:t>
            </w:r>
          </w:p>
        </w:tc>
        <w:tc>
          <w:tcPr>
            <w:tcW w:w="160" w:type="dxa"/>
            <w:vAlign w:val="bottom"/>
          </w:tcPr>
          <w:p>
            <w:pPr>
              <w:spacing w:after="0"/>
              <w:rPr>
                <w:sz w:val="24"/>
                <w:szCs w:val="24"/>
                <w:color w:val="auto"/>
              </w:rPr>
            </w:pPr>
          </w:p>
        </w:tc>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Chief Executive Officer, President, Chairperson and 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16, 2026</w:t>
            </w:r>
          </w:p>
        </w:tc>
      </w:tr>
      <w:tr>
        <w:trPr>
          <w:trHeight w:val="167"/>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Henry Ji, Ph.D.</w:t>
            </w:r>
          </w:p>
        </w:tc>
        <w:tc>
          <w:tcPr>
            <w:tcW w:w="160" w:type="dxa"/>
            <w:vAlign w:val="bottom"/>
          </w:tcPr>
          <w:p>
            <w:pPr>
              <w:spacing w:after="0"/>
              <w:rPr>
                <w:sz w:val="14"/>
                <w:szCs w:val="14"/>
                <w:color w:val="auto"/>
              </w:rPr>
            </w:pPr>
          </w:p>
        </w:tc>
        <w:tc>
          <w:tcPr>
            <w:tcW w:w="36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4"/>
                <w:szCs w:val="14"/>
                <w:i w:val="1"/>
                <w:iCs w:val="1"/>
                <w:color w:val="auto"/>
                <w:w w:val="97"/>
              </w:rPr>
              <w:t>Principal Executive Officer</w:t>
            </w:r>
            <w:r>
              <w:rPr>
                <w:rFonts w:ascii="Times New Roman" w:cs="Times New Roman" w:eastAsia="Times New Roman" w:hAnsi="Times New Roman"/>
                <w:sz w:val="14"/>
                <w:szCs w:val="14"/>
                <w:color w:val="auto"/>
                <w:w w:val="97"/>
              </w:rPr>
              <w:t>)</w:t>
            </w:r>
          </w:p>
        </w:tc>
        <w:tc>
          <w:tcPr>
            <w:tcW w:w="1360" w:type="dxa"/>
            <w:vAlign w:val="bottom"/>
          </w:tcPr>
          <w:p>
            <w:pPr>
              <w:spacing w:after="0"/>
              <w:rPr>
                <w:sz w:val="14"/>
                <w:szCs w:val="14"/>
                <w:color w:val="auto"/>
              </w:rPr>
            </w:pPr>
          </w:p>
        </w:tc>
      </w:tr>
      <w:tr>
        <w:trPr>
          <w:trHeight w:val="32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Stephen Ma</w:t>
            </w:r>
          </w:p>
        </w:tc>
        <w:tc>
          <w:tcPr>
            <w:tcW w:w="160" w:type="dxa"/>
            <w:vAlign w:val="bottom"/>
          </w:tcPr>
          <w:p>
            <w:pPr>
              <w:spacing w:after="0"/>
              <w:rPr>
                <w:sz w:val="24"/>
                <w:szCs w:val="24"/>
                <w:color w:val="auto"/>
              </w:rPr>
            </w:pPr>
          </w:p>
        </w:tc>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6"/>
              </w:rPr>
              <w:t>Chief Financial Officer, Chief Operating Officer, Secretary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16, 2026</w:t>
            </w:r>
          </w:p>
        </w:tc>
      </w:tr>
      <w:tr>
        <w:trPr>
          <w:trHeight w:val="128"/>
        </w:trPr>
        <w:tc>
          <w:tcPr>
            <w:tcW w:w="3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5"/>
              </w:rPr>
              <w:t>Stephen Ma</w:t>
            </w:r>
          </w:p>
        </w:tc>
        <w:tc>
          <w:tcPr>
            <w:tcW w:w="160" w:type="dxa"/>
            <w:vAlign w:val="bottom"/>
          </w:tcPr>
          <w:p>
            <w:pPr>
              <w:spacing w:after="0"/>
              <w:rPr>
                <w:sz w:val="11"/>
                <w:szCs w:val="11"/>
                <w:color w:val="auto"/>
              </w:rPr>
            </w:pPr>
          </w:p>
        </w:tc>
        <w:tc>
          <w:tcPr>
            <w:tcW w:w="36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6"/>
              </w:rPr>
              <w:t>and Director</w:t>
            </w:r>
          </w:p>
        </w:tc>
        <w:tc>
          <w:tcPr>
            <w:tcW w:w="1360" w:type="dxa"/>
            <w:vAlign w:val="bottom"/>
          </w:tcPr>
          <w:p>
            <w:pPr>
              <w:spacing w:after="0"/>
              <w:rPr>
                <w:sz w:val="11"/>
                <w:szCs w:val="11"/>
                <w:color w:val="auto"/>
              </w:rPr>
            </w:pPr>
          </w:p>
        </w:tc>
      </w:tr>
      <w:tr>
        <w:trPr>
          <w:trHeight w:val="180"/>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4"/>
                <w:szCs w:val="14"/>
                <w:i w:val="1"/>
                <w:iCs w:val="1"/>
                <w:color w:val="auto"/>
                <w:w w:val="97"/>
              </w:rPr>
              <w:t>Principal Financial and Accounting Officer</w:t>
            </w:r>
            <w:r>
              <w:rPr>
                <w:rFonts w:ascii="Times New Roman" w:cs="Times New Roman" w:eastAsia="Times New Roman" w:hAnsi="Times New Roman"/>
                <w:sz w:val="14"/>
                <w:szCs w:val="14"/>
                <w:color w:val="auto"/>
                <w:w w:val="97"/>
              </w:rPr>
              <w:t>)</w:t>
            </w:r>
          </w:p>
        </w:tc>
        <w:tc>
          <w:tcPr>
            <w:tcW w:w="1360" w:type="dxa"/>
            <w:vAlign w:val="bottom"/>
          </w:tcPr>
          <w:p>
            <w:pPr>
              <w:spacing w:after="0"/>
              <w:rPr>
                <w:sz w:val="15"/>
                <w:szCs w:val="15"/>
                <w:color w:val="auto"/>
              </w:rPr>
            </w:pPr>
          </w:p>
        </w:tc>
      </w:tr>
      <w:tr>
        <w:trPr>
          <w:trHeight w:val="32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Dorman Followwill</w:t>
            </w:r>
          </w:p>
        </w:tc>
        <w:tc>
          <w:tcPr>
            <w:tcW w:w="160" w:type="dxa"/>
            <w:vAlign w:val="bottom"/>
          </w:tcPr>
          <w:p>
            <w:pPr>
              <w:spacing w:after="0"/>
              <w:rPr>
                <w:sz w:val="24"/>
                <w:szCs w:val="24"/>
                <w:color w:val="auto"/>
              </w:rPr>
            </w:pPr>
          </w:p>
        </w:tc>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16, 2026</w:t>
            </w:r>
          </w:p>
        </w:tc>
      </w:tr>
      <w:tr>
        <w:trPr>
          <w:trHeight w:val="167"/>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Dorman Followwill</w:t>
            </w:r>
          </w:p>
        </w:tc>
        <w:tc>
          <w:tcPr>
            <w:tcW w:w="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2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Yue Alexander Wu, Ph.D.</w:t>
            </w:r>
          </w:p>
        </w:tc>
        <w:tc>
          <w:tcPr>
            <w:tcW w:w="160" w:type="dxa"/>
            <w:vAlign w:val="bottom"/>
          </w:tcPr>
          <w:p>
            <w:pPr>
              <w:spacing w:after="0"/>
              <w:rPr>
                <w:sz w:val="24"/>
                <w:szCs w:val="24"/>
                <w:color w:val="auto"/>
              </w:rPr>
            </w:pPr>
          </w:p>
        </w:tc>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16, 2026</w:t>
            </w:r>
          </w:p>
        </w:tc>
      </w:tr>
      <w:tr>
        <w:trPr>
          <w:trHeight w:val="167"/>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Yue Alexander Wu, Ph.D.</w:t>
            </w:r>
          </w:p>
        </w:tc>
        <w:tc>
          <w:tcPr>
            <w:tcW w:w="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2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Jay Chun, M.D., Ph.D.</w:t>
            </w:r>
          </w:p>
        </w:tc>
        <w:tc>
          <w:tcPr>
            <w:tcW w:w="160" w:type="dxa"/>
            <w:vAlign w:val="bottom"/>
          </w:tcPr>
          <w:p>
            <w:pPr>
              <w:spacing w:after="0"/>
              <w:rPr>
                <w:sz w:val="24"/>
                <w:szCs w:val="24"/>
                <w:color w:val="auto"/>
              </w:rPr>
            </w:pPr>
          </w:p>
        </w:tc>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April 16, 2026</w:t>
            </w:r>
          </w:p>
        </w:tc>
      </w:tr>
      <w:tr>
        <w:trPr>
          <w:trHeight w:val="167"/>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Jay Chun, M.D., Ph.D.</w:t>
            </w:r>
          </w:p>
        </w:tc>
        <w:tc>
          <w:tcPr>
            <w:tcW w:w="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74"/>
        </w:trPr>
        <w:tc>
          <w:tcPr>
            <w:tcW w:w="3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II-8</w:t>
            </w:r>
          </w:p>
        </w:tc>
        <w:tc>
          <w:tcPr>
            <w:tcW w:w="1360" w:type="dxa"/>
            <w:vAlign w:val="bottom"/>
          </w:tcPr>
          <w:p>
            <w:pPr>
              <w:spacing w:after="0"/>
              <w:rPr>
                <w:sz w:val="23"/>
                <w:szCs w:val="23"/>
                <w:color w:val="auto"/>
              </w:rPr>
            </w:pPr>
          </w:p>
        </w:tc>
      </w:tr>
    </w:tbl>
    <w:p>
      <w:pPr>
        <w:sectPr>
          <w:pgSz w:w="11900" w:h="16838" w:orient="portrait"/>
          <w:cols w:equalWidth="0" w:num="1">
            <w:col w:w="10159"/>
          </w:cols>
          <w:pgMar w:left="300" w:top="379" w:right="1440" w:bottom="1440" w:gutter="0" w:footer="0" w:header="0"/>
        </w:sectPr>
      </w:pPr>
    </w:p>
    <w:bookmarkStart w:id="55" w:name="page56"/>
    <w:bookmarkEnd w:id="55"/>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4.21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Scilex Holding Company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[   ]</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Trustee</w:t>
      </w:r>
    </w:p>
    <w:p>
      <w:pPr>
        <w:sectPr>
          <w:pgSz w:w="11900" w:h="16838" w:orient="portrait"/>
          <w:cols w:equalWidth="0" w:num="1">
            <w:col w:w="9019"/>
          </w:cols>
          <w:pgMar w:left="1440" w:top="123"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ARTICLE I. DEFINITIONS AND INCORPORATION BY REFERENCE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Definitions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Definitions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Rules of Construction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Issuable in Series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Registrar and Paying Agent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Securityholder Lists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 and Exchange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Temporary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Cancellation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2.13</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Defaulted Interest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2.14</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Global Securities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2.15</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CUSIP Numbers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 to Trustee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 of Redemption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3.4</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3.5</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3.6</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Principal and Interest</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 Reports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Compliance Certificate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4.4</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4.5</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Existence</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When the Company May Merge, Etc.</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3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Successor Corporation Substituted</w:t>
            </w:r>
          </w:p>
        </w:tc>
        <w:tc>
          <w:tcPr>
            <w:tcW w:w="4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77"/>
        </w:trPr>
        <w:tc>
          <w:tcPr>
            <w:tcW w:w="1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0" w:type="dxa"/>
            <w:vAlign w:val="bottom"/>
          </w:tcPr>
          <w:p>
            <w:pPr>
              <w:jc w:val="right"/>
              <w:ind w:right="4052"/>
              <w:spacing w:after="0"/>
              <w:rPr>
                <w:sz w:val="20"/>
                <w:szCs w:val="20"/>
                <w:color w:val="auto"/>
              </w:rPr>
            </w:pPr>
            <w:r>
              <w:rPr>
                <w:rFonts w:ascii="Times New Roman" w:cs="Times New Roman" w:eastAsia="Times New Roman" w:hAnsi="Times New Roman"/>
                <w:sz w:val="14"/>
                <w:szCs w:val="14"/>
                <w:color w:val="auto"/>
              </w:rPr>
              <w:t>i</w:t>
            </w:r>
          </w:p>
        </w:tc>
      </w:tr>
    </w:tbl>
    <w:p>
      <w:pPr>
        <w:sectPr>
          <w:pgSz w:w="11900" w:h="16838" w:orient="portrait"/>
          <w:cols w:equalWidth="0" w:num="1">
            <w:col w:w="9019"/>
          </w:cols>
          <w:pgMar w:left="1440" w:top="236"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Events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Limitation on Suits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6.8</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Unconditional Right of Holders to Receive Principal and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6.9</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6.10</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6.12</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Control by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6.13</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Waiver of Past Defaults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6.14</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Undertaking for Costs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Duties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7.4</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Trustee’s Disclaimer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7.5</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Notice of Defaults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7.6</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7.7</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7.8</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Replacement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7.9</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Application of Trust Funds; Indemnification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Defeasance of Securities of any Series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Covenant Defeasance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8.5</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 to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8.6</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Reinstatement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6"/>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AMENDMENTS AND WAIVERS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w:t>
            </w:r>
          </w:p>
        </w:tc>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77"/>
        </w:trPr>
        <w:tc>
          <w:tcPr>
            <w:tcW w:w="1060" w:type="dxa"/>
            <w:vAlign w:val="bottom"/>
          </w:tcPr>
          <w:p>
            <w:pPr>
              <w:spacing w:after="0"/>
              <w:rPr>
                <w:sz w:val="24"/>
                <w:szCs w:val="24"/>
                <w:color w:val="auto"/>
              </w:rPr>
            </w:pPr>
          </w:p>
        </w:tc>
        <w:tc>
          <w:tcPr>
            <w:tcW w:w="534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ii</w:t>
            </w:r>
          </w:p>
        </w:tc>
        <w:tc>
          <w:tcPr>
            <w:tcW w:w="192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5400" w:type="dxa"/>
            <w:vAlign w:val="bottom"/>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182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40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w w:val="99"/>
              </w:rPr>
              <w:t>(continued)</w:t>
            </w:r>
          </w:p>
        </w:tc>
        <w:tc>
          <w:tcPr>
            <w:tcW w:w="1820" w:type="dxa"/>
            <w:vAlign w:val="bottom"/>
          </w:tcPr>
          <w:p>
            <w:pPr>
              <w:spacing w:after="0"/>
              <w:rPr>
                <w:sz w:val="15"/>
                <w:szCs w:val="15"/>
                <w:color w:val="auto"/>
              </w:rPr>
            </w:pPr>
          </w:p>
        </w:tc>
      </w:tr>
      <w:tr>
        <w:trPr>
          <w:trHeight w:val="214"/>
        </w:trPr>
        <w:tc>
          <w:tcPr>
            <w:tcW w:w="11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With Consent of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9.3</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9.5</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9.6</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9.7</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 Protected</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10.2</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10.3</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10.5</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10.6</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10.7</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Holidays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10.8</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10.9</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Counterparts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10.10</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Governing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10.11</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10.12</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Successors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10.13</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Severability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10.15</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Securities in a Foreign Currency or in Euros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10.16</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Judgment Currency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10.17</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Force Majeure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10.18</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U.S.A. Patriot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SINKING FUNDS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11.1</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Applicability of Article</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11.2</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46"/>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11.3</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7"/>
        </w:trPr>
        <w:tc>
          <w:tcPr>
            <w:tcW w:w="1100" w:type="dxa"/>
            <w:vAlign w:val="bottom"/>
          </w:tcPr>
          <w:p>
            <w:pPr>
              <w:spacing w:after="0"/>
              <w:rPr>
                <w:sz w:val="24"/>
                <w:szCs w:val="24"/>
                <w:color w:val="auto"/>
              </w:rPr>
            </w:pPr>
          </w:p>
        </w:tc>
        <w:tc>
          <w:tcPr>
            <w:tcW w:w="540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rPr>
              <w:t>iii</w:t>
            </w:r>
          </w:p>
        </w:tc>
        <w:tc>
          <w:tcPr>
            <w:tcW w:w="182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Scilex Holding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Reconciliation and tie between Trust Indenture Act of 1939 and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Indenture, dated as of [   ]</w:t>
      </w:r>
    </w:p>
    <w:p>
      <w:pPr>
        <w:spacing w:after="0" w:line="176" w:lineRule="exact"/>
        <w:rPr>
          <w:sz w:val="20"/>
          <w:szCs w:val="20"/>
          <w:color w:val="auto"/>
        </w:rPr>
      </w:pPr>
    </w:p>
    <w:tbl>
      <w:tblPr>
        <w:tblLayout w:type="fixed"/>
        <w:tblInd w:w="3960" w:type="dxa"/>
        <w:tblCellMar>
          <w:top w:w="0" w:type="dxa"/>
          <w:left w:w="0" w:type="dxa"/>
          <w:bottom w:w="0" w:type="dxa"/>
          <w:right w:w="0" w:type="dxa"/>
        </w:tblCellMar>
      </w:tblP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94"/>
              </w:rPr>
              <w:t>§ 310(a)(1)</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(a)(2)</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(a)(3)</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(a)(4)</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(a)(5)</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311(a)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7.11</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7.11</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312(a)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10.3</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10.3</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313(a)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(b)(1)</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(a)(2)</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(c)(1)</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7.6</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314(a)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10.5</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(c)(1)</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10.4</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(c)(2)</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10.4</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(c)(3)</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(e)</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10.5</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(f)</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Not Applicable</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315(a)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7.5</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(d)</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(e)</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6.14</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316(a)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2.10</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(a)(1)(A)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6.12</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(a)(1)(B)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6.13</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6.8</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94"/>
              </w:rPr>
              <w:t>§ 317(a)(1)</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6.3</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(a)(2)</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6.4</w:t>
            </w:r>
          </w:p>
        </w:tc>
      </w:tr>
      <w:tr>
        <w:trPr>
          <w:trHeight w:val="164"/>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(b)</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r>
      <w:tr>
        <w:trPr>
          <w:trHeight w:val="176"/>
        </w:trPr>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 318(a)</w:t>
            </w: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r>
    </w:tbl>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part of the Indenture.</w:t>
      </w:r>
    </w:p>
    <w:p>
      <w:pPr>
        <w:sectPr>
          <w:pgSz w:w="11900" w:h="16838" w:orient="portrait"/>
          <w:cols w:equalWidth="0" w:num="1">
            <w:col w:w="9019"/>
          </w:cols>
          <w:pgMar w:left="1440" w:top="236" w:right="1440" w:bottom="1440" w:gutter="0" w:footer="0" w:header="0"/>
        </w:sectPr>
      </w:pPr>
    </w:p>
    <w:bookmarkStart w:id="60" w:name="page61"/>
    <w:bookmarkEnd w:id="60"/>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Indenture dated as of [ ] between Scilex Holding Company, a Delaware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 ]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320" w:right="479" w:firstLine="753"/>
        <w:spacing w:after="0" w:line="266" w:lineRule="auto"/>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left="320" w:right="459" w:firstLine="753"/>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04" w:lineRule="exact"/>
        <w:rPr>
          <w:sz w:val="20"/>
          <w:szCs w:val="20"/>
          <w:color w:val="auto"/>
        </w:rPr>
      </w:pPr>
    </w:p>
    <w:p>
      <w:pPr>
        <w:ind w:left="320" w:right="339" w:firstLine="75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means any Registrar, Paying Agent or Service Agent.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67" w:lineRule="exact"/>
        <w:rPr>
          <w:sz w:val="20"/>
          <w:szCs w:val="20"/>
          <w:color w:val="auto"/>
        </w:rPr>
      </w:pPr>
    </w:p>
    <w:p>
      <w:pPr>
        <w:ind w:left="320" w:right="359" w:firstLine="75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37" w:lineRule="exact"/>
        <w:rPr>
          <w:sz w:val="20"/>
          <w:szCs w:val="20"/>
          <w:color w:val="auto"/>
        </w:rPr>
      </w:pPr>
    </w:p>
    <w:p>
      <w:pPr>
        <w:ind w:left="320" w:right="599" w:firstLine="75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unless otherwise provided by Board Resolution, Officers’ Certificate or supplemental indenture hereto for a particular Series,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any and all shares, interests, participations, rights or other equivalents (however designated) of corporate stock.</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means the party named as such above until a successor replaces it and thereafter means the successor.</w:t>
      </w:r>
    </w:p>
    <w:p>
      <w:pPr>
        <w:spacing w:after="0" w:line="167" w:lineRule="exact"/>
        <w:rPr>
          <w:sz w:val="20"/>
          <w:szCs w:val="20"/>
          <w:color w:val="auto"/>
        </w:rPr>
      </w:pPr>
    </w:p>
    <w:p>
      <w:pPr>
        <w:ind w:left="320" w:right="97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means a written order signed in the name of the Company by two Officers, at least one of whom must be the Company’s principal executive officer, principal financial officer or principal accounting officer.</w:t>
      </w:r>
    </w:p>
    <w:p>
      <w:pPr>
        <w:spacing w:after="0" w:line="127" w:lineRule="exact"/>
        <w:rPr>
          <w:sz w:val="20"/>
          <w:szCs w:val="20"/>
          <w:color w:val="auto"/>
        </w:rPr>
      </w:pPr>
    </w:p>
    <w:p>
      <w:pPr>
        <w:ind w:left="320" w:right="759" w:firstLine="753"/>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Company Request</w:t>
      </w:r>
      <w:r>
        <w:rPr>
          <w:rFonts w:ascii="Times New Roman" w:cs="Times New Roman" w:eastAsia="Times New Roman" w:hAnsi="Times New Roman"/>
          <w:sz w:val="13"/>
          <w:szCs w:val="13"/>
          <w:color w:val="auto"/>
        </w:rPr>
        <w:t>” means a written request signed in the name of the Company by its Chief Executive Officer, the President or an Executive Vice President, and by its Treasurer, an Assistant Treasurer, its Secretary or an Assistant Secretary, and delivered to the Trustee.</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continuing</w:t>
      </w:r>
      <w:r>
        <w:rPr>
          <w:rFonts w:ascii="Times New Roman" w:cs="Times New Roman" w:eastAsia="Times New Roman" w:hAnsi="Times New Roman"/>
          <w:sz w:val="13"/>
          <w:szCs w:val="13"/>
          <w:color w:val="auto"/>
        </w:rPr>
        <w:t>” means, with respect to any Default or Event of Default, that such Default or Event of Default has not been cured or waived.</w:t>
      </w:r>
    </w:p>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administered.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61" w:name="page62"/>
    <w:bookmarkEnd w:id="61"/>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or passage of time or both would be, an Event of Default.</w:t>
      </w:r>
    </w:p>
    <w:p>
      <w:pPr>
        <w:spacing w:after="0" w:line="167" w:lineRule="exact"/>
        <w:rPr>
          <w:sz w:val="20"/>
          <w:szCs w:val="20"/>
          <w:color w:val="auto"/>
        </w:rPr>
      </w:pPr>
    </w:p>
    <w:p>
      <w:pPr>
        <w:ind w:left="320" w:right="499" w:firstLine="75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39" w:lineRule="exact"/>
        <w:rPr>
          <w:sz w:val="20"/>
          <w:szCs w:val="20"/>
          <w:color w:val="auto"/>
        </w:rPr>
      </w:pPr>
    </w:p>
    <w:p>
      <w:pPr>
        <w:ind w:left="320" w:right="51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means any Security that provides for an amount less than the stated principal amount thereof to be due and payable upon declaration of acceleration of the maturity thereof pursuant to Section 6.2.</w:t>
      </w:r>
    </w:p>
    <w:p>
      <w:pPr>
        <w:spacing w:after="0" w:line="1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means the currency of The United States of America.</w:t>
      </w:r>
    </w:p>
    <w:p>
      <w:pPr>
        <w:spacing w:after="0" w:line="167" w:lineRule="exact"/>
        <w:rPr>
          <w:sz w:val="20"/>
          <w:szCs w:val="20"/>
          <w:color w:val="auto"/>
        </w:rPr>
      </w:pPr>
    </w:p>
    <w:p>
      <w:pPr>
        <w:ind w:left="320" w:right="53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Euro</w:t>
      </w:r>
      <w:r>
        <w:rPr>
          <w:rFonts w:ascii="Times New Roman" w:cs="Times New Roman" w:eastAsia="Times New Roman" w:hAnsi="Times New Roman"/>
          <w:sz w:val="14"/>
          <w:szCs w:val="14"/>
          <w:color w:val="auto"/>
        </w:rPr>
        <w:t>” means the single currency of participating member states of the economic and monetary union as contemplated in the Treaty on European Union.</w:t>
      </w:r>
    </w:p>
    <w:p>
      <w:pPr>
        <w:spacing w:after="0" w:line="1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Currency</w:t>
      </w:r>
      <w:r>
        <w:rPr>
          <w:rFonts w:ascii="Times New Roman" w:cs="Times New Roman" w:eastAsia="Times New Roman" w:hAnsi="Times New Roman"/>
          <w:sz w:val="14"/>
          <w:szCs w:val="14"/>
          <w:color w:val="auto"/>
        </w:rPr>
        <w:t>” means any currency or currency unit issued by a government other than the government of The United States of</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America.</w:t>
      </w:r>
    </w:p>
    <w:p>
      <w:pPr>
        <w:spacing w:after="0" w:line="152" w:lineRule="exact"/>
        <w:rPr>
          <w:sz w:val="20"/>
          <w:szCs w:val="20"/>
          <w:color w:val="auto"/>
        </w:rPr>
      </w:pPr>
    </w:p>
    <w:p>
      <w:pPr>
        <w:ind w:left="320" w:right="359" w:firstLine="753"/>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Foreign Government Obligations</w:t>
      </w:r>
      <w:r>
        <w:rPr>
          <w:rFonts w:ascii="Times New Roman" w:cs="Times New Roman" w:eastAsia="Times New Roman" w:hAnsi="Times New Roman"/>
          <w:sz w:val="13"/>
          <w:szCs w:val="13"/>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left="320" w:right="619" w:hanging="1"/>
        <w:spacing w:after="0" w:line="247" w:lineRule="auto"/>
        <w:tabs>
          <w:tab w:leader="none" w:pos="52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44" w:lineRule="exact"/>
        <w:rPr>
          <w:sz w:val="20"/>
          <w:szCs w:val="20"/>
          <w:color w:val="auto"/>
        </w:rPr>
      </w:pPr>
    </w:p>
    <w:p>
      <w:pPr>
        <w:ind w:left="320" w:right="419" w:firstLine="75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39" w:lineRule="exact"/>
        <w:rPr>
          <w:sz w:val="20"/>
          <w:szCs w:val="20"/>
          <w:color w:val="auto"/>
        </w:rPr>
      </w:pPr>
    </w:p>
    <w:p>
      <w:pPr>
        <w:ind w:left="320" w:right="559" w:firstLine="75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Securityholder</w:t>
      </w:r>
      <w:r>
        <w:rPr>
          <w:rFonts w:ascii="Times New Roman" w:cs="Times New Roman" w:eastAsia="Times New Roman" w:hAnsi="Times New Roman"/>
          <w:sz w:val="14"/>
          <w:szCs w:val="14"/>
          <w:color w:val="auto"/>
        </w:rPr>
        <w:t>” means a person in whose name a Security is registered.</w:t>
      </w:r>
    </w:p>
    <w:p>
      <w:pPr>
        <w:spacing w:after="0" w:line="167" w:lineRule="exact"/>
        <w:rPr>
          <w:sz w:val="20"/>
          <w:szCs w:val="20"/>
          <w:color w:val="auto"/>
        </w:rPr>
      </w:pPr>
    </w:p>
    <w:p>
      <w:pPr>
        <w:ind w:left="320" w:right="39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means this Indenture as amended or supplemented from time to time and shall include the form and terms of particular Series of Securities established as contemplated hereunder.</w:t>
      </w:r>
    </w:p>
    <w:p>
      <w:pPr>
        <w:spacing w:after="0" w:line="1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interest</w:t>
      </w:r>
      <w:r>
        <w:rPr>
          <w:rFonts w:ascii="Times New Roman" w:cs="Times New Roman" w:eastAsia="Times New Roman" w:hAnsi="Times New Roman"/>
          <w:sz w:val="13"/>
          <w:szCs w:val="13"/>
          <w:color w:val="auto"/>
        </w:rPr>
        <w:t>” with respect to any Discount Security which by its terms bears interest only after Maturity, means interest payable after Maturity.</w:t>
      </w:r>
    </w:p>
    <w:p>
      <w:pPr>
        <w:spacing w:after="0" w:line="179" w:lineRule="exact"/>
        <w:rPr>
          <w:sz w:val="20"/>
          <w:szCs w:val="20"/>
          <w:color w:val="auto"/>
        </w:rPr>
      </w:pPr>
    </w:p>
    <w:p>
      <w:pPr>
        <w:ind w:left="320" w:right="49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7" w:lineRule="exact"/>
        <w:rPr>
          <w:sz w:val="20"/>
          <w:szCs w:val="20"/>
          <w:color w:val="auto"/>
        </w:rPr>
      </w:pPr>
    </w:p>
    <w:p>
      <w:pPr>
        <w:ind w:left="320" w:right="69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Chief Executive Officer, the President, any Executive Vice President, the Treasurer, the Secretary, any Assistant Treasurer or any Assistant Secretary of the Company.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6" w:right="1440" w:bottom="1440" w:gutter="0" w:footer="0" w:header="0"/>
        </w:sectPr>
      </w:pPr>
    </w:p>
    <w:bookmarkStart w:id="62" w:name="page63"/>
    <w:bookmarkEnd w:id="62"/>
    <w:p>
      <w:pPr>
        <w:ind w:left="320" w:right="759" w:firstLine="753"/>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by two Officers, one of whom must be the Company’s principal executive officer, principal financial officer or principal accounting officer.</w:t>
      </w:r>
    </w:p>
    <w:p>
      <w:pPr>
        <w:spacing w:after="0" w:line="127" w:lineRule="exact"/>
        <w:rPr>
          <w:sz w:val="20"/>
          <w:szCs w:val="20"/>
          <w:color w:val="auto"/>
        </w:rPr>
      </w:pPr>
    </w:p>
    <w:p>
      <w:pPr>
        <w:ind w:left="320" w:right="51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who is acceptable to the Trustee. The counsel may be an employee of or counsel to the Company.</w:t>
      </w:r>
    </w:p>
    <w:p>
      <w:pPr>
        <w:spacing w:after="0" w:line="127" w:lineRule="exact"/>
        <w:rPr>
          <w:sz w:val="20"/>
          <w:szCs w:val="20"/>
          <w:color w:val="auto"/>
        </w:rPr>
      </w:pPr>
    </w:p>
    <w:p>
      <w:pPr>
        <w:ind w:left="320" w:right="45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association, limited liability company, joint-stock company, trust, unincorporated organization or government or any agency or political subdivision thereof.</w:t>
      </w:r>
    </w:p>
    <w:p>
      <w:pPr>
        <w:spacing w:after="0" w:line="127" w:lineRule="exact"/>
        <w:rPr>
          <w:sz w:val="20"/>
          <w:szCs w:val="20"/>
          <w:color w:val="auto"/>
        </w:rPr>
      </w:pPr>
    </w:p>
    <w:p>
      <w:pPr>
        <w:ind w:left="320" w:right="37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a Security means the principal of the Security plus, when appropriate, the premium, if any, on, and any Additional Amounts in respect of, the Security.</w:t>
      </w:r>
    </w:p>
    <w:p>
      <w:pPr>
        <w:spacing w:after="0" w:line="127" w:lineRule="exact"/>
        <w:rPr>
          <w:sz w:val="20"/>
          <w:szCs w:val="20"/>
          <w:color w:val="auto"/>
        </w:rPr>
      </w:pPr>
    </w:p>
    <w:p>
      <w:pPr>
        <w:jc w:val="both"/>
        <w:ind w:left="320" w:right="379" w:firstLine="753"/>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Responsible Officer</w:t>
      </w:r>
      <w:r>
        <w:rPr>
          <w:rFonts w:ascii="Times New Roman" w:cs="Times New Roman" w:eastAsia="Times New Roman" w:hAnsi="Times New Roman"/>
          <w:sz w:val="13"/>
          <w:szCs w:val="13"/>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Securities and Exchange Commission.</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means the debentures, notes or other debt instruments of the Company of any Series authenticated and delivered under this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w:t>
      </w:r>
    </w:p>
    <w:p>
      <w:pPr>
        <w:spacing w:after="0" w:line="152" w:lineRule="exact"/>
        <w:rPr>
          <w:sz w:val="20"/>
          <w:szCs w:val="20"/>
          <w:color w:val="auto"/>
        </w:rPr>
      </w:pPr>
    </w:p>
    <w:p>
      <w:pPr>
        <w:ind w:left="320" w:right="59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means each series of debentures, notes or other debt instruments of the Company created pursuant to Sections 2.1 and 2.2 hereof.</w:t>
      </w:r>
    </w:p>
    <w:p>
      <w:pPr>
        <w:spacing w:after="0" w:line="127" w:lineRule="exact"/>
        <w:rPr>
          <w:sz w:val="20"/>
          <w:szCs w:val="20"/>
          <w:color w:val="auto"/>
        </w:rPr>
      </w:pPr>
    </w:p>
    <w:p>
      <w:pPr>
        <w:ind w:left="320" w:right="819" w:firstLine="753"/>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Stated Maturity</w:t>
      </w:r>
      <w:r>
        <w:rPr>
          <w:rFonts w:ascii="Times New Roman" w:cs="Times New Roman" w:eastAsia="Times New Roman" w:hAnsi="Times New Roman"/>
          <w:sz w:val="14"/>
          <w:szCs w:val="14"/>
          <w:color w:val="auto"/>
        </w:rPr>
        <w:t>” when used with respect to any Security, means the date specified in such Security as the fixed date on which the principal of such Security or interest is due and payable.</w:t>
      </w:r>
    </w:p>
    <w:p>
      <w:pPr>
        <w:spacing w:after="0" w:line="127" w:lineRule="exact"/>
        <w:rPr>
          <w:sz w:val="20"/>
          <w:szCs w:val="20"/>
          <w:color w:val="auto"/>
        </w:rPr>
      </w:pPr>
    </w:p>
    <w:p>
      <w:pPr>
        <w:ind w:left="320" w:right="479" w:firstLine="75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39" w:lineRule="exact"/>
        <w:rPr>
          <w:sz w:val="20"/>
          <w:szCs w:val="20"/>
          <w:color w:val="auto"/>
        </w:rPr>
      </w:pPr>
    </w:p>
    <w:p>
      <w:pPr>
        <w:ind w:left="320" w:right="399" w:firstLine="75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TIA</w:t>
      </w:r>
      <w:r>
        <w:rPr>
          <w:rFonts w:ascii="Times New Roman" w:cs="Times New Roman" w:eastAsia="Times New Roman" w:hAnsi="Times New Roman"/>
          <w:sz w:val="14"/>
          <w:szCs w:val="14"/>
          <w:color w:val="auto"/>
        </w:rPr>
        <w:t xml:space="preserve">”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37" w:lineRule="exact"/>
        <w:rPr>
          <w:sz w:val="20"/>
          <w:szCs w:val="20"/>
          <w:color w:val="auto"/>
        </w:rPr>
      </w:pPr>
    </w:p>
    <w:p>
      <w:pPr>
        <w:ind w:left="320" w:right="379" w:firstLine="75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9" w:lineRule="exact"/>
        <w:rPr>
          <w:sz w:val="20"/>
          <w:szCs w:val="20"/>
          <w:color w:val="auto"/>
        </w:rPr>
      </w:pPr>
    </w:p>
    <w:p>
      <w:pPr>
        <w:ind w:left="320" w:right="379" w:firstLine="753"/>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1.2 </w:t>
      </w:r>
      <w:r>
        <w:rPr>
          <w:rFonts w:ascii="Times New Roman" w:cs="Times New Roman" w:eastAsia="Times New Roman" w:hAnsi="Times New Roman"/>
          <w:sz w:val="14"/>
          <w:szCs w:val="14"/>
          <w:u w:val="single" w:color="auto"/>
          <w:color w:val="auto"/>
        </w:rPr>
        <w:t>Other Definitions</w:t>
      </w:r>
      <w:r>
        <w:rPr>
          <w:rFonts w:ascii="Times New Roman" w:cs="Times New Roman" w:eastAsia="Times New Roman" w:hAnsi="Times New Roman"/>
          <w:sz w:val="14"/>
          <w:szCs w:val="14"/>
          <w:color w:val="auto"/>
        </w:rPr>
        <w:t>.</w:t>
      </w:r>
    </w:p>
    <w:p>
      <w:pPr>
        <w:spacing w:after="0" w:line="16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50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DEFINED IN</w:t>
            </w:r>
          </w:p>
        </w:tc>
        <w:tc>
          <w:tcPr>
            <w:tcW w:w="0" w:type="dxa"/>
            <w:vAlign w:val="bottom"/>
          </w:tcPr>
          <w:p>
            <w:pPr>
              <w:spacing w:after="0"/>
              <w:rPr>
                <w:sz w:val="1"/>
                <w:szCs w:val="1"/>
                <w:color w:val="auto"/>
              </w:rPr>
            </w:pPr>
          </w:p>
        </w:tc>
      </w:tr>
      <w:tr>
        <w:trPr>
          <w:trHeight w:val="132"/>
        </w:trPr>
        <w:tc>
          <w:tcPr>
            <w:tcW w:w="5000" w:type="dxa"/>
            <w:vAlign w:val="bottom"/>
            <w:vMerge w:val="continue"/>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0" w:type="dxa"/>
            <w:vAlign w:val="bottom"/>
          </w:tcPr>
          <w:p>
            <w:pPr>
              <w:spacing w:after="0"/>
              <w:rPr>
                <w:sz w:val="1"/>
                <w:szCs w:val="1"/>
                <w:color w:val="auto"/>
              </w:rPr>
            </w:pPr>
          </w:p>
        </w:tc>
      </w:tr>
      <w:tr>
        <w:trPr>
          <w:trHeight w:val="154"/>
        </w:trPr>
        <w:tc>
          <w:tcPr>
            <w:tcW w:w="50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Journal</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Legal Holiday</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Market Exchange Rate</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Service Agent</w:t>
            </w: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Incorporation by Reference of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Whenever this Indenture refers to a provision of the TIA, the provision is incorporated by reference in and made a part of this Indenture.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TIA terms used in this Indenture have the following meanings:</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Commission</w:t>
      </w:r>
      <w:r>
        <w:rPr>
          <w:rFonts w:ascii="Times New Roman" w:cs="Times New Roman" w:eastAsia="Times New Roman" w:hAnsi="Times New Roman"/>
          <w:sz w:val="14"/>
          <w:szCs w:val="14"/>
          <w:color w:val="auto"/>
        </w:rPr>
        <w:t>” means the SEC.</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security holder</w:t>
      </w:r>
      <w:r>
        <w:rPr>
          <w:rFonts w:ascii="Times New Roman" w:cs="Times New Roman" w:eastAsia="Times New Roman" w:hAnsi="Times New Roman"/>
          <w:sz w:val="14"/>
          <w:szCs w:val="14"/>
          <w:color w:val="auto"/>
        </w:rPr>
        <w:t>” means a Securityholder.</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to be qualified</w:t>
      </w:r>
      <w:r>
        <w:rPr>
          <w:rFonts w:ascii="Times New Roman" w:cs="Times New Roman" w:eastAsia="Times New Roman" w:hAnsi="Times New Roman"/>
          <w:sz w:val="14"/>
          <w:szCs w:val="14"/>
          <w:color w:val="auto"/>
        </w:rPr>
        <w:t>” means this Indenture.</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institutional trustee</w:t>
      </w:r>
      <w:r>
        <w:rPr>
          <w:rFonts w:ascii="Times New Roman" w:cs="Times New Roman" w:eastAsia="Times New Roman" w:hAnsi="Times New Roman"/>
          <w:sz w:val="14"/>
          <w:szCs w:val="14"/>
          <w:color w:val="auto"/>
        </w:rPr>
        <w:t>” means the Trustee.</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on the indenture securities means the Company and any successor obligor upon the Securities.</w:t>
      </w:r>
    </w:p>
    <w:p>
      <w:pPr>
        <w:spacing w:after="0" w:line="171" w:lineRule="exact"/>
        <w:rPr>
          <w:sz w:val="20"/>
          <w:szCs w:val="20"/>
          <w:color w:val="auto"/>
        </w:rPr>
      </w:pPr>
    </w:p>
    <w:p>
      <w:pPr>
        <w:ind w:left="320" w:right="659" w:firstLine="753"/>
        <w:spacing w:after="0" w:line="266"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67" w:lineRule="exact"/>
        <w:rPr>
          <w:sz w:val="20"/>
          <w:szCs w:val="20"/>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6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71"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 and</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Issuable in Series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8" w:lineRule="auto"/>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Establishment of Terms of Series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99" w:firstLine="753"/>
        <w:spacing w:after="0" w:line="252"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or pursuant to a Board Resolution, and set forth or determined in the manner provided in a Board Resolution, supplemental indenture or Officers’ Certificate:</w:t>
      </w:r>
    </w:p>
    <w:p>
      <w:pPr>
        <w:spacing w:after="0" w:line="145" w:lineRule="exact"/>
        <w:rPr>
          <w:sz w:val="20"/>
          <w:szCs w:val="20"/>
          <w:color w:val="auto"/>
        </w:rPr>
      </w:pPr>
    </w:p>
    <w:p>
      <w:pPr>
        <w:ind w:left="320" w:right="639" w:firstLine="753"/>
        <w:spacing w:after="0" w:line="266" w:lineRule="auto"/>
        <w:rPr>
          <w:sz w:val="20"/>
          <w:szCs w:val="20"/>
          <w:color w:val="auto"/>
        </w:rPr>
      </w:pPr>
      <w:r>
        <w:rPr>
          <w:rFonts w:ascii="Times New Roman" w:cs="Times New Roman" w:eastAsia="Times New Roman" w:hAnsi="Times New Roman"/>
          <w:sz w:val="14"/>
          <w:szCs w:val="14"/>
          <w:color w:val="auto"/>
        </w:rPr>
        <w:t>2.2.1. the title of the Series (which shall distinguish the Securities of that particular Series from the Securities of any other Series) and ranking (including the terms of any subordination provisions) of the Series;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67" w:lineRule="exact"/>
        <w:rPr>
          <w:sz w:val="20"/>
          <w:szCs w:val="20"/>
          <w:color w:val="auto"/>
        </w:rPr>
      </w:pPr>
    </w:p>
    <w:p>
      <w:pPr>
        <w:ind w:left="320" w:right="519" w:firstLine="753"/>
        <w:spacing w:after="0" w:line="255"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67" w:lineRule="exact"/>
        <w:rPr>
          <w:sz w:val="20"/>
          <w:szCs w:val="20"/>
          <w:color w:val="auto"/>
        </w:rPr>
      </w:pPr>
    </w:p>
    <w:p>
      <w:pPr>
        <w:ind w:left="320" w:right="339" w:firstLine="753"/>
        <w:spacing w:after="0" w:line="252" w:lineRule="auto"/>
        <w:rPr>
          <w:sz w:val="20"/>
          <w:szCs w:val="20"/>
          <w:color w:val="auto"/>
        </w:rPr>
      </w:pPr>
      <w:r>
        <w:rPr>
          <w:rFonts w:ascii="Times New Roman" w:cs="Times New Roman" w:eastAsia="Times New Roman" w:hAnsi="Times New Roman"/>
          <w:sz w:val="14"/>
          <w:szCs w:val="14"/>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5" w:lineRule="exact"/>
        <w:rPr>
          <w:sz w:val="20"/>
          <w:szCs w:val="20"/>
          <w:color w:val="auto"/>
        </w:rPr>
      </w:pPr>
    </w:p>
    <w:p>
      <w:pPr>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3" w:lineRule="exact"/>
        <w:rPr>
          <w:sz w:val="20"/>
          <w:szCs w:val="20"/>
          <w:color w:val="auto"/>
        </w:rPr>
      </w:pPr>
    </w:p>
    <w:p>
      <w:pPr>
        <w:ind w:left="320" w:right="359" w:firstLine="753"/>
        <w:spacing w:after="0" w:line="266"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136" w:lineRule="exact"/>
        <w:rPr>
          <w:sz w:val="20"/>
          <w:szCs w:val="20"/>
          <w:color w:val="auto"/>
        </w:rPr>
      </w:pPr>
    </w:p>
    <w:p>
      <w:pPr>
        <w:ind w:left="320" w:right="459" w:firstLine="753"/>
        <w:spacing w:after="0" w:line="255" w:lineRule="auto"/>
        <w:rPr>
          <w:sz w:val="20"/>
          <w:szCs w:val="20"/>
          <w:color w:val="auto"/>
        </w:rPr>
      </w:pPr>
      <w:r>
        <w:rPr>
          <w:rFonts w:ascii="Times New Roman" w:cs="Times New Roman" w:eastAsia="Times New Roman" w:hAnsi="Times New Roman"/>
          <w:sz w:val="14"/>
          <w:szCs w:val="14"/>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65" w:name="page66"/>
    <w:bookmarkEnd w:id="65"/>
    <w:p>
      <w:pPr>
        <w:ind w:left="320" w:right="559" w:firstLine="753"/>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136" w:lineRule="exact"/>
        <w:rPr>
          <w:sz w:val="20"/>
          <w:szCs w:val="20"/>
          <w:color w:val="auto"/>
        </w:rPr>
      </w:pPr>
    </w:p>
    <w:p>
      <w:pPr>
        <w:ind w:left="320" w:right="579" w:firstLine="753"/>
        <w:spacing w:after="0" w:line="266" w:lineRule="auto"/>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167" w:lineRule="exact"/>
        <w:rPr>
          <w:sz w:val="20"/>
          <w:szCs w:val="20"/>
          <w:color w:val="auto"/>
        </w:rPr>
      </w:pPr>
    </w:p>
    <w:p>
      <w:pPr>
        <w:ind w:left="320" w:right="519" w:firstLine="753"/>
        <w:spacing w:after="0" w:line="266"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6" w:lineRule="exact"/>
        <w:rPr>
          <w:sz w:val="20"/>
          <w:szCs w:val="20"/>
          <w:color w:val="auto"/>
        </w:rPr>
      </w:pPr>
    </w:p>
    <w:p>
      <w:pPr>
        <w:ind w:left="320" w:right="519" w:firstLine="753"/>
        <w:spacing w:after="0" w:line="255"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43" w:lineRule="exact"/>
        <w:rPr>
          <w:sz w:val="20"/>
          <w:szCs w:val="20"/>
          <w:color w:val="auto"/>
        </w:rPr>
      </w:pPr>
    </w:p>
    <w:p>
      <w:pPr>
        <w:ind w:left="320" w:right="779" w:firstLine="753"/>
        <w:spacing w:after="0" w:line="266" w:lineRule="auto"/>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136" w:lineRule="exact"/>
        <w:rPr>
          <w:sz w:val="20"/>
          <w:szCs w:val="20"/>
          <w:color w:val="auto"/>
        </w:rPr>
      </w:pPr>
    </w:p>
    <w:p>
      <w:pPr>
        <w:jc w:val="both"/>
        <w:ind w:left="320" w:right="499" w:firstLine="753"/>
        <w:spacing w:after="0" w:line="255"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43" w:lineRule="exact"/>
        <w:rPr>
          <w:sz w:val="20"/>
          <w:szCs w:val="20"/>
          <w:color w:val="auto"/>
        </w:rPr>
      </w:pPr>
    </w:p>
    <w:p>
      <w:pPr>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2.2.17. the provisions, if any, relating to any security provided for the Securities of the Series;</w:t>
      </w:r>
    </w:p>
    <w:p>
      <w:pPr>
        <w:spacing w:after="0" w:line="167" w:lineRule="exact"/>
        <w:rPr>
          <w:sz w:val="20"/>
          <w:szCs w:val="20"/>
          <w:color w:val="auto"/>
        </w:rPr>
      </w:pPr>
    </w:p>
    <w:p>
      <w:pPr>
        <w:ind w:left="320" w:right="479" w:firstLine="753"/>
        <w:spacing w:after="0" w:line="266" w:lineRule="auto"/>
        <w:rPr>
          <w:sz w:val="20"/>
          <w:szCs w:val="20"/>
          <w:color w:val="auto"/>
        </w:rPr>
      </w:pPr>
      <w:r>
        <w:rPr>
          <w:rFonts w:ascii="Times New Roman" w:cs="Times New Roman" w:eastAsia="Times New Roman" w:hAnsi="Times New Roman"/>
          <w:sz w:val="14"/>
          <w:szCs w:val="14"/>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2.2.19. any addition to, deletion of or change in the covenants set forth in Articles IV or V hereof which applies to Securities of the Series;</w:t>
      </w:r>
    </w:p>
    <w:p>
      <w:pPr>
        <w:spacing w:after="0" w:line="179" w:lineRule="exact"/>
        <w:rPr>
          <w:sz w:val="20"/>
          <w:szCs w:val="20"/>
          <w:color w:val="auto"/>
        </w:rPr>
      </w:pPr>
    </w:p>
    <w:p>
      <w:pPr>
        <w:ind w:left="320" w:right="339" w:firstLine="753"/>
        <w:spacing w:after="0" w:line="266" w:lineRule="auto"/>
        <w:rPr>
          <w:sz w:val="20"/>
          <w:szCs w:val="20"/>
          <w:color w:val="auto"/>
        </w:rPr>
      </w:pPr>
      <w:r>
        <w:rPr>
          <w:rFonts w:ascii="Times New Roman" w:cs="Times New Roman" w:eastAsia="Times New Roman" w:hAnsi="Times New Roman"/>
          <w:sz w:val="14"/>
          <w:szCs w:val="14"/>
          <w:color w:val="auto"/>
        </w:rPr>
        <w:t>2.2.20. any other terms of the Securities of the Series (which may supplement, modify or delete any provision of this Indenture insofar as it applies to such Series);</w:t>
      </w:r>
    </w:p>
    <w:p>
      <w:pPr>
        <w:spacing w:after="0" w:line="136" w:lineRule="exact"/>
        <w:rPr>
          <w:sz w:val="20"/>
          <w:szCs w:val="20"/>
          <w:color w:val="auto"/>
        </w:rPr>
      </w:pPr>
    </w:p>
    <w:p>
      <w:pPr>
        <w:ind w:left="320" w:right="399" w:firstLine="753"/>
        <w:spacing w:after="0" w:line="266" w:lineRule="auto"/>
        <w:rPr>
          <w:sz w:val="20"/>
          <w:szCs w:val="20"/>
          <w:color w:val="auto"/>
        </w:rPr>
      </w:pPr>
      <w:r>
        <w:rPr>
          <w:rFonts w:ascii="Times New Roman" w:cs="Times New Roman" w:eastAsia="Times New Roman" w:hAnsi="Times New Roman"/>
          <w:sz w:val="14"/>
          <w:szCs w:val="14"/>
          <w:color w:val="auto"/>
        </w:rPr>
        <w:t>2.2.21. any depositaries, interest rate calculation agents, exchange rate calculation agents or other agents with respect to Securities of such Series if other than those appointed herein;</w:t>
      </w:r>
    </w:p>
    <w:p>
      <w:pPr>
        <w:spacing w:after="0" w:line="136" w:lineRule="exact"/>
        <w:rPr>
          <w:sz w:val="20"/>
          <w:szCs w:val="20"/>
          <w:color w:val="auto"/>
        </w:rPr>
      </w:pPr>
    </w:p>
    <w:p>
      <w:pPr>
        <w:ind w:left="320" w:right="359" w:firstLine="753"/>
        <w:spacing w:after="0" w:line="252" w:lineRule="auto"/>
        <w:rPr>
          <w:sz w:val="20"/>
          <w:szCs w:val="20"/>
          <w:color w:val="auto"/>
        </w:rPr>
      </w:pPr>
      <w:r>
        <w:rPr>
          <w:rFonts w:ascii="Times New Roman" w:cs="Times New Roman" w:eastAsia="Times New Roman" w:hAnsi="Times New Roman"/>
          <w:sz w:val="14"/>
          <w:szCs w:val="14"/>
          <w:color w:val="auto"/>
        </w:rPr>
        <w:t>2.2.22.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66" w:name="page67"/>
    <w:bookmarkEnd w:id="66"/>
    <w:p>
      <w:pPr>
        <w:ind w:left="320" w:right="459" w:firstLine="753"/>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2.2.23. whether the Securities of such Series will be senior debt securities or subordinated debt securities and, if applicable, a description of the subordination terms thereof.</w:t>
      </w:r>
    </w:p>
    <w:p>
      <w:pPr>
        <w:spacing w:after="0" w:line="136" w:lineRule="exact"/>
        <w:rPr>
          <w:sz w:val="20"/>
          <w:szCs w:val="20"/>
          <w:color w:val="auto"/>
        </w:rPr>
      </w:pPr>
    </w:p>
    <w:p>
      <w:pPr>
        <w:ind w:left="320" w:right="399" w:firstLine="753"/>
        <w:spacing w:after="0" w:line="266"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An Officer shall sign the Securities for the Company by manual, facsimile or electronic signature.</w:t>
      </w:r>
    </w:p>
    <w:p>
      <w:pPr>
        <w:spacing w:after="0" w:line="167" w:lineRule="exact"/>
        <w:rPr>
          <w:sz w:val="20"/>
          <w:szCs w:val="20"/>
          <w:color w:val="auto"/>
        </w:rPr>
      </w:pPr>
    </w:p>
    <w:p>
      <w:pPr>
        <w:ind w:left="320" w:right="779" w:firstLine="753"/>
        <w:spacing w:after="0" w:line="266" w:lineRule="auto"/>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36" w:lineRule="exact"/>
        <w:rPr>
          <w:sz w:val="20"/>
          <w:szCs w:val="20"/>
          <w:color w:val="auto"/>
        </w:rPr>
      </w:pPr>
    </w:p>
    <w:p>
      <w:pPr>
        <w:ind w:left="320" w:right="479" w:firstLine="753"/>
        <w:spacing w:after="0" w:line="266"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6" w:lineRule="exact"/>
        <w:rPr>
          <w:sz w:val="20"/>
          <w:szCs w:val="20"/>
          <w:color w:val="auto"/>
        </w:rPr>
      </w:pPr>
    </w:p>
    <w:p>
      <w:pPr>
        <w:ind w:left="320" w:right="479" w:firstLine="753"/>
        <w:spacing w:after="0" w:line="250"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146" w:lineRule="exact"/>
        <w:rPr>
          <w:sz w:val="20"/>
          <w:szCs w:val="20"/>
          <w:color w:val="auto"/>
        </w:rPr>
      </w:pPr>
    </w:p>
    <w:p>
      <w:pPr>
        <w:jc w:val="both"/>
        <w:ind w:left="320" w:right="359" w:firstLine="753"/>
        <w:spacing w:after="0" w:line="255"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Prior to the issuance of Securities of any Series, the Trustee shall have received and (subject to Section 7.2) shall be fully protected in</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relying on: (a) the Board Resolution, supplemental indenture hereto or Officers’ Certificate establishing the form of the Securities of that Series or of</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Securities within that Series and the terms of the Securities of that Series or of Securities within that Series, (b) an Officers’ Certificate complying with</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Section 10.4, and (c) an Opinion of Counsel complying with Section 10.4.</w:t>
      </w:r>
    </w:p>
    <w:p>
      <w:pPr>
        <w:spacing w:after="0" w:line="156" w:lineRule="exact"/>
        <w:rPr>
          <w:sz w:val="20"/>
          <w:szCs w:val="20"/>
          <w:color w:val="auto"/>
        </w:rPr>
      </w:pPr>
    </w:p>
    <w:p>
      <w:pPr>
        <w:ind w:left="320" w:right="579" w:firstLine="753"/>
        <w:spacing w:after="0" w:line="252"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executive vice presidents shall determine that such action would expose the Trustee to personal liability to Holders of any then outstanding Series of Securities.</w:t>
      </w:r>
    </w:p>
    <w:p>
      <w:pPr>
        <w:spacing w:after="0" w:line="145" w:lineRule="exact"/>
        <w:rPr>
          <w:sz w:val="20"/>
          <w:szCs w:val="20"/>
          <w:color w:val="auto"/>
        </w:rPr>
      </w:pPr>
    </w:p>
    <w:p>
      <w:pPr>
        <w:ind w:left="320" w:right="339" w:firstLine="753"/>
        <w:spacing w:after="0" w:line="255"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Registrar and Paying Agent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50" w:lineRule="auto"/>
        <w:rPr>
          <w:sz w:val="20"/>
          <w:szCs w:val="20"/>
          <w:color w:val="auto"/>
        </w:rPr>
      </w:pPr>
      <w:r>
        <w:rPr>
          <w:rFonts w:ascii="Times New Roman" w:cs="Times New Roman" w:eastAsia="Times New Roman" w:hAnsi="Times New Roman"/>
          <w:sz w:val="14"/>
          <w:szCs w:val="14"/>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where Securities of such Series may be surrendered for registration of transfer or exchange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and where notices and demands to or upon the Company in respect of the Securities of such Series and this Indenture may be served (“</w:t>
      </w:r>
      <w:r>
        <w:rPr>
          <w:rFonts w:ascii="Times New Roman" w:cs="Times New Roman" w:eastAsia="Times New Roman" w:hAnsi="Times New Roman"/>
          <w:sz w:val="14"/>
          <w:szCs w:val="14"/>
          <w:i w:val="1"/>
          <w:iCs w:val="1"/>
          <w:color w:val="auto"/>
        </w:rPr>
        <w:t>Service Agent</w:t>
      </w:r>
      <w:r>
        <w:rPr>
          <w:rFonts w:ascii="Times New Roman" w:cs="Times New Roman" w:eastAsia="Times New Roman" w:hAnsi="Times New Roman"/>
          <w:sz w:val="14"/>
          <w:szCs w:val="14"/>
          <w:color w:val="auto"/>
        </w:rPr>
        <w:t>”). The Registrar shall keep a register with respect to each Series of Securities and to their transfer and exchange. The Company will give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67" w:name="page68"/>
    <w:bookmarkEnd w:id="67"/>
    <w:p>
      <w:pPr>
        <w:jc w:val="both"/>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45" w:lineRule="exact"/>
        <w:rPr>
          <w:sz w:val="20"/>
          <w:szCs w:val="20"/>
          <w:color w:val="auto"/>
        </w:rPr>
      </w:pPr>
    </w:p>
    <w:p>
      <w:pPr>
        <w:ind w:left="320" w:right="359" w:firstLine="753"/>
        <w:spacing w:after="0" w:line="249"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co-registrars, additional paying agents or additional service agents and may from time to time rescind such designations;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includes any co-registrar; the term “</w:t>
      </w:r>
      <w:r>
        <w:rPr>
          <w:rFonts w:ascii="Times New Roman" w:cs="Times New Roman" w:eastAsia="Times New Roman" w:hAnsi="Times New Roman"/>
          <w:sz w:val="14"/>
          <w:szCs w:val="14"/>
          <w:i w:val="1"/>
          <w:iCs w:val="1"/>
          <w:color w:val="auto"/>
        </w:rPr>
        <w:t>Paying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includes any additional paying agent; and the term “</w:t>
      </w:r>
      <w:r>
        <w:rPr>
          <w:rFonts w:ascii="Times New Roman" w:cs="Times New Roman" w:eastAsia="Times New Roman" w:hAnsi="Times New Roman"/>
          <w:sz w:val="14"/>
          <w:szCs w:val="14"/>
          <w:i w:val="1"/>
          <w:iCs w:val="1"/>
          <w:color w:val="auto"/>
        </w:rPr>
        <w:t>Service Agent</w:t>
      </w:r>
      <w:r>
        <w:rPr>
          <w:rFonts w:ascii="Times New Roman" w:cs="Times New Roman" w:eastAsia="Times New Roman" w:hAnsi="Times New Roman"/>
          <w:sz w:val="14"/>
          <w:szCs w:val="14"/>
          <w:color w:val="auto"/>
        </w:rPr>
        <w:t>” includes any additional service agent.</w:t>
      </w:r>
    </w:p>
    <w:p>
      <w:pPr>
        <w:spacing w:after="0" w:line="147" w:lineRule="exact"/>
        <w:rPr>
          <w:sz w:val="20"/>
          <w:szCs w:val="20"/>
          <w:color w:val="auto"/>
        </w:rPr>
      </w:pPr>
    </w:p>
    <w:p>
      <w:pPr>
        <w:ind w:left="320" w:right="439" w:firstLine="753"/>
        <w:spacing w:after="0" w:line="266" w:lineRule="auto"/>
        <w:rPr>
          <w:sz w:val="20"/>
          <w:szCs w:val="20"/>
          <w:color w:val="auto"/>
        </w:rPr>
      </w:pPr>
      <w:r>
        <w:rPr>
          <w:rFonts w:ascii="Times New Roman" w:cs="Times New Roman" w:eastAsia="Times New Roman" w:hAnsi="Times New Roman"/>
          <w:sz w:val="14"/>
          <w:szCs w:val="14"/>
          <w:color w:val="auto"/>
        </w:rPr>
        <w:t>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47"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Securityholder Lists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77" w:lineRule="auto"/>
        <w:rPr>
          <w:sz w:val="20"/>
          <w:szCs w:val="20"/>
          <w:color w:val="auto"/>
        </w:rPr>
      </w:pPr>
      <w:r>
        <w:rPr>
          <w:rFonts w:ascii="Times New Roman" w:cs="Times New Roman" w:eastAsia="Times New Roman" w:hAnsi="Times New Roman"/>
          <w:sz w:val="13"/>
          <w:szCs w:val="13"/>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10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9"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68" w:name="page69"/>
    <w:bookmarkEnd w:id="68"/>
    <w:p>
      <w:pPr>
        <w:ind w:left="320" w:right="359" w:firstLine="753"/>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753"/>
        <w:spacing w:after="0" w:line="305"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2" w:lineRule="exact"/>
        <w:rPr>
          <w:sz w:val="20"/>
          <w:szCs w:val="20"/>
          <w:color w:val="auto"/>
        </w:rPr>
      </w:pPr>
    </w:p>
    <w:p>
      <w:pPr>
        <w:ind w:left="320" w:right="359" w:firstLine="753"/>
        <w:spacing w:after="0" w:line="250"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6" w:lineRule="exact"/>
        <w:rPr>
          <w:sz w:val="20"/>
          <w:szCs w:val="20"/>
          <w:color w:val="auto"/>
        </w:rPr>
      </w:pPr>
    </w:p>
    <w:p>
      <w:pPr>
        <w:ind w:left="320" w:right="719" w:firstLine="753"/>
        <w:spacing w:after="0" w:line="266"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36" w:lineRule="exact"/>
        <w:rPr>
          <w:sz w:val="20"/>
          <w:szCs w:val="20"/>
          <w:color w:val="auto"/>
        </w:rPr>
      </w:pPr>
    </w:p>
    <w:p>
      <w:pPr>
        <w:jc w:val="both"/>
        <w:ind w:left="320" w:right="479" w:firstLine="753"/>
        <w:spacing w:after="0" w:line="255"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43" w:lineRule="exact"/>
        <w:rPr>
          <w:sz w:val="20"/>
          <w:szCs w:val="20"/>
          <w:color w:val="auto"/>
        </w:rPr>
      </w:pPr>
    </w:p>
    <w:p>
      <w:pPr>
        <w:ind w:left="320" w:right="359" w:firstLine="753"/>
        <w:spacing w:after="0" w:line="284"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26" w:lineRule="exact"/>
        <w:rPr>
          <w:sz w:val="20"/>
          <w:szCs w:val="20"/>
          <w:color w:val="auto"/>
        </w:rPr>
      </w:pPr>
    </w:p>
    <w:p>
      <w:pPr>
        <w:ind w:left="320" w:right="719" w:firstLine="753"/>
        <w:spacing w:after="0" w:line="266" w:lineRule="auto"/>
        <w:rPr>
          <w:sz w:val="20"/>
          <w:szCs w:val="20"/>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43" w:lineRule="exact"/>
        <w:rPr>
          <w:sz w:val="20"/>
          <w:szCs w:val="20"/>
          <w:color w:val="auto"/>
        </w:rPr>
      </w:pPr>
    </w:p>
    <w:p>
      <w:pPr>
        <w:ind w:left="320" w:right="759" w:firstLine="753"/>
        <w:spacing w:after="0" w:line="266" w:lineRule="auto"/>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36" w:lineRule="exact"/>
        <w:rPr>
          <w:sz w:val="20"/>
          <w:szCs w:val="20"/>
          <w:color w:val="auto"/>
        </w:rPr>
      </w:pPr>
    </w:p>
    <w:p>
      <w:pPr>
        <w:ind w:left="320" w:right="539" w:firstLine="753"/>
        <w:spacing w:after="0" w:line="255"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 Security does not cease to be outstanding because the Company or an Affiliate of the Company holds the Security.</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69" w:name="page70"/>
    <w:bookmarkEnd w:id="69"/>
    <w:p>
      <w:pPr>
        <w:ind w:left="320" w:right="339" w:firstLine="753"/>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753"/>
        <w:spacing w:after="0" w:line="252"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50"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753"/>
        <w:spacing w:after="0" w:line="250"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50"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59" w:firstLine="753"/>
        <w:spacing w:after="0" w:line="255" w:lineRule="auto"/>
        <w:rPr>
          <w:sz w:val="20"/>
          <w:szCs w:val="20"/>
          <w:color w:val="auto"/>
        </w:rPr>
      </w:pPr>
      <w:r>
        <w:rPr>
          <w:rFonts w:ascii="Times New Roman" w:cs="Times New Roman" w:eastAsia="Times New Roman" w:hAnsi="Times New Roman"/>
          <w:sz w:val="14"/>
          <w:szCs w:val="14"/>
          <w:color w:val="auto"/>
        </w:rPr>
        <w:t xml:space="preserve">2.14.1. </w:t>
      </w: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43" w:lineRule="exact"/>
        <w:rPr>
          <w:sz w:val="20"/>
          <w:szCs w:val="20"/>
          <w:color w:val="auto"/>
        </w:rPr>
      </w:pPr>
    </w:p>
    <w:p>
      <w:pPr>
        <w:ind w:left="320" w:right="419" w:firstLine="753"/>
        <w:spacing w:after="0" w:line="269" w:lineRule="auto"/>
        <w:rPr>
          <w:sz w:val="20"/>
          <w:szCs w:val="20"/>
          <w:color w:val="auto"/>
        </w:rPr>
      </w:pPr>
      <w:r>
        <w:rPr>
          <w:rFonts w:ascii="Times New Roman" w:cs="Times New Roman" w:eastAsia="Times New Roman" w:hAnsi="Times New Roman"/>
          <w:sz w:val="13"/>
          <w:szCs w:val="13"/>
          <w:color w:val="auto"/>
        </w:rPr>
        <w:t xml:space="preserve">2.14.2. </w:t>
      </w:r>
      <w:r>
        <w:rPr>
          <w:rFonts w:ascii="Times New Roman" w:cs="Times New Roman" w:eastAsia="Times New Roman" w:hAnsi="Times New Roman"/>
          <w:sz w:val="13"/>
          <w:szCs w:val="13"/>
          <w:u w:val="single" w:color="auto"/>
          <w:color w:val="auto"/>
        </w:rPr>
        <w:t>Transfer and Exchange</w:t>
      </w:r>
      <w:r>
        <w:rPr>
          <w:rFonts w:ascii="Times New Roman" w:cs="Times New Roman" w:eastAsia="Times New Roman" w:hAnsi="Times New Roman"/>
          <w:sz w:val="13"/>
          <w:szCs w:val="13"/>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70" w:name="page71"/>
    <w:bookmarkEnd w:id="70"/>
    <w:p>
      <w:pPr>
        <w:ind w:left="320" w:right="339" w:firstLine="75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 xml:space="preserve">2.14.3. </w:t>
      </w: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167" w:lineRule="exact"/>
        <w:rPr>
          <w:sz w:val="20"/>
          <w:szCs w:val="20"/>
          <w:color w:val="auto"/>
        </w:rPr>
      </w:pPr>
    </w:p>
    <w:p>
      <w:pPr>
        <w:ind w:left="320" w:right="359" w:firstLine="753"/>
        <w:spacing w:after="0" w:line="250"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6" w:lineRule="exact"/>
        <w:rPr>
          <w:sz w:val="20"/>
          <w:szCs w:val="20"/>
          <w:color w:val="auto"/>
        </w:rPr>
      </w:pPr>
    </w:p>
    <w:p>
      <w:pPr>
        <w:ind w:left="320" w:right="419" w:firstLine="753"/>
        <w:spacing w:after="0" w:line="266" w:lineRule="auto"/>
        <w:rPr>
          <w:sz w:val="20"/>
          <w:szCs w:val="20"/>
          <w:color w:val="auto"/>
        </w:rPr>
      </w:pPr>
      <w:r>
        <w:rPr>
          <w:rFonts w:ascii="Times New Roman" w:cs="Times New Roman" w:eastAsia="Times New Roman" w:hAnsi="Times New Roman"/>
          <w:sz w:val="14"/>
          <w:szCs w:val="14"/>
          <w:color w:val="auto"/>
        </w:rPr>
        <w:t xml:space="preserve">2.14.4.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36" w:lineRule="exact"/>
        <w:rPr>
          <w:sz w:val="20"/>
          <w:szCs w:val="20"/>
          <w:color w:val="auto"/>
        </w:rPr>
      </w:pPr>
    </w:p>
    <w:p>
      <w:pPr>
        <w:ind w:left="320" w:right="699" w:firstLine="753"/>
        <w:spacing w:after="0" w:line="266" w:lineRule="auto"/>
        <w:rPr>
          <w:sz w:val="20"/>
          <w:szCs w:val="20"/>
          <w:color w:val="auto"/>
        </w:rPr>
      </w:pPr>
      <w:r>
        <w:rPr>
          <w:rFonts w:ascii="Times New Roman" w:cs="Times New Roman" w:eastAsia="Times New Roman" w:hAnsi="Times New Roman"/>
          <w:sz w:val="14"/>
          <w:szCs w:val="14"/>
          <w:color w:val="auto"/>
        </w:rPr>
        <w:t xml:space="preserve">2.14.5.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6" w:lineRule="exact"/>
        <w:rPr>
          <w:sz w:val="20"/>
          <w:szCs w:val="20"/>
          <w:color w:val="auto"/>
        </w:rPr>
      </w:pPr>
    </w:p>
    <w:p>
      <w:pPr>
        <w:ind w:left="320" w:right="359" w:firstLine="753"/>
        <w:spacing w:after="0" w:line="252" w:lineRule="auto"/>
        <w:rPr>
          <w:sz w:val="20"/>
          <w:szCs w:val="20"/>
          <w:color w:val="auto"/>
        </w:rPr>
      </w:pPr>
      <w:r>
        <w:rPr>
          <w:rFonts w:ascii="Times New Roman" w:cs="Times New Roman" w:eastAsia="Times New Roman" w:hAnsi="Times New Roman"/>
          <w:sz w:val="14"/>
          <w:szCs w:val="14"/>
          <w:color w:val="auto"/>
        </w:rPr>
        <w:t xml:space="preserve">2.14.6. </w:t>
      </w:r>
      <w:r>
        <w:rPr>
          <w:rFonts w:ascii="Times New Roman" w:cs="Times New Roman" w:eastAsia="Times New Roman" w:hAnsi="Times New Roman"/>
          <w:sz w:val="14"/>
          <w:szCs w:val="14"/>
          <w:u w:val="single" w:color="auto"/>
          <w:color w:val="auto"/>
        </w:rPr>
        <w:t>Consents, Declaration and Directions</w:t>
      </w:r>
      <w:r>
        <w:rPr>
          <w:rFonts w:ascii="Times New Roman" w:cs="Times New Roman" w:eastAsia="Times New Roman" w:hAnsi="Times New Roman"/>
          <w:sz w:val="14"/>
          <w:szCs w:val="14"/>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77" w:lineRule="auto"/>
        <w:rPr>
          <w:sz w:val="20"/>
          <w:szCs w:val="20"/>
          <w:color w:val="auto"/>
        </w:rPr>
      </w:pPr>
      <w:r>
        <w:rPr>
          <w:rFonts w:ascii="Times New Roman" w:cs="Times New Roman" w:eastAsia="Times New Roman" w:hAnsi="Times New Roman"/>
          <w:sz w:val="13"/>
          <w:szCs w:val="13"/>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REDEMPTION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Notice to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9"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30 days before the redemption date (or such shorter notice as may be acceptable to the Trustee).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3.2 </w:t>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7" w:lineRule="auto"/>
        <w:rPr>
          <w:sz w:val="20"/>
          <w:szCs w:val="20"/>
          <w:color w:val="auto"/>
        </w:rPr>
      </w:pPr>
      <w:r>
        <w:rPr>
          <w:rFonts w:ascii="Times New Roman" w:cs="Times New Roman" w:eastAsia="Times New Roman" w:hAnsi="Times New Roman"/>
          <w:sz w:val="14"/>
          <w:szCs w:val="14"/>
          <w:color w:val="auto"/>
        </w:rPr>
        <w:t xml:space="preserve">Unless otherwise indicated for a particular Series by a Board Resolution, a supplemental indenture hereto or an Officers’ Certificate, if less than all the Securities of a Series are to be redeemed, the Trustee shall select the Securities of the Series to be redeemed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(or, in the case of Global Securities based on a method that most nearly approximates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selection as the Trustee deems fair and appropriate) unless otherwise required by law or applicable stock exchange or depositary requirements.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167" w:lineRule="exact"/>
        <w:rPr>
          <w:sz w:val="20"/>
          <w:szCs w:val="20"/>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167" w:lineRule="exact"/>
        <w:rPr>
          <w:rFonts w:ascii="Times New Roman" w:cs="Times New Roman" w:eastAsia="Times New Roman" w:hAnsi="Times New Roman"/>
          <w:sz w:val="14"/>
          <w:szCs w:val="14"/>
          <w:color w:val="auto"/>
        </w:rPr>
      </w:pPr>
    </w:p>
    <w:p>
      <w:pPr>
        <w:jc w:val="both"/>
        <w:ind w:left="320" w:right="499" w:firstLine="752"/>
        <w:spacing w:after="0" w:line="255" w:lineRule="auto"/>
        <w:tabs>
          <w:tab w:leader="none" w:pos="126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the Series called for redemption must be surrendered to the Paying Agent to collect the redemption price;</w:t>
      </w:r>
    </w:p>
    <w:p>
      <w:pPr>
        <w:spacing w:after="0" w:line="167"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interest on Securities of the Series called for redemption ceases to accrue on and after the redemption date;</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and</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as may be required by the terms of the particular Series or the Securities of a Series being redeemed.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At the Company’s request, the Trustee shall give the notice of redemption in the Company’s name and at its expense.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52" w:lineRule="auto"/>
        <w:rPr>
          <w:sz w:val="20"/>
          <w:szCs w:val="20"/>
          <w:color w:val="auto"/>
        </w:rPr>
      </w:pPr>
      <w:r>
        <w:rPr>
          <w:rFonts w:ascii="Times New Roman" w:cs="Times New Roman" w:eastAsia="Times New Roman" w:hAnsi="Times New Roman"/>
          <w:sz w:val="14"/>
          <w:szCs w:val="14"/>
          <w:color w:val="auto"/>
        </w:rPr>
        <w:t>Once notice of redemption is mailed or published as provided in Section 3.3, Securities of a Series called for redemption become due and payable on the redemption date and at the redemption price. Unless otherwise set forth in the Board Resolution, supplemental indenture or Officers’ Certificate for the applicable Series of Securities, a notice of redemption pertaining to such Series may not be conditional. Upon surrender to the Paying Agent, such Securities shall be paid at the redemption price plus accrued interest to the redemption date.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3.5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66" w:lineRule="auto"/>
        <w:rPr>
          <w:sz w:val="20"/>
          <w:szCs w:val="20"/>
          <w:color w:val="auto"/>
        </w:rPr>
      </w:pPr>
      <w:r>
        <w:rPr>
          <w:rFonts w:ascii="Times New Roman" w:cs="Times New Roman" w:eastAsia="Times New Roman" w:hAnsi="Times New Roman"/>
          <w:sz w:val="14"/>
          <w:szCs w:val="14"/>
          <w:color w:val="auto"/>
        </w:rPr>
        <w:t>On or before 10:00 a.m., Eastern time, on the redemption date, the Company shall deposit with the Paying Agent money sufficient to pay the redemption price of and accrued interest, if any, on all Securities to be redeemed on that date.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753"/>
        <w:spacing w:after="0" w:line="266"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0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ARTICLE IV.</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COVENANTS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Payment of Principal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79" w:firstLine="753"/>
        <w:spacing w:after="0" w:line="266"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48" w:lineRule="auto"/>
        <w:rPr>
          <w:sz w:val="20"/>
          <w:szCs w:val="20"/>
          <w:color w:val="auto"/>
        </w:rPr>
      </w:pPr>
      <w:r>
        <w:rPr>
          <w:rFonts w:ascii="Times New Roman" w:cs="Times New Roman" w:eastAsia="Times New Roman" w:hAnsi="Times New Roman"/>
          <w:sz w:val="14"/>
          <w:szCs w:val="14"/>
          <w:color w:val="auto"/>
        </w:rPr>
        <w:t>The Company shall, so long as any Securities are outstanding, deliver to the Trustee within 15 days after it files them with the SEC (unless already publicly available through the SEC’s EDGAR Filing System)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8"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or she may have knowledge).</w:t>
      </w:r>
    </w:p>
    <w:p>
      <w:pPr>
        <w:spacing w:after="0" w:line="149" w:lineRule="exact"/>
        <w:rPr>
          <w:sz w:val="20"/>
          <w:szCs w:val="20"/>
          <w:color w:val="auto"/>
        </w:rPr>
      </w:pPr>
    </w:p>
    <w:p>
      <w:pPr>
        <w:jc w:val="both"/>
        <w:ind w:left="320" w:right="359" w:firstLine="753"/>
        <w:spacing w:after="0" w:line="255" w:lineRule="auto"/>
        <w:rPr>
          <w:sz w:val="20"/>
          <w:szCs w:val="20"/>
          <w:color w:val="auto"/>
        </w:rPr>
      </w:pPr>
      <w:r>
        <w:rPr>
          <w:rFonts w:ascii="Times New Roman" w:cs="Times New Roman" w:eastAsia="Times New Roman" w:hAnsi="Times New Roman"/>
          <w:sz w:val="14"/>
          <w:szCs w:val="14"/>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3"/>
        <w:spacing w:after="0" w:line="274" w:lineRule="auto"/>
        <w:rPr>
          <w:sz w:val="20"/>
          <w:szCs w:val="20"/>
          <w:color w:val="auto"/>
        </w:rPr>
      </w:pPr>
      <w:r>
        <w:rPr>
          <w:rFonts w:ascii="Times New Roman" w:cs="Times New Roman" w:eastAsia="Times New Roman" w:hAnsi="Times New Roman"/>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4.5 </w:t>
      </w:r>
      <w:r>
        <w:rPr>
          <w:rFonts w:ascii="Times New Roman" w:cs="Times New Roman" w:eastAsia="Times New Roman" w:hAnsi="Times New Roman"/>
          <w:sz w:val="14"/>
          <w:szCs w:val="14"/>
          <w:u w:val="single" w:color="auto"/>
          <w:color w:val="auto"/>
        </w:rPr>
        <w:t>Corporate Existence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52" w:lineRule="auto"/>
        <w:rPr>
          <w:sz w:val="20"/>
          <w:szCs w:val="20"/>
          <w:color w:val="auto"/>
        </w:rPr>
      </w:pPr>
      <w:r>
        <w:rPr>
          <w:rFonts w:ascii="Times New Roman" w:cs="Times New Roman" w:eastAsia="Times New Roman" w:hAnsi="Times New Roman"/>
          <w:sz w:val="14"/>
          <w:szCs w:val="14"/>
          <w:color w:val="auto"/>
        </w:rPr>
        <w:t xml:space="preserve">Subject to Article V, the Company will do or cause to be done all things necessary to preserve and keep in full force and effect its corporate existence and rights (charter and statutory);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SUCCESSORS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When the Company May Merge,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59" w:firstLine="753"/>
        <w:spacing w:after="0" w:line="266" w:lineRule="auto"/>
        <w:rPr>
          <w:sz w:val="20"/>
          <w:szCs w:val="20"/>
          <w:color w:val="auto"/>
        </w:rPr>
      </w:pPr>
      <w:r>
        <w:rPr>
          <w:rFonts w:ascii="Times New Roman" w:cs="Times New Roman" w:eastAsia="Times New Roman" w:hAnsi="Times New Roman"/>
          <w:sz w:val="14"/>
          <w:szCs w:val="14"/>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 unless:</w:t>
      </w:r>
    </w:p>
    <w:p>
      <w:pPr>
        <w:spacing w:after="0" w:line="136" w:lineRule="exact"/>
        <w:rPr>
          <w:sz w:val="20"/>
          <w:szCs w:val="20"/>
          <w:color w:val="auto"/>
        </w:rPr>
      </w:pPr>
    </w:p>
    <w:p>
      <w:pPr>
        <w:jc w:val="both"/>
        <w:ind w:left="320" w:right="479" w:firstLine="752"/>
        <w:spacing w:after="0" w:line="255" w:lineRule="auto"/>
        <w:tabs>
          <w:tab w:leader="none" w:pos="125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67" w:lineRule="exact"/>
        <w:rPr>
          <w:sz w:val="20"/>
          <w:szCs w:val="20"/>
          <w:color w:val="auto"/>
        </w:rPr>
      </w:pPr>
    </w:p>
    <w:p>
      <w:pPr>
        <w:ind w:left="320" w:right="479" w:firstLine="753"/>
        <w:spacing w:after="0" w:line="305" w:lineRule="auto"/>
        <w:rPr>
          <w:sz w:val="20"/>
          <w:szCs w:val="20"/>
          <w:color w:val="auto"/>
        </w:rPr>
      </w:pPr>
      <w:r>
        <w:rPr>
          <w:rFonts w:ascii="Times New Roman" w:cs="Times New Roman" w:eastAsia="Times New Roman" w:hAnsi="Times New Roman"/>
          <w:sz w:val="13"/>
          <w:szCs w:val="13"/>
          <w:color w:val="auto"/>
        </w:rPr>
        <w:t>The Company shall deliver to the Trustee prior to the consummation of the proposed transaction an Officers’ Certificate to the foregoing effect and an Opinion of Counsel stating that the proposed transaction and any supplemental indenture hereto complies with this Indenture.</w:t>
      </w:r>
    </w:p>
    <w:p>
      <w:pPr>
        <w:spacing w:after="0" w:line="112" w:lineRule="exact"/>
        <w:rPr>
          <w:sz w:val="20"/>
          <w:szCs w:val="20"/>
          <w:color w:val="auto"/>
        </w:rPr>
      </w:pPr>
    </w:p>
    <w:p>
      <w:pPr>
        <w:ind w:left="320" w:right="419" w:firstLine="753"/>
        <w:spacing w:after="0" w:line="266" w:lineRule="auto"/>
        <w:rPr>
          <w:sz w:val="20"/>
          <w:szCs w:val="20"/>
          <w:color w:val="auto"/>
        </w:rPr>
      </w:pPr>
      <w:r>
        <w:rPr>
          <w:rFonts w:ascii="Times New Roman" w:cs="Times New Roman" w:eastAsia="Times New Roman" w:hAnsi="Times New Roman"/>
          <w:sz w:val="14"/>
          <w:szCs w:val="14"/>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Successor Corporation Substituted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49" w:lineRule="auto"/>
        <w:rPr>
          <w:sz w:val="20"/>
          <w:szCs w:val="20"/>
          <w:color w:val="auto"/>
        </w:rPr>
      </w:pPr>
      <w:r>
        <w:rPr>
          <w:rFonts w:ascii="Times New Roman" w:cs="Times New Roman" w:eastAsia="Times New Roman" w:hAnsi="Times New Roman"/>
          <w:sz w:val="14"/>
          <w:szCs w:val="14"/>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predecessor Company in the case of a sale, conveyance or other disposition (other than a lease) shall be released from all obligations and covenants under this Indenture and the Securities.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left="320" w:right="559" w:firstLine="75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wherever used herein with respect to Securities of any Series, means any one of the following events, unless in the establishing Board Resolution, supplemental indenture hereto or Officers’ Certificate, it is provided that such Series shall not have the benefit of said Event of Default:</w:t>
      </w:r>
    </w:p>
    <w:p>
      <w:pPr>
        <w:spacing w:after="0" w:line="141" w:lineRule="exact"/>
        <w:rPr>
          <w:sz w:val="20"/>
          <w:szCs w:val="20"/>
          <w:color w:val="auto"/>
        </w:rPr>
      </w:pPr>
    </w:p>
    <w:p>
      <w:pPr>
        <w:ind w:left="320" w:right="379" w:firstLine="752"/>
        <w:spacing w:after="0" w:line="255" w:lineRule="auto"/>
        <w:tabs>
          <w:tab w:leader="none" w:pos="125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74" w:name="page75"/>
    <w:bookmarkEnd w:id="74"/>
    <w:p>
      <w:pPr>
        <w:ind w:left="1260" w:hanging="188"/>
        <w:spacing w:after="0"/>
        <w:tabs>
          <w:tab w:leader="none" w:pos="1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default in the payment of principal of any Security of that Series at its Maturity; or</w:t>
      </w:r>
    </w:p>
    <w:p>
      <w:pPr>
        <w:spacing w:after="0" w:line="167" w:lineRule="exact"/>
        <w:rPr>
          <w:rFonts w:ascii="Times New Roman" w:cs="Times New Roman" w:eastAsia="Times New Roman" w:hAnsi="Times New Roman"/>
          <w:sz w:val="14"/>
          <w:szCs w:val="14"/>
          <w:color w:val="auto"/>
        </w:rPr>
      </w:pPr>
    </w:p>
    <w:p>
      <w:pPr>
        <w:ind w:left="320" w:right="339" w:firstLine="752"/>
        <w:spacing w:after="0" w:line="250" w:lineRule="auto"/>
        <w:tabs>
          <w:tab w:leader="none" w:pos="125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this Indenture or any Security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46"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w:t>
      </w:r>
    </w:p>
    <w:p>
      <w:pPr>
        <w:spacing w:after="0" w:line="167" w:lineRule="exact"/>
        <w:rPr>
          <w:rFonts w:ascii="Times New Roman" w:cs="Times New Roman" w:eastAsia="Times New Roman" w:hAnsi="Times New Roman"/>
          <w:sz w:val="14"/>
          <w:szCs w:val="14"/>
          <w:color w:val="auto"/>
        </w:rPr>
      </w:pPr>
    </w:p>
    <w:p>
      <w:pPr>
        <w:ind w:left="1580" w:hanging="173"/>
        <w:spacing w:after="0"/>
        <w:tabs>
          <w:tab w:leader="none" w:pos="15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7" w:lineRule="exact"/>
        <w:rPr>
          <w:rFonts w:ascii="Times New Roman" w:cs="Times New Roman" w:eastAsia="Times New Roman" w:hAnsi="Times New Roman"/>
          <w:sz w:val="14"/>
          <w:szCs w:val="14"/>
          <w:color w:val="auto"/>
        </w:rPr>
      </w:pPr>
    </w:p>
    <w:p>
      <w:pPr>
        <w:ind w:left="1600" w:hanging="193"/>
        <w:spacing w:after="0"/>
        <w:tabs>
          <w:tab w:leader="none" w:pos="16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7" w:lineRule="exact"/>
        <w:rPr>
          <w:rFonts w:ascii="Times New Roman" w:cs="Times New Roman" w:eastAsia="Times New Roman" w:hAnsi="Times New Roman"/>
          <w:sz w:val="14"/>
          <w:szCs w:val="14"/>
          <w:color w:val="auto"/>
        </w:rPr>
      </w:pPr>
    </w:p>
    <w:p>
      <w:pPr>
        <w:ind w:left="1640" w:hanging="233"/>
        <w:spacing w:after="0"/>
        <w:tabs>
          <w:tab w:leader="none" w:pos="16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167" w:lineRule="exact"/>
        <w:rPr>
          <w:rFonts w:ascii="Times New Roman" w:cs="Times New Roman" w:eastAsia="Times New Roman" w:hAnsi="Times New Roman"/>
          <w:sz w:val="14"/>
          <w:szCs w:val="14"/>
          <w:color w:val="auto"/>
        </w:rPr>
      </w:pPr>
    </w:p>
    <w:p>
      <w:pPr>
        <w:ind w:left="1640" w:hanging="233"/>
        <w:spacing w:after="0"/>
        <w:tabs>
          <w:tab w:leader="none" w:pos="16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67" w:lineRule="exact"/>
        <w:rPr>
          <w:rFonts w:ascii="Times New Roman" w:cs="Times New Roman" w:eastAsia="Times New Roman" w:hAnsi="Times New Roman"/>
          <w:sz w:val="14"/>
          <w:szCs w:val="14"/>
          <w:color w:val="auto"/>
        </w:rPr>
      </w:pPr>
    </w:p>
    <w:p>
      <w:pPr>
        <w:ind w:left="1600" w:hanging="193"/>
        <w:spacing w:after="0"/>
        <w:tabs>
          <w:tab w:leader="none" w:pos="16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unable to pay its debts as the same become due; or</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167" w:lineRule="exact"/>
        <w:rPr>
          <w:rFonts w:ascii="Times New Roman" w:cs="Times New Roman" w:eastAsia="Times New Roman" w:hAnsi="Times New Roman"/>
          <w:sz w:val="14"/>
          <w:szCs w:val="14"/>
          <w:color w:val="auto"/>
        </w:rPr>
      </w:pPr>
    </w:p>
    <w:p>
      <w:pPr>
        <w:ind w:left="1580" w:hanging="173"/>
        <w:spacing w:after="0"/>
        <w:tabs>
          <w:tab w:leader="none" w:pos="15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167" w:lineRule="exact"/>
        <w:rPr>
          <w:rFonts w:ascii="Times New Roman" w:cs="Times New Roman" w:eastAsia="Times New Roman" w:hAnsi="Times New Roman"/>
          <w:sz w:val="14"/>
          <w:szCs w:val="14"/>
          <w:color w:val="auto"/>
        </w:rPr>
      </w:pPr>
    </w:p>
    <w:p>
      <w:pPr>
        <w:ind w:left="1600" w:hanging="193"/>
        <w:spacing w:after="0"/>
        <w:tabs>
          <w:tab w:leader="none" w:pos="16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167" w:lineRule="exact"/>
        <w:rPr>
          <w:rFonts w:ascii="Times New Roman" w:cs="Times New Roman" w:eastAsia="Times New Roman" w:hAnsi="Times New Roman"/>
          <w:sz w:val="14"/>
          <w:szCs w:val="14"/>
          <w:color w:val="auto"/>
        </w:rPr>
      </w:pPr>
    </w:p>
    <w:p>
      <w:pPr>
        <w:ind w:left="1640" w:hanging="233"/>
        <w:spacing w:after="0"/>
        <w:tabs>
          <w:tab w:leader="none" w:pos="16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and the order or decree remains unstayed and in effect for 60 days; or</w:t>
      </w:r>
    </w:p>
    <w:p>
      <w:pPr>
        <w:spacing w:after="0" w:line="167" w:lineRule="exact"/>
        <w:rPr>
          <w:rFonts w:ascii="Times New Roman" w:cs="Times New Roman" w:eastAsia="Times New Roman" w:hAnsi="Times New Roman"/>
          <w:sz w:val="14"/>
          <w:szCs w:val="14"/>
          <w:color w:val="auto"/>
        </w:rPr>
      </w:pPr>
    </w:p>
    <w:p>
      <w:pPr>
        <w:ind w:left="320" w:right="459" w:firstLine="752"/>
        <w:spacing w:after="0" w:line="266" w:lineRule="auto"/>
        <w:tabs>
          <w:tab w:leader="none" w:pos="124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Securities of that Series, which is specified in a Board Resolution, a supplemental indenture hereto or an Officers’ Certificate, in accordance with Section 2.2.18.</w:t>
      </w:r>
    </w:p>
    <w:p>
      <w:pPr>
        <w:spacing w:after="0" w:line="132" w:lineRule="exact"/>
        <w:rPr>
          <w:sz w:val="20"/>
          <w:szCs w:val="20"/>
          <w:color w:val="auto"/>
        </w:rPr>
      </w:pPr>
    </w:p>
    <w:p>
      <w:pPr>
        <w:ind w:left="320" w:right="459" w:firstLine="753"/>
        <w:spacing w:after="0" w:line="272"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 The term “</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Acceleration of Maturity; Rescission and Annulment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69" w:lineRule="auto"/>
        <w:rPr>
          <w:sz w:val="20"/>
          <w:szCs w:val="20"/>
          <w:color w:val="auto"/>
        </w:rPr>
      </w:pPr>
      <w:r>
        <w:rPr>
          <w:rFonts w:ascii="Times New Roman" w:cs="Times New Roman" w:eastAsia="Times New Roman" w:hAnsi="Times New Roman"/>
          <w:sz w:val="13"/>
          <w:szCs w:val="13"/>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3"/>
          <w:szCs w:val="13"/>
          <w:i w:val="1"/>
          <w:iCs w:val="1"/>
          <w:color w:val="auto"/>
        </w:rPr>
        <w:t>ipso facto</w:t>
      </w:r>
      <w:r>
        <w:rPr>
          <w:rFonts w:ascii="Times New Roman" w:cs="Times New Roman" w:eastAsia="Times New Roman" w:hAnsi="Times New Roman"/>
          <w:sz w:val="13"/>
          <w:szCs w:val="13"/>
          <w:color w:val="auto"/>
        </w:rPr>
        <w:t xml:space="preserve"> become and be immediately due and payable without any declaration or other act on the part of the Trustee or any Holder.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75" w:name="page76"/>
    <w:bookmarkEnd w:id="75"/>
    <w:p>
      <w:pPr>
        <w:ind w:left="320" w:right="379" w:firstLine="753"/>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167" w:lineRule="exact"/>
        <w:rPr>
          <w:sz w:val="20"/>
          <w:szCs w:val="20"/>
          <w:color w:val="auto"/>
        </w:rPr>
      </w:pPr>
    </w:p>
    <w:p>
      <w:pPr>
        <w:ind w:left="320" w:right="399" w:firstLine="752"/>
        <w:spacing w:after="0" w:line="266" w:lineRule="auto"/>
        <w:tabs>
          <w:tab w:leader="none" w:pos="125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any interest on any Security when such interest becomes due and payable and such default continues for a period of 30 days, or</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principal of any Security at the Maturity thereof, or</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deposit of any sinking fund payment when and as due by the terms of a Security,</w:t>
      </w:r>
    </w:p>
    <w:p>
      <w:pPr>
        <w:spacing w:after="0" w:line="163" w:lineRule="exact"/>
        <w:rPr>
          <w:sz w:val="20"/>
          <w:szCs w:val="20"/>
          <w:color w:val="auto"/>
        </w:rPr>
      </w:pPr>
    </w:p>
    <w:p>
      <w:pPr>
        <w:ind w:left="320" w:right="339"/>
        <w:spacing w:after="0" w:line="251" w:lineRule="auto"/>
        <w:rPr>
          <w:sz w:val="20"/>
          <w:szCs w:val="20"/>
          <w:color w:val="auto"/>
        </w:rPr>
      </w:pPr>
      <w:r>
        <w:rPr>
          <w:rFonts w:ascii="Times New Roman" w:cs="Times New Roman" w:eastAsia="Times New Roman" w:hAnsi="Times New Roman"/>
          <w:sz w:val="14"/>
          <w:szCs w:val="14"/>
          <w:i w:val="1"/>
          <w:iCs w:val="1"/>
          <w:color w:val="auto"/>
        </w:rPr>
        <w:t>then</w:t>
      </w:r>
      <w:r>
        <w:rPr>
          <w:rFonts w:ascii="Times New Roman" w:cs="Times New Roman" w:eastAsia="Times New Roman" w:hAnsi="Times New Roman"/>
          <w:sz w:val="14"/>
          <w:szCs w:val="14"/>
          <w:color w:val="auto"/>
        </w:rPr>
        <w:t>, the Company will, upon demand of the Trustee, pay to it, for the benefit of the Holders of such Securities, the whole amount then due and payable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ind w:left="320" w:right="339" w:firstLine="753"/>
        <w:spacing w:after="0" w:line="252"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5" w:lineRule="exact"/>
        <w:rPr>
          <w:sz w:val="20"/>
          <w:szCs w:val="20"/>
          <w:color w:val="auto"/>
        </w:rPr>
      </w:pPr>
    </w:p>
    <w:p>
      <w:pPr>
        <w:ind w:left="320" w:right="359" w:firstLine="753"/>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50"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76" w:name="page77"/>
    <w:bookmarkEnd w:id="76"/>
    <w:p>
      <w:pPr>
        <w:ind w:left="320" w:right="379" w:firstLine="752"/>
        <w:spacing w:after="0" w:line="284" w:lineRule="auto"/>
        <w:tabs>
          <w:tab w:leader="none" w:pos="125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25" w:lineRule="exact"/>
        <w:rPr>
          <w:rFonts w:ascii="Times New Roman" w:cs="Times New Roman" w:eastAsia="Times New Roman" w:hAnsi="Times New Roman"/>
          <w:sz w:val="13"/>
          <w:szCs w:val="13"/>
          <w:color w:val="auto"/>
        </w:rPr>
      </w:pPr>
    </w:p>
    <w:p>
      <w:pPr>
        <w:ind w:left="320" w:right="399" w:firstLine="752"/>
        <w:spacing w:after="0" w:line="250" w:lineRule="auto"/>
        <w:tabs>
          <w:tab w:leader="none" w:pos="126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46" w:lineRule="exact"/>
        <w:rPr>
          <w:sz w:val="20"/>
          <w:szCs w:val="20"/>
          <w:color w:val="auto"/>
        </w:rPr>
      </w:pPr>
    </w:p>
    <w:p>
      <w:pPr>
        <w:jc w:val="both"/>
        <w:ind w:left="320" w:right="339" w:firstLine="753"/>
        <w:spacing w:after="0" w:line="255" w:lineRule="auto"/>
        <w:rPr>
          <w:sz w:val="20"/>
          <w:szCs w:val="20"/>
          <w:color w:val="auto"/>
        </w:rPr>
      </w:pPr>
      <w:r>
        <w:rPr>
          <w:rFonts w:ascii="Times New Roman" w:cs="Times New Roman" w:eastAsia="Times New Roman" w:hAnsi="Times New Roman"/>
          <w:sz w:val="14"/>
          <w:szCs w:val="14"/>
          <w:color w:val="auto"/>
        </w:rPr>
        <w:t>Nothing contained in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50"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Application of Money Collected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55"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67" w:lineRule="exact"/>
        <w:rPr>
          <w:sz w:val="20"/>
          <w:szCs w:val="20"/>
          <w:color w:val="auto"/>
        </w:rPr>
      </w:pPr>
    </w:p>
    <w:p>
      <w:pPr>
        <w:ind w:left="320" w:right="459" w:firstLine="753"/>
        <w:spacing w:after="0" w:line="255"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 or for the appointment of a receiver or trustee, or for any other remedy hereunder, unless:</w:t>
      </w:r>
    </w:p>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 such Holder has previously given written notice to the Trustee of a continuing Event of Default with respect to the Securities of that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Series;</w:t>
      </w:r>
    </w:p>
    <w:p>
      <w:pPr>
        <w:spacing w:after="0" w:line="156" w:lineRule="exact"/>
        <w:rPr>
          <w:sz w:val="20"/>
          <w:szCs w:val="20"/>
          <w:color w:val="auto"/>
        </w:rPr>
      </w:pPr>
    </w:p>
    <w:p>
      <w:pPr>
        <w:ind w:left="320" w:right="399" w:firstLine="752"/>
        <w:spacing w:after="0" w:line="266" w:lineRule="auto"/>
        <w:tabs>
          <w:tab w:leader="none" w:pos="126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77" w:name="page78"/>
    <w:bookmarkEnd w:id="77"/>
    <w:p>
      <w:pPr>
        <w:ind w:left="320" w:right="579" w:firstLine="752"/>
        <w:spacing w:after="0" w:line="266" w:lineRule="auto"/>
        <w:tabs>
          <w:tab w:leader="none" w:pos="125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such Holder or Holders have offered to the Trustee reasonable indemnity against the costs, expenses and liabilities to be incurred in compliance with such request;</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for 60 days after its receipt of such notice, request and offer of indemnity has failed to institute any such proceeding; and</w:t>
      </w:r>
    </w:p>
    <w:p>
      <w:pPr>
        <w:spacing w:after="0" w:line="178" w:lineRule="exact"/>
        <w:rPr>
          <w:rFonts w:ascii="Times New Roman" w:cs="Times New Roman" w:eastAsia="Times New Roman" w:hAnsi="Times New Roman"/>
          <w:sz w:val="13"/>
          <w:szCs w:val="13"/>
          <w:color w:val="auto"/>
        </w:rPr>
      </w:pPr>
    </w:p>
    <w:p>
      <w:pPr>
        <w:ind w:left="320" w:right="379" w:firstLine="752"/>
        <w:spacing w:after="0" w:line="250" w:lineRule="auto"/>
        <w:tabs>
          <w:tab w:leader="none" w:pos="125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Unconditional Right of Holders to Receive Principal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52"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Restoration of Rights and Remedies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77"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Rights and Remedies Cumulative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50"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52"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Control by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3"/>
        <w:spacing w:after="0" w:line="255" w:lineRule="auto"/>
        <w:rPr>
          <w:sz w:val="20"/>
          <w:szCs w:val="20"/>
          <w:color w:val="auto"/>
        </w:rPr>
      </w:pPr>
      <w:r>
        <w:rPr>
          <w:rFonts w:ascii="Times New Roman" w:cs="Times New Roman" w:eastAsia="Times New Roman" w:hAnsi="Times New Roman"/>
          <w:sz w:val="14"/>
          <w:szCs w:val="14"/>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43" w:lineRule="exact"/>
        <w:rPr>
          <w:sz w:val="20"/>
          <w:szCs w:val="20"/>
          <w:color w:val="auto"/>
        </w:rPr>
      </w:pPr>
    </w:p>
    <w:p>
      <w:pPr>
        <w:ind w:left="4440" w:right="3339" w:hanging="3368"/>
        <w:spacing w:after="0" w:line="435" w:lineRule="auto"/>
        <w:tabs>
          <w:tab w:leader="none" w:pos="126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direction shall not be in conflict with any rule of law or with this Indenture, 18</w:t>
      </w:r>
    </w:p>
    <w:p>
      <w:pPr>
        <w:sectPr>
          <w:pgSz w:w="11900" w:h="16838" w:orient="portrait"/>
          <w:cols w:equalWidth="0" w:num="1">
            <w:col w:w="9019"/>
          </w:cols>
          <w:pgMar w:left="1440" w:top="239" w:right="1440" w:bottom="1440" w:gutter="0" w:footer="0" w:header="0"/>
        </w:sectPr>
      </w:pPr>
    </w:p>
    <w:bookmarkStart w:id="78" w:name="page79"/>
    <w:bookmarkEnd w:id="78"/>
    <w:p>
      <w:pPr>
        <w:ind w:left="1260" w:hanging="188"/>
        <w:spacing w:after="0"/>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may take any other action deemed proper by the Trustee which is not inconsistent with such direction, and</w:t>
      </w:r>
    </w:p>
    <w:p>
      <w:pPr>
        <w:spacing w:after="0" w:line="167" w:lineRule="exact"/>
        <w:rPr>
          <w:rFonts w:ascii="Times New Roman" w:cs="Times New Roman" w:eastAsia="Times New Roman" w:hAnsi="Times New Roman"/>
          <w:sz w:val="14"/>
          <w:szCs w:val="14"/>
          <w:color w:val="auto"/>
        </w:rPr>
      </w:pPr>
    </w:p>
    <w:p>
      <w:pPr>
        <w:ind w:left="320" w:right="539" w:firstLine="752"/>
        <w:spacing w:after="0" w:line="305" w:lineRule="auto"/>
        <w:tabs>
          <w:tab w:leader="none" w:pos="1259"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8"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47"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752"/>
        <w:spacing w:after="0" w:line="255" w:lineRule="auto"/>
        <w:tabs>
          <w:tab w:leader="none" w:pos="125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167" w:lineRule="exact"/>
        <w:rPr>
          <w:rFonts w:ascii="Times New Roman" w:cs="Times New Roman" w:eastAsia="Times New Roman" w:hAnsi="Times New Roman"/>
          <w:sz w:val="14"/>
          <w:szCs w:val="14"/>
          <w:color w:val="auto"/>
        </w:rPr>
      </w:pPr>
    </w:p>
    <w:p>
      <w:pPr>
        <w:ind w:left="1580" w:hanging="173"/>
        <w:spacing w:after="0"/>
        <w:tabs>
          <w:tab w:leader="none" w:pos="15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w:t>
      </w:r>
    </w:p>
    <w:p>
      <w:pPr>
        <w:spacing w:after="0" w:line="167" w:lineRule="exact"/>
        <w:rPr>
          <w:rFonts w:ascii="Times New Roman" w:cs="Times New Roman" w:eastAsia="Times New Roman" w:hAnsi="Times New Roman"/>
          <w:sz w:val="14"/>
          <w:szCs w:val="14"/>
          <w:color w:val="auto"/>
        </w:rPr>
      </w:pPr>
    </w:p>
    <w:p>
      <w:pPr>
        <w:jc w:val="both"/>
        <w:ind w:left="320" w:right="399" w:firstLine="1087"/>
        <w:spacing w:after="0" w:line="250" w:lineRule="auto"/>
        <w:tabs>
          <w:tab w:leader="none" w:pos="1609"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79" w:name="page80"/>
    <w:bookmarkEnd w:id="79"/>
    <w:p>
      <w:pPr>
        <w:ind w:left="320" w:right="979" w:firstLine="752"/>
        <w:spacing w:after="0" w:line="266" w:lineRule="auto"/>
        <w:tabs>
          <w:tab w:leader="none" w:pos="125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may not be relieved from liability for its own negligent action, its own negligent failure to act or its own willful misconduct, except that:</w:t>
      </w:r>
    </w:p>
    <w:p>
      <w:pPr>
        <w:spacing w:after="0" w:line="135" w:lineRule="exact"/>
        <w:rPr>
          <w:rFonts w:ascii="Times New Roman" w:cs="Times New Roman" w:eastAsia="Times New Roman" w:hAnsi="Times New Roman"/>
          <w:sz w:val="14"/>
          <w:szCs w:val="14"/>
          <w:color w:val="auto"/>
        </w:rPr>
      </w:pPr>
    </w:p>
    <w:p>
      <w:pPr>
        <w:ind w:left="1580" w:hanging="173"/>
        <w:spacing w:after="0"/>
        <w:tabs>
          <w:tab w:leader="none" w:pos="15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does not limit the effect of paragraph (b) of this Section.</w:t>
      </w:r>
    </w:p>
    <w:p>
      <w:pPr>
        <w:spacing w:after="0" w:line="167" w:lineRule="exact"/>
        <w:rPr>
          <w:rFonts w:ascii="Times New Roman" w:cs="Times New Roman" w:eastAsia="Times New Roman" w:hAnsi="Times New Roman"/>
          <w:sz w:val="14"/>
          <w:szCs w:val="14"/>
          <w:color w:val="auto"/>
        </w:rPr>
      </w:pPr>
    </w:p>
    <w:p>
      <w:pPr>
        <w:ind w:left="320" w:right="379" w:firstLine="1087"/>
        <w:spacing w:after="0" w:line="266" w:lineRule="auto"/>
        <w:tabs>
          <w:tab w:leader="none" w:pos="1609"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 the pertinent facts.</w:t>
      </w:r>
    </w:p>
    <w:p>
      <w:pPr>
        <w:spacing w:after="0" w:line="135" w:lineRule="exact"/>
        <w:rPr>
          <w:rFonts w:ascii="Times New Roman" w:cs="Times New Roman" w:eastAsia="Times New Roman" w:hAnsi="Times New Roman"/>
          <w:sz w:val="14"/>
          <w:szCs w:val="14"/>
          <w:color w:val="auto"/>
        </w:rPr>
      </w:pPr>
    </w:p>
    <w:p>
      <w:pPr>
        <w:ind w:left="320" w:right="359" w:firstLine="1087"/>
        <w:spacing w:after="0" w:line="252" w:lineRule="auto"/>
        <w:tabs>
          <w:tab w:leader="none" w:pos="164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44"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provision of this Indenture that in any way relates to the Trustee is subject to paragraph (a), (b) and (c) of this Section.</w:t>
      </w:r>
    </w:p>
    <w:p>
      <w:pPr>
        <w:spacing w:after="0" w:line="167" w:lineRule="exact"/>
        <w:rPr>
          <w:rFonts w:ascii="Times New Roman" w:cs="Times New Roman" w:eastAsia="Times New Roman" w:hAnsi="Times New Roman"/>
          <w:sz w:val="14"/>
          <w:szCs w:val="14"/>
          <w:color w:val="auto"/>
        </w:rPr>
      </w:pPr>
    </w:p>
    <w:p>
      <w:pPr>
        <w:ind w:left="320" w:right="539" w:firstLine="752"/>
        <w:spacing w:after="0" w:line="266" w:lineRule="auto"/>
        <w:tabs>
          <w:tab w:leader="none" w:pos="125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refuse to perform any duty or exercise any right or power unless it receives indemnity satisfactory to it against any loss, liability or expense.</w:t>
      </w:r>
    </w:p>
    <w:p>
      <w:pPr>
        <w:spacing w:after="0" w:line="135" w:lineRule="exact"/>
        <w:rPr>
          <w:rFonts w:ascii="Times New Roman" w:cs="Times New Roman" w:eastAsia="Times New Roman" w:hAnsi="Times New Roman"/>
          <w:sz w:val="14"/>
          <w:szCs w:val="14"/>
          <w:color w:val="auto"/>
        </w:rPr>
      </w:pPr>
    </w:p>
    <w:p>
      <w:pPr>
        <w:ind w:left="320" w:right="479" w:firstLine="752"/>
        <w:spacing w:after="0" w:line="266" w:lineRule="auto"/>
        <w:tabs>
          <w:tab w:leader="none" w:pos="124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5" w:lineRule="exact"/>
        <w:rPr>
          <w:rFonts w:ascii="Times New Roman" w:cs="Times New Roman" w:eastAsia="Times New Roman" w:hAnsi="Times New Roman"/>
          <w:sz w:val="14"/>
          <w:szCs w:val="14"/>
          <w:color w:val="auto"/>
        </w:rPr>
      </w:pPr>
    </w:p>
    <w:p>
      <w:pPr>
        <w:ind w:left="320" w:right="379" w:firstLine="752"/>
        <w:spacing w:after="0" w:line="255" w:lineRule="auto"/>
        <w:tabs>
          <w:tab w:leader="none" w:pos="1267"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43" w:lineRule="exact"/>
        <w:rPr>
          <w:rFonts w:ascii="Times New Roman" w:cs="Times New Roman" w:eastAsia="Times New Roman" w:hAnsi="Times New Roman"/>
          <w:sz w:val="14"/>
          <w:szCs w:val="14"/>
          <w:color w:val="auto"/>
        </w:rPr>
      </w:pPr>
    </w:p>
    <w:p>
      <w:pPr>
        <w:ind w:left="320" w:right="339" w:firstLine="752"/>
        <w:spacing w:after="0" w:line="266" w:lineRule="auto"/>
        <w:tabs>
          <w:tab w:leader="none" w:pos="1267"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Paying Agent, the Registrar and any authenticating agent shall be entitled to the protections, immunities and standard of care as are set forth in paragraphs (a), (b) and (c) of this Section with respect to the Trustee.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19" w:firstLine="752"/>
        <w:spacing w:after="0" w:line="255" w:lineRule="auto"/>
        <w:tabs>
          <w:tab w:leader="none" w:pos="125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on and shall be protected in acting or refraining from acting upon any document (whether in its original, electronic or facsimile form) believed by it to be genuine and to have been signed or presented by the proper person. The Trustee need not investigate any fact or matter stated in the document.</w:t>
      </w:r>
    </w:p>
    <w:p>
      <w:pPr>
        <w:spacing w:after="0" w:line="143" w:lineRule="exact"/>
        <w:rPr>
          <w:rFonts w:ascii="Times New Roman" w:cs="Times New Roman" w:eastAsia="Times New Roman" w:hAnsi="Times New Roman"/>
          <w:sz w:val="14"/>
          <w:szCs w:val="14"/>
          <w:color w:val="auto"/>
        </w:rPr>
      </w:pPr>
    </w:p>
    <w:p>
      <w:pPr>
        <w:ind w:left="320" w:right="439" w:firstLine="752"/>
        <w:spacing w:after="0" w:line="266" w:lineRule="auto"/>
        <w:tabs>
          <w:tab w:leader="none" w:pos="126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an Officers’ Certificate or an Opinion of Counsel. The Trustee shall not be liable for any action it takes or omits to take in good faith in reliance on such Officers’ Certificate or Opinion of Counsel.</w:t>
      </w:r>
    </w:p>
    <w:p>
      <w:pPr>
        <w:spacing w:after="0" w:line="135" w:lineRule="exact"/>
        <w:rPr>
          <w:rFonts w:ascii="Times New Roman" w:cs="Times New Roman" w:eastAsia="Times New Roman" w:hAnsi="Times New Roman"/>
          <w:sz w:val="14"/>
          <w:szCs w:val="14"/>
          <w:color w:val="auto"/>
        </w:rPr>
      </w:pPr>
    </w:p>
    <w:p>
      <w:pPr>
        <w:ind w:left="320" w:right="619" w:firstLine="752"/>
        <w:spacing w:after="0" w:line="305" w:lineRule="auto"/>
        <w:tabs>
          <w:tab w:leader="none" w:pos="1259"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12" w:lineRule="exact"/>
        <w:rPr>
          <w:rFonts w:ascii="Times New Roman" w:cs="Times New Roman" w:eastAsia="Times New Roman" w:hAnsi="Times New Roman"/>
          <w:sz w:val="13"/>
          <w:szCs w:val="13"/>
          <w:color w:val="auto"/>
        </w:rPr>
      </w:pPr>
    </w:p>
    <w:p>
      <w:pPr>
        <w:ind w:left="320" w:right="339" w:firstLine="752"/>
        <w:spacing w:after="0" w:line="266" w:lineRule="auto"/>
        <w:tabs>
          <w:tab w:leader="none" w:pos="126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believes to be authorized or within its rights or powers, provided that the Trustee’s conduct does not constitute willful misconduct, negligence or bad faith.</w:t>
      </w:r>
    </w:p>
    <w:p>
      <w:pPr>
        <w:spacing w:after="0" w:line="135" w:lineRule="exact"/>
        <w:rPr>
          <w:rFonts w:ascii="Times New Roman" w:cs="Times New Roman" w:eastAsia="Times New Roman" w:hAnsi="Times New Roman"/>
          <w:sz w:val="14"/>
          <w:szCs w:val="14"/>
          <w:color w:val="auto"/>
        </w:rPr>
      </w:pPr>
    </w:p>
    <w:p>
      <w:pPr>
        <w:ind w:left="320" w:right="579" w:firstLine="752"/>
        <w:spacing w:after="0" w:line="255" w:lineRule="auto"/>
        <w:tabs>
          <w:tab w:leader="none" w:pos="125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good faith and in reliance thereon.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80" w:name="page81"/>
    <w:bookmarkEnd w:id="80"/>
    <w:p>
      <w:pPr>
        <w:ind w:left="320" w:right="359" w:firstLine="752"/>
        <w:spacing w:after="0" w:line="255" w:lineRule="auto"/>
        <w:tabs>
          <w:tab w:leader="none" w:pos="124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143" w:lineRule="exact"/>
        <w:rPr>
          <w:rFonts w:ascii="Times New Roman" w:cs="Times New Roman" w:eastAsia="Times New Roman" w:hAnsi="Times New Roman"/>
          <w:sz w:val="14"/>
          <w:szCs w:val="14"/>
          <w:color w:val="auto"/>
        </w:rPr>
      </w:pPr>
    </w:p>
    <w:p>
      <w:pPr>
        <w:ind w:left="320" w:right="419" w:firstLine="752"/>
        <w:spacing w:after="0" w:line="255" w:lineRule="auto"/>
        <w:tabs>
          <w:tab w:leader="none" w:pos="126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3" w:lineRule="exact"/>
        <w:rPr>
          <w:rFonts w:ascii="Times New Roman" w:cs="Times New Roman" w:eastAsia="Times New Roman" w:hAnsi="Times New Roman"/>
          <w:sz w:val="14"/>
          <w:szCs w:val="14"/>
          <w:color w:val="auto"/>
        </w:rPr>
      </w:pPr>
    </w:p>
    <w:p>
      <w:pPr>
        <w:ind w:left="320" w:right="439" w:firstLine="752"/>
        <w:spacing w:after="0" w:line="255" w:lineRule="auto"/>
        <w:tabs>
          <w:tab w:leader="none" w:pos="126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Individual 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79" w:firstLine="753"/>
        <w:spacing w:after="0" w:line="255"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39" w:firstLine="753"/>
        <w:spacing w:after="0" w:line="305" w:lineRule="auto"/>
        <w:rPr>
          <w:sz w:val="20"/>
          <w:szCs w:val="20"/>
          <w:color w:val="auto"/>
        </w:rPr>
      </w:pPr>
      <w:r>
        <w:rPr>
          <w:rFonts w:ascii="Times New Roman" w:cs="Times New Roman" w:eastAsia="Times New Roman" w:hAnsi="Times New Roman"/>
          <w:sz w:val="13"/>
          <w:szCs w:val="13"/>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9"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Reports by Trustee to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66" w:lineRule="auto"/>
        <w:rPr>
          <w:sz w:val="20"/>
          <w:szCs w:val="20"/>
          <w:color w:val="auto"/>
        </w:rPr>
      </w:pPr>
      <w:r>
        <w:rPr>
          <w:rFonts w:ascii="Times New Roman" w:cs="Times New Roman" w:eastAsia="Times New Roman" w:hAnsi="Times New Roman"/>
          <w:sz w:val="14"/>
          <w:szCs w:val="14"/>
          <w:color w:val="auto"/>
        </w:rPr>
        <w:t>Within 60 days after May 15 in each year, the Trustee shall transmit by mail to all Securityholders, as their names and addresses appear on the register kept by the Registrar, a brief report dated as of such May 15, in accordance with, and to the extent required under, TIA § 313.</w:t>
      </w:r>
    </w:p>
    <w:p>
      <w:pPr>
        <w:spacing w:after="0" w:line="136" w:lineRule="exact"/>
        <w:rPr>
          <w:sz w:val="20"/>
          <w:szCs w:val="20"/>
          <w:color w:val="auto"/>
        </w:rPr>
      </w:pPr>
    </w:p>
    <w:p>
      <w:pPr>
        <w:ind w:left="320" w:right="539" w:firstLine="753"/>
        <w:spacing w:after="0" w:line="255" w:lineRule="auto"/>
        <w:rPr>
          <w:sz w:val="20"/>
          <w:szCs w:val="20"/>
          <w:color w:val="auto"/>
        </w:rPr>
      </w:pPr>
      <w:r>
        <w:rPr>
          <w:rFonts w:ascii="Times New Roman" w:cs="Times New Roman" w:eastAsia="Times New Roman" w:hAnsi="Times New Roman"/>
          <w:sz w:val="14"/>
          <w:szCs w:val="14"/>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52"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81" w:name="page82"/>
    <w:bookmarkEnd w:id="81"/>
    <w:p>
      <w:pPr>
        <w:ind w:left="320" w:right="399" w:firstLine="75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9" w:lineRule="exact"/>
        <w:rPr>
          <w:sz w:val="20"/>
          <w:szCs w:val="20"/>
          <w:color w:val="auto"/>
        </w:rPr>
      </w:pPr>
    </w:p>
    <w:p>
      <w:pPr>
        <w:ind w:left="320" w:right="359" w:firstLine="753"/>
        <w:spacing w:after="0" w:line="266"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willful misconduct, negligence or bad faith.</w:t>
      </w:r>
    </w:p>
    <w:p>
      <w:pPr>
        <w:spacing w:after="0" w:line="136" w:lineRule="exact"/>
        <w:rPr>
          <w:sz w:val="20"/>
          <w:szCs w:val="20"/>
          <w:color w:val="auto"/>
        </w:rPr>
      </w:pPr>
    </w:p>
    <w:p>
      <w:pPr>
        <w:ind w:left="320" w:right="699" w:firstLine="753"/>
        <w:spacing w:after="0" w:line="305" w:lineRule="auto"/>
        <w:rPr>
          <w:sz w:val="20"/>
          <w:szCs w:val="20"/>
          <w:color w:val="auto"/>
        </w:rPr>
      </w:pPr>
      <w:r>
        <w:rPr>
          <w:rFonts w:ascii="Times New Roman" w:cs="Times New Roman" w:eastAsia="Times New Roman" w:hAnsi="Times New Roman"/>
          <w:sz w:val="13"/>
          <w:szCs w:val="13"/>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12" w:lineRule="exact"/>
        <w:rPr>
          <w:sz w:val="20"/>
          <w:szCs w:val="20"/>
          <w:color w:val="auto"/>
        </w:rPr>
      </w:pPr>
    </w:p>
    <w:p>
      <w:pPr>
        <w:ind w:left="320" w:right="439" w:firstLine="753"/>
        <w:spacing w:after="0" w:line="266"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753"/>
        <w:spacing w:after="0" w:line="266" w:lineRule="auto"/>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 Section.</w:t>
      </w:r>
    </w:p>
    <w:p>
      <w:pPr>
        <w:spacing w:after="0" w:line="136" w:lineRule="exact"/>
        <w:rPr>
          <w:sz w:val="20"/>
          <w:szCs w:val="20"/>
          <w:color w:val="auto"/>
        </w:rPr>
      </w:pPr>
    </w:p>
    <w:p>
      <w:pPr>
        <w:ind w:left="320" w:right="419" w:firstLine="753"/>
        <w:spacing w:after="0" w:line="284" w:lineRule="auto"/>
        <w:rPr>
          <w:sz w:val="20"/>
          <w:szCs w:val="20"/>
          <w:color w:val="auto"/>
        </w:rPr>
      </w:pPr>
      <w:r>
        <w:rPr>
          <w:rFonts w:ascii="Times New Roman" w:cs="Times New Roman" w:eastAsia="Times New Roman" w:hAnsi="Times New Roman"/>
          <w:sz w:val="13"/>
          <w:szCs w:val="13"/>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26" w:lineRule="exact"/>
        <w:rPr>
          <w:sz w:val="20"/>
          <w:szCs w:val="20"/>
          <w:color w:val="auto"/>
        </w:rPr>
      </w:pPr>
    </w:p>
    <w:p>
      <w:pPr>
        <w:ind w:left="1260" w:hanging="188"/>
        <w:spacing w:after="0"/>
        <w:tabs>
          <w:tab w:leader="none" w:pos="1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7.10;</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a bankrupt or an insolvent or an order for relief is entered with respect to the Trustee under any Bankruptcy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Law;</w:t>
      </w:r>
    </w:p>
    <w:p>
      <w:pPr>
        <w:spacing w:after="0" w:line="156" w:lineRule="exact"/>
        <w:rPr>
          <w:sz w:val="20"/>
          <w:szCs w:val="20"/>
          <w:color w:val="auto"/>
        </w:rPr>
      </w:pPr>
    </w:p>
    <w:p>
      <w:pPr>
        <w:ind w:left="1260" w:hanging="188"/>
        <w:spacing w:after="0"/>
        <w:tabs>
          <w:tab w:leader="none" w:pos="1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public officer takes charge of the Trustee or its property; or</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167" w:lineRule="exact"/>
        <w:rPr>
          <w:sz w:val="20"/>
          <w:szCs w:val="20"/>
          <w:color w:val="auto"/>
        </w:rPr>
      </w:pPr>
    </w:p>
    <w:p>
      <w:pPr>
        <w:ind w:left="320" w:right="559" w:firstLine="753"/>
        <w:spacing w:after="0" w:line="255"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43" w:lineRule="exact"/>
        <w:rPr>
          <w:sz w:val="20"/>
          <w:szCs w:val="20"/>
          <w:color w:val="auto"/>
        </w:rPr>
      </w:pPr>
    </w:p>
    <w:p>
      <w:pPr>
        <w:ind w:left="320" w:right="399" w:firstLine="753"/>
        <w:spacing w:after="0" w:line="255" w:lineRule="auto"/>
        <w:rPr>
          <w:sz w:val="20"/>
          <w:szCs w:val="20"/>
          <w:color w:val="auto"/>
        </w:rPr>
      </w:pPr>
      <w:r>
        <w:rPr>
          <w:rFonts w:ascii="Times New Roman" w:cs="Times New Roman" w:eastAsia="Times New Roman" w:hAnsi="Times New Roman"/>
          <w:sz w:val="14"/>
          <w:szCs w:val="14"/>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82" w:name="page83"/>
    <w:bookmarkEnd w:id="82"/>
    <w:p>
      <w:pPr>
        <w:ind w:left="320" w:right="359" w:firstLine="753"/>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19" w:firstLine="753"/>
        <w:spacing w:after="0" w:line="266" w:lineRule="auto"/>
        <w:rPr>
          <w:sz w:val="20"/>
          <w:szCs w:val="20"/>
          <w:color w:val="auto"/>
        </w:rPr>
      </w:pPr>
      <w:r>
        <w:rPr>
          <w:rFonts w:ascii="Times New Roman" w:cs="Times New Roman" w:eastAsia="Times New Roman" w:hAnsi="Times New Roman"/>
          <w:sz w:val="14"/>
          <w:szCs w:val="14"/>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$100,000,000 as set forth in its most recent published annual report of condition. The Trustee shall comply with TIA § 310(b).</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Preferential Collection of Claims Against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19" w:firstLine="753"/>
        <w:spacing w:after="0" w:line="266" w:lineRule="auto"/>
        <w:rPr>
          <w:sz w:val="20"/>
          <w:szCs w:val="20"/>
          <w:color w:val="auto"/>
        </w:rPr>
      </w:pPr>
      <w:r>
        <w:rPr>
          <w:rFonts w:ascii="Times New Roman" w:cs="Times New Roman" w:eastAsia="Times New Roman" w:hAnsi="Times New Roman"/>
          <w:sz w:val="14"/>
          <w:szCs w:val="14"/>
          <w:color w:val="auto"/>
        </w:rPr>
        <w:t>The Trustee is subject to TIA § 311(a), excluding any creditor relationship listed in TIA § 311(b). A Trustee who has resigned or been removed shall be subject to TIA § 311(a) to the extent indicated.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66" w:lineRule="auto"/>
        <w:rPr>
          <w:sz w:val="20"/>
          <w:szCs w:val="20"/>
          <w:color w:val="auto"/>
        </w:rPr>
      </w:pPr>
      <w:r>
        <w:rPr>
          <w:rFonts w:ascii="Times New Roman" w:cs="Times New Roman" w:eastAsia="Times New Roman" w:hAnsi="Times New Roman"/>
          <w:sz w:val="14"/>
          <w:szCs w:val="14"/>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36" w:lineRule="exact"/>
        <w:rPr>
          <w:sz w:val="20"/>
          <w:szCs w:val="20"/>
          <w:color w:val="auto"/>
        </w:rPr>
      </w:pPr>
    </w:p>
    <w:p>
      <w:pPr>
        <w:ind w:left="1260" w:hanging="188"/>
        <w:spacing w:after="0"/>
        <w:tabs>
          <w:tab w:leader="none" w:pos="1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67" w:lineRule="exact"/>
        <w:rPr>
          <w:rFonts w:ascii="Times New Roman" w:cs="Times New Roman" w:eastAsia="Times New Roman" w:hAnsi="Times New Roman"/>
          <w:sz w:val="14"/>
          <w:szCs w:val="14"/>
          <w:color w:val="auto"/>
        </w:rPr>
      </w:pPr>
    </w:p>
    <w:p>
      <w:pPr>
        <w:ind w:left="320" w:right="439" w:firstLine="1087"/>
        <w:spacing w:after="0" w:line="266" w:lineRule="auto"/>
        <w:tabs>
          <w:tab w:leader="none" w:pos="157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theretofore authenticated and delivered (other than Securities that have been destroyed, lost or stolen and that have been replaced or paid) have been delivered to the Trustee for cancellation; or</w:t>
      </w:r>
    </w:p>
    <w:p>
      <w:pPr>
        <w:spacing w:after="0" w:line="135" w:lineRule="exact"/>
        <w:rPr>
          <w:rFonts w:ascii="Times New Roman" w:cs="Times New Roman" w:eastAsia="Times New Roman" w:hAnsi="Times New Roman"/>
          <w:sz w:val="14"/>
          <w:szCs w:val="14"/>
          <w:color w:val="auto"/>
        </w:rPr>
      </w:pPr>
    </w:p>
    <w:p>
      <w:pPr>
        <w:ind w:left="1600" w:hanging="193"/>
        <w:spacing w:after="0"/>
        <w:tabs>
          <w:tab w:leader="none" w:pos="16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not theretofore delivered to the Trustee for cancellation</w:t>
      </w:r>
    </w:p>
    <w:p>
      <w:pPr>
        <w:spacing w:after="0" w:line="167" w:lineRule="exact"/>
        <w:rPr>
          <w:rFonts w:ascii="Times New Roman" w:cs="Times New Roman" w:eastAsia="Times New Roman" w:hAnsi="Times New Roman"/>
          <w:sz w:val="14"/>
          <w:szCs w:val="14"/>
          <w:color w:val="auto"/>
        </w:rPr>
      </w:pPr>
    </w:p>
    <w:p>
      <w:pPr>
        <w:ind w:left="2020" w:hanging="195"/>
        <w:spacing w:after="0"/>
        <w:tabs>
          <w:tab w:leader="none" w:pos="202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67" w:lineRule="exact"/>
        <w:rPr>
          <w:rFonts w:ascii="Times New Roman" w:cs="Times New Roman" w:eastAsia="Times New Roman" w:hAnsi="Times New Roman"/>
          <w:sz w:val="14"/>
          <w:szCs w:val="14"/>
          <w:color w:val="auto"/>
        </w:rPr>
      </w:pPr>
    </w:p>
    <w:p>
      <w:pPr>
        <w:ind w:left="2020" w:hanging="195"/>
        <w:spacing w:after="0"/>
        <w:tabs>
          <w:tab w:leader="none" w:pos="202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67" w:lineRule="exact"/>
        <w:rPr>
          <w:rFonts w:ascii="Times New Roman" w:cs="Times New Roman" w:eastAsia="Times New Roman" w:hAnsi="Times New Roman"/>
          <w:sz w:val="14"/>
          <w:szCs w:val="14"/>
          <w:color w:val="auto"/>
        </w:rPr>
      </w:pPr>
    </w:p>
    <w:p>
      <w:pPr>
        <w:ind w:left="320" w:right="359" w:firstLine="1505"/>
        <w:spacing w:after="0" w:line="266" w:lineRule="auto"/>
        <w:tabs>
          <w:tab w:leader="none" w:pos="202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5" w:lineRule="exact"/>
        <w:rPr>
          <w:rFonts w:ascii="Times New Roman" w:cs="Times New Roman" w:eastAsia="Times New Roman" w:hAnsi="Times New Roman"/>
          <w:sz w:val="14"/>
          <w:szCs w:val="14"/>
          <w:color w:val="auto"/>
        </w:rPr>
      </w:pPr>
    </w:p>
    <w:p>
      <w:pPr>
        <w:ind w:left="2020" w:hanging="195"/>
        <w:spacing w:after="0"/>
        <w:tabs>
          <w:tab w:leader="none" w:pos="202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deemed paid and discharged pursuant to Section 8.3, as applicable;</w:t>
      </w:r>
    </w:p>
    <w:p>
      <w:pPr>
        <w:spacing w:after="0" w:line="167"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and the Company, in the case of (1), (2) or (3)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83" w:name="page84"/>
    <w:bookmarkEnd w:id="83"/>
    <w:p>
      <w:pPr>
        <w:ind w:left="1260" w:hanging="188"/>
        <w:spacing w:after="0"/>
        <w:tabs>
          <w:tab w:leader="none" w:pos="1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has paid or caused to be paid all other sums payable hereunder by the Company; and</w:t>
      </w:r>
    </w:p>
    <w:p>
      <w:pPr>
        <w:spacing w:after="0" w:line="167" w:lineRule="exact"/>
        <w:rPr>
          <w:rFonts w:ascii="Times New Roman" w:cs="Times New Roman" w:eastAsia="Times New Roman" w:hAnsi="Times New Roman"/>
          <w:sz w:val="14"/>
          <w:szCs w:val="14"/>
          <w:color w:val="auto"/>
        </w:rPr>
      </w:pPr>
    </w:p>
    <w:p>
      <w:pPr>
        <w:ind w:left="320" w:right="379" w:firstLine="752"/>
        <w:spacing w:after="0" w:line="266" w:lineRule="auto"/>
        <w:tabs>
          <w:tab w:leader="none" w:pos="125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6" w:lineRule="exact"/>
        <w:rPr>
          <w:sz w:val="20"/>
          <w:szCs w:val="20"/>
          <w:color w:val="auto"/>
        </w:rPr>
      </w:pPr>
    </w:p>
    <w:p>
      <w:pPr>
        <w:ind w:left="320" w:right="339" w:firstLine="753"/>
        <w:spacing w:after="0" w:line="305" w:lineRule="auto"/>
        <w:rPr>
          <w:sz w:val="20"/>
          <w:szCs w:val="20"/>
          <w:color w:val="auto"/>
        </w:rPr>
      </w:pPr>
      <w:r>
        <w:rPr>
          <w:rFonts w:ascii="Times New Roman" w:cs="Times New Roman" w:eastAsia="Times New Roman" w:hAnsi="Times New Roman"/>
          <w:sz w:val="13"/>
          <w:szCs w:val="13"/>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Application of Trust Funds; Indemnification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2"/>
        <w:spacing w:after="0" w:line="248" w:lineRule="auto"/>
        <w:tabs>
          <w:tab w:leader="none" w:pos="125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48" w:lineRule="exact"/>
        <w:rPr>
          <w:rFonts w:ascii="Times New Roman" w:cs="Times New Roman" w:eastAsia="Times New Roman" w:hAnsi="Times New Roman"/>
          <w:sz w:val="14"/>
          <w:szCs w:val="14"/>
          <w:color w:val="auto"/>
        </w:rPr>
      </w:pPr>
    </w:p>
    <w:p>
      <w:pPr>
        <w:ind w:left="320" w:right="339" w:firstLine="752"/>
        <w:spacing w:after="0" w:line="255" w:lineRule="auto"/>
        <w:tabs>
          <w:tab w:leader="none" w:pos="126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43" w:lineRule="exact"/>
        <w:rPr>
          <w:rFonts w:ascii="Times New Roman" w:cs="Times New Roman" w:eastAsia="Times New Roman" w:hAnsi="Times New Roman"/>
          <w:sz w:val="14"/>
          <w:szCs w:val="14"/>
          <w:color w:val="auto"/>
        </w:rPr>
      </w:pPr>
    </w:p>
    <w:p>
      <w:pPr>
        <w:ind w:left="320" w:right="419" w:firstLine="752"/>
        <w:spacing w:after="0" w:line="249" w:lineRule="auto"/>
        <w:tabs>
          <w:tab w:leader="none" w:pos="125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Legal Defeasance of Securities of any Series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50" w:lineRule="auto"/>
        <w:rPr>
          <w:sz w:val="20"/>
          <w:szCs w:val="20"/>
          <w:color w:val="auto"/>
        </w:rPr>
      </w:pPr>
      <w:r>
        <w:rPr>
          <w:rFonts w:ascii="Times New Roman" w:cs="Times New Roman" w:eastAsia="Times New Roman" w:hAnsi="Times New Roman"/>
          <w:sz w:val="14"/>
          <w:szCs w:val="14"/>
          <w:color w:val="auto"/>
        </w:rPr>
        <w:t>Unless this Section 8.3 is otherwise specified, pursuant to Section 2.2.20,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46" w:lineRule="exact"/>
        <w:rPr>
          <w:sz w:val="20"/>
          <w:szCs w:val="20"/>
          <w:color w:val="auto"/>
        </w:rPr>
      </w:pPr>
    </w:p>
    <w:p>
      <w:pPr>
        <w:ind w:left="320" w:right="479" w:firstLine="753"/>
        <w:spacing w:after="0" w:line="266" w:lineRule="auto"/>
        <w:rPr>
          <w:sz w:val="20"/>
          <w:szCs w:val="20"/>
          <w:color w:val="auto"/>
        </w:rPr>
      </w:pPr>
      <w:r>
        <w:rPr>
          <w:rFonts w:ascii="Times New Roman" w:cs="Times New Roman" w:eastAsia="Times New Roman" w:hAnsi="Times New Roman"/>
          <w:sz w:val="14"/>
          <w:szCs w:val="14"/>
          <w:color w:val="auto"/>
        </w:rPr>
        <w:t>the rights of Holders of Securities of such Series to receive, from the trust funds described in subparagraph (d) hereof, (i) payment of the principal of and each installment of principal of and</w:t>
      </w:r>
    </w:p>
    <w:p>
      <w:pPr>
        <w:spacing w:after="0" w:line="136" w:lineRule="exact"/>
        <w:rPr>
          <w:sz w:val="20"/>
          <w:szCs w:val="20"/>
          <w:color w:val="auto"/>
        </w:rPr>
      </w:pPr>
    </w:p>
    <w:p>
      <w:pPr>
        <w:ind w:left="1260" w:hanging="188"/>
        <w:spacing w:after="0"/>
        <w:tabs>
          <w:tab w:leader="none" w:pos="1260"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on the outstanding Securities of such Series on the Stated Maturity of such principal or installment of principal or interest and</w:t>
      </w:r>
    </w:p>
    <w:p>
      <w:pPr>
        <w:spacing w:after="0" w:line="26" w:lineRule="exact"/>
        <w:rPr>
          <w:rFonts w:ascii="Times New Roman" w:cs="Times New Roman" w:eastAsia="Times New Roman" w:hAnsi="Times New Roman"/>
          <w:sz w:val="13"/>
          <w:szCs w:val="13"/>
          <w:color w:val="auto"/>
        </w:rPr>
      </w:pPr>
    </w:p>
    <w:p>
      <w:pPr>
        <w:ind w:left="320" w:right="679" w:hanging="1"/>
        <w:spacing w:after="0" w:line="249" w:lineRule="auto"/>
        <w:tabs>
          <w:tab w:leader="none" w:pos="521"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 of any mandatory sinking fund payments applicable to the Securities of such Series on the day on which such payments are due and payable in accordance with the terms of this Indenture and the Securities of such Series;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84" w:name="page85"/>
    <w:bookmarkEnd w:id="84"/>
    <w:p>
      <w:pPr>
        <w:ind w:left="1260" w:hanging="188"/>
        <w:spacing w:after="0"/>
        <w:tabs>
          <w:tab w:leader="none" w:pos="1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provisions of Sections 2.4, 2.7, 2.8, 8.2, 8.3 and 8.5; and</w:t>
      </w:r>
    </w:p>
    <w:p>
      <w:pPr>
        <w:spacing w:after="0" w:line="167" w:lineRule="exact"/>
        <w:rPr>
          <w:rFonts w:ascii="Times New Roman" w:cs="Times New Roman" w:eastAsia="Times New Roman" w:hAnsi="Times New Roman"/>
          <w:sz w:val="14"/>
          <w:szCs w:val="14"/>
          <w:color w:val="auto"/>
        </w:rPr>
      </w:pPr>
    </w:p>
    <w:p>
      <w:pPr>
        <w:ind w:left="320" w:right="4179" w:firstLine="752"/>
        <w:spacing w:after="0" w:line="489" w:lineRule="auto"/>
        <w:tabs>
          <w:tab w:leader="none" w:pos="125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rights, powers, trust and immunities of the Trustee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following conditions shall have been satisfied:</w:t>
      </w:r>
    </w:p>
    <w:p>
      <w:pPr>
        <w:ind w:left="320" w:right="339" w:firstLine="752"/>
        <w:spacing w:after="0" w:line="268" w:lineRule="auto"/>
        <w:tabs>
          <w:tab w:leader="none" w:pos="126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38" w:lineRule="exact"/>
        <w:rPr>
          <w:rFonts w:ascii="Times New Roman" w:cs="Times New Roman" w:eastAsia="Times New Roman" w:hAnsi="Times New Roman"/>
          <w:sz w:val="13"/>
          <w:szCs w:val="13"/>
          <w:color w:val="auto"/>
        </w:rPr>
      </w:pPr>
    </w:p>
    <w:p>
      <w:pPr>
        <w:ind w:left="320" w:right="359" w:firstLine="752"/>
        <w:spacing w:after="0" w:line="266" w:lineRule="auto"/>
        <w:tabs>
          <w:tab w:leader="none" w:pos="125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35" w:lineRule="exact"/>
        <w:rPr>
          <w:rFonts w:ascii="Times New Roman" w:cs="Times New Roman" w:eastAsia="Times New Roman" w:hAnsi="Times New Roman"/>
          <w:sz w:val="14"/>
          <w:szCs w:val="14"/>
          <w:color w:val="auto"/>
        </w:rPr>
      </w:pPr>
    </w:p>
    <w:p>
      <w:pPr>
        <w:ind w:left="320" w:right="519" w:firstLine="752"/>
        <w:spacing w:after="0" w:line="266" w:lineRule="auto"/>
        <w:tabs>
          <w:tab w:leader="none" w:pos="124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 deposit or during the period ending on the 91st day after such date;</w:t>
      </w:r>
    </w:p>
    <w:p>
      <w:pPr>
        <w:spacing w:after="0" w:line="135" w:lineRule="exact"/>
        <w:rPr>
          <w:rFonts w:ascii="Times New Roman" w:cs="Times New Roman" w:eastAsia="Times New Roman" w:hAnsi="Times New Roman"/>
          <w:sz w:val="14"/>
          <w:szCs w:val="14"/>
          <w:color w:val="auto"/>
        </w:rPr>
      </w:pPr>
    </w:p>
    <w:p>
      <w:pPr>
        <w:ind w:left="320" w:right="459" w:firstLine="752"/>
        <w:spacing w:after="0" w:line="249" w:lineRule="auto"/>
        <w:tabs>
          <w:tab w:leader="none" w:pos="126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46" w:lineRule="exact"/>
        <w:rPr>
          <w:rFonts w:ascii="Times New Roman" w:cs="Times New Roman" w:eastAsia="Times New Roman" w:hAnsi="Times New Roman"/>
          <w:sz w:val="14"/>
          <w:szCs w:val="14"/>
          <w:color w:val="auto"/>
        </w:rPr>
      </w:pPr>
    </w:p>
    <w:p>
      <w:pPr>
        <w:ind w:left="320" w:right="339" w:firstLine="752"/>
        <w:spacing w:after="0" w:line="255" w:lineRule="auto"/>
        <w:tabs>
          <w:tab w:leader="none" w:pos="126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43" w:lineRule="exact"/>
        <w:rPr>
          <w:rFonts w:ascii="Times New Roman" w:cs="Times New Roman" w:eastAsia="Times New Roman" w:hAnsi="Times New Roman"/>
          <w:sz w:val="14"/>
          <w:szCs w:val="14"/>
          <w:color w:val="auto"/>
        </w:rPr>
      </w:pPr>
    </w:p>
    <w:p>
      <w:pPr>
        <w:ind w:left="320" w:right="599" w:firstLine="752"/>
        <w:spacing w:after="0" w:line="266" w:lineRule="auto"/>
        <w:tabs>
          <w:tab w:leader="none" w:pos="123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48"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2.2.20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2.2.20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85" w:name="page86"/>
    <w:bookmarkEnd w:id="85"/>
    <w:p>
      <w:pPr>
        <w:ind w:left="320" w:right="379" w:firstLine="752"/>
        <w:spacing w:after="0" w:line="247" w:lineRule="auto"/>
        <w:tabs>
          <w:tab w:leader="none" w:pos="125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48" w:lineRule="exact"/>
        <w:rPr>
          <w:rFonts w:ascii="Times New Roman" w:cs="Times New Roman" w:eastAsia="Times New Roman" w:hAnsi="Times New Roman"/>
          <w:sz w:val="14"/>
          <w:szCs w:val="14"/>
          <w:color w:val="auto"/>
        </w:rPr>
      </w:pPr>
    </w:p>
    <w:p>
      <w:pPr>
        <w:ind w:left="320" w:right="939" w:firstLine="752"/>
        <w:spacing w:after="0" w:line="266" w:lineRule="auto"/>
        <w:tabs>
          <w:tab w:leader="none" w:pos="126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 such</w:t>
      </w:r>
    </w:p>
    <w:p>
      <w:pPr>
        <w:spacing w:after="0" w:line="26" w:lineRule="exact"/>
        <w:rPr>
          <w:rFonts w:ascii="Times New Roman" w:cs="Times New Roman" w:eastAsia="Times New Roman" w:hAnsi="Times New Roman"/>
          <w:sz w:val="13"/>
          <w:szCs w:val="13"/>
          <w:color w:val="auto"/>
        </w:rPr>
      </w:pP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deposit;</w:t>
      </w:r>
    </w:p>
    <w:p>
      <w:pPr>
        <w:spacing w:after="0" w:line="155" w:lineRule="exact"/>
        <w:rPr>
          <w:rFonts w:ascii="Times New Roman" w:cs="Times New Roman" w:eastAsia="Times New Roman" w:hAnsi="Times New Roman"/>
          <w:sz w:val="13"/>
          <w:szCs w:val="13"/>
          <w:color w:val="auto"/>
        </w:rPr>
      </w:pPr>
    </w:p>
    <w:p>
      <w:pPr>
        <w:ind w:left="320" w:right="419" w:firstLine="752"/>
        <w:spacing w:after="0" w:line="252" w:lineRule="auto"/>
        <w:tabs>
          <w:tab w:leader="none" w:pos="126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4" w:lineRule="exact"/>
        <w:rPr>
          <w:rFonts w:ascii="Times New Roman" w:cs="Times New Roman" w:eastAsia="Times New Roman" w:hAnsi="Times New Roman"/>
          <w:sz w:val="14"/>
          <w:szCs w:val="14"/>
          <w:color w:val="auto"/>
        </w:rPr>
      </w:pPr>
    </w:p>
    <w:p>
      <w:pPr>
        <w:ind w:left="320" w:right="539" w:firstLine="752"/>
        <w:spacing w:after="0" w:line="255" w:lineRule="auto"/>
        <w:tabs>
          <w:tab w:leader="none" w:pos="125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43" w:lineRule="exact"/>
        <w:rPr>
          <w:rFonts w:ascii="Times New Roman" w:cs="Times New Roman" w:eastAsia="Times New Roman" w:hAnsi="Times New Roman"/>
          <w:sz w:val="14"/>
          <w:szCs w:val="14"/>
          <w:color w:val="auto"/>
        </w:rPr>
      </w:pPr>
    </w:p>
    <w:p>
      <w:pPr>
        <w:ind w:left="320" w:right="559" w:firstLine="752"/>
        <w:spacing w:after="0" w:line="266" w:lineRule="auto"/>
        <w:tabs>
          <w:tab w:leader="none" w:pos="124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Repayment to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719" w:firstLine="753"/>
        <w:spacing w:after="0" w:line="255" w:lineRule="auto"/>
        <w:rPr>
          <w:sz w:val="20"/>
          <w:szCs w:val="20"/>
          <w:color w:val="auto"/>
        </w:rPr>
      </w:pPr>
      <w:r>
        <w:rPr>
          <w:rFonts w:ascii="Times New Roman" w:cs="Times New Roman" w:eastAsia="Times New Roman" w:hAnsi="Times New Roman"/>
          <w:sz w:val="14"/>
          <w:szCs w:val="14"/>
          <w:color w:val="auto"/>
        </w:rPr>
        <w:t>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70" w:lineRule="auto"/>
        <w:rPr>
          <w:sz w:val="20"/>
          <w:szCs w:val="20"/>
          <w:color w:val="auto"/>
        </w:rPr>
      </w:pPr>
      <w:r>
        <w:rPr>
          <w:rFonts w:ascii="Times New Roman" w:cs="Times New Roman" w:eastAsia="Times New Roman" w:hAnsi="Times New Roman"/>
          <w:sz w:val="13"/>
          <w:szCs w:val="13"/>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held by the Trustee or Paying Agent.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IX.</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Without Consent of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and the Trustee may amend or supplement this Indenture or the Securities of one or more Series without the consent of any</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Securityholder:</w:t>
      </w:r>
    </w:p>
    <w:p>
      <w:pPr>
        <w:spacing w:after="0" w:line="156" w:lineRule="exact"/>
        <w:rPr>
          <w:sz w:val="20"/>
          <w:szCs w:val="20"/>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V;</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Securities of any Series or secure Securities of any Series;</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the Company’s rights or powers under this Indenture;</w:t>
      </w:r>
    </w:p>
    <w:p>
      <w:pPr>
        <w:spacing w:after="0" w:line="167"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Securities of any Series;</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w:t>
      </w:r>
    </w:p>
    <w:p>
      <w:pPr>
        <w:spacing w:after="0" w:line="167"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issuance of and establish the form and terms and conditions of Securities of any Series as permitted by this Indenture;</w:t>
      </w:r>
    </w:p>
    <w:p>
      <w:pPr>
        <w:spacing w:after="0" w:line="178" w:lineRule="exact"/>
        <w:rPr>
          <w:rFonts w:ascii="Times New Roman" w:cs="Times New Roman" w:eastAsia="Times New Roman" w:hAnsi="Times New Roman"/>
          <w:sz w:val="13"/>
          <w:szCs w:val="13"/>
          <w:color w:val="auto"/>
        </w:rPr>
      </w:pPr>
    </w:p>
    <w:p>
      <w:pPr>
        <w:jc w:val="both"/>
        <w:ind w:left="320" w:right="599" w:firstLine="752"/>
        <w:spacing w:after="0" w:line="255" w:lineRule="auto"/>
        <w:tabs>
          <w:tab w:leader="none" w:pos="123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TIA.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With Consent of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48" w:lineRule="auto"/>
        <w:rPr>
          <w:sz w:val="20"/>
          <w:szCs w:val="20"/>
          <w:color w:val="auto"/>
        </w:rPr>
      </w:pPr>
      <w:r>
        <w:rPr>
          <w:rFonts w:ascii="Times New Roman" w:cs="Times New Roman" w:eastAsia="Times New Roman" w:hAnsi="Times New Roman"/>
          <w:sz w:val="14"/>
          <w:szCs w:val="14"/>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49" w:lineRule="exact"/>
        <w:rPr>
          <w:sz w:val="20"/>
          <w:szCs w:val="20"/>
          <w:color w:val="auto"/>
        </w:rPr>
      </w:pPr>
    </w:p>
    <w:p>
      <w:pPr>
        <w:ind w:left="320" w:right="339" w:firstLine="753"/>
        <w:spacing w:after="0" w:line="250"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9.3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Without the consent of each Securityholder affected, an amendment or waiver may not:</w:t>
      </w:r>
    </w:p>
    <w:p>
      <w:pPr>
        <w:spacing w:after="0" w:line="167" w:lineRule="exact"/>
        <w:rPr>
          <w:sz w:val="20"/>
          <w:szCs w:val="20"/>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whose Holders must consent to an amendment, supplement or waiver;</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Security;</w:t>
      </w:r>
    </w:p>
    <w:p>
      <w:pPr>
        <w:spacing w:after="0" w:line="167" w:lineRule="exact"/>
        <w:rPr>
          <w:rFonts w:ascii="Times New Roman" w:cs="Times New Roman" w:eastAsia="Times New Roman" w:hAnsi="Times New Roman"/>
          <w:sz w:val="14"/>
          <w:szCs w:val="14"/>
          <w:color w:val="auto"/>
        </w:rPr>
      </w:pPr>
    </w:p>
    <w:p>
      <w:pPr>
        <w:ind w:left="320" w:right="399" w:firstLine="752"/>
        <w:spacing w:after="0" w:line="266" w:lineRule="auto"/>
        <w:tabs>
          <w:tab w:leader="none" w:pos="125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or change the Stated Maturity of any Security or reduce the amount of, or postpone the date fixed for, the payment of any sinking fund or analogous obligation;</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the maturity thereof;</w:t>
      </w:r>
    </w:p>
    <w:p>
      <w:pPr>
        <w:spacing w:after="0" w:line="167" w:lineRule="exact"/>
        <w:rPr>
          <w:rFonts w:ascii="Times New Roman" w:cs="Times New Roman" w:eastAsia="Times New Roman" w:hAnsi="Times New Roman"/>
          <w:sz w:val="14"/>
          <w:szCs w:val="14"/>
          <w:color w:val="auto"/>
        </w:rPr>
      </w:pPr>
    </w:p>
    <w:p>
      <w:pPr>
        <w:ind w:left="320" w:right="539" w:firstLine="752"/>
        <w:spacing w:after="0" w:line="255" w:lineRule="auto"/>
        <w:tabs>
          <w:tab w:leader="none" w:pos="125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43"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interest, if any, on any Security payable in any currency other than that stated in the Security;</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Sections 6.8, 6.13 or 9.3 (this sentence); or</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provided that such redemption is made at the Company’s option.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Compliance with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79" w:firstLine="753"/>
        <w:spacing w:after="0" w:line="266" w:lineRule="auto"/>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 hereto that complies with the TIA as then in effect.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Revocation and Effect of Consents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50"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46" w:lineRule="exact"/>
        <w:rPr>
          <w:sz w:val="20"/>
          <w:szCs w:val="20"/>
          <w:color w:val="auto"/>
        </w:rPr>
      </w:pPr>
    </w:p>
    <w:p>
      <w:pPr>
        <w:jc w:val="both"/>
        <w:ind w:left="320" w:right="339" w:firstLine="753"/>
        <w:spacing w:after="0" w:line="284" w:lineRule="auto"/>
        <w:rPr>
          <w:sz w:val="20"/>
          <w:szCs w:val="20"/>
          <w:color w:val="auto"/>
        </w:rPr>
      </w:pPr>
      <w:r>
        <w:rPr>
          <w:rFonts w:ascii="Times New Roman" w:cs="Times New Roman" w:eastAsia="Times New Roman" w:hAnsi="Times New Roman"/>
          <w:sz w:val="13"/>
          <w:szCs w:val="13"/>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26" w:lineRule="exact"/>
        <w:rPr>
          <w:sz w:val="20"/>
          <w:szCs w:val="20"/>
          <w:color w:val="auto"/>
        </w:rPr>
      </w:pPr>
    </w:p>
    <w:p>
      <w:pPr>
        <w:ind w:left="320" w:right="399" w:firstLine="753"/>
        <w:spacing w:after="0" w:line="274" w:lineRule="auto"/>
        <w:rPr>
          <w:sz w:val="20"/>
          <w:szCs w:val="20"/>
          <w:color w:val="auto"/>
        </w:rPr>
      </w:pPr>
      <w:r>
        <w:rPr>
          <w:rFonts w:ascii="Times New Roman" w:cs="Times New Roman" w:eastAsia="Times New Roman" w:hAnsi="Times New Roman"/>
          <w:sz w:val="13"/>
          <w:szCs w:val="13"/>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9.6 </w:t>
      </w:r>
      <w:r>
        <w:rPr>
          <w:rFonts w:ascii="Times New Roman" w:cs="Times New Roman" w:eastAsia="Times New Roman" w:hAnsi="Times New Roman"/>
          <w:sz w:val="14"/>
          <w:szCs w:val="14"/>
          <w:u w:val="single" w:color="auto"/>
          <w:color w:val="auto"/>
        </w:rPr>
        <w:t>Notation on or Exchange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19" w:firstLine="753"/>
        <w:spacing w:after="0" w:line="255" w:lineRule="auto"/>
        <w:rPr>
          <w:sz w:val="20"/>
          <w:szCs w:val="20"/>
          <w:color w:val="auto"/>
        </w:rPr>
      </w:pPr>
      <w:r>
        <w:rPr>
          <w:rFonts w:ascii="Times New Roman" w:cs="Times New Roman" w:eastAsia="Times New Roman" w:hAnsi="Times New Roman"/>
          <w:sz w:val="14"/>
          <w:szCs w:val="14"/>
          <w:color w:val="auto"/>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59" w:firstLine="753"/>
        <w:spacing w:after="0" w:line="277" w:lineRule="auto"/>
        <w:rPr>
          <w:sz w:val="20"/>
          <w:szCs w:val="20"/>
          <w:color w:val="auto"/>
        </w:rPr>
      </w:pPr>
      <w:r>
        <w:rPr>
          <w:rFonts w:ascii="Times New Roman" w:cs="Times New Roman" w:eastAsia="Times New Roman" w:hAnsi="Times New Roman"/>
          <w:sz w:val="13"/>
          <w:szCs w:val="13"/>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Trust Indenture Act Controls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19" w:firstLine="753"/>
        <w:spacing w:after="0" w:line="266"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39" w:firstLine="753"/>
        <w:spacing w:after="0" w:line="255" w:lineRule="auto"/>
        <w:rPr>
          <w:sz w:val="20"/>
          <w:szCs w:val="20"/>
          <w:color w:val="auto"/>
        </w:rPr>
      </w:pPr>
      <w:r>
        <w:rPr>
          <w:rFonts w:ascii="Times New Roman" w:cs="Times New Roman" w:eastAsia="Times New Roman" w:hAnsi="Times New Roman"/>
          <w:sz w:val="14"/>
          <w:szCs w:val="14"/>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225" w:lineRule="exact"/>
        <w:rPr>
          <w:sz w:val="20"/>
          <w:szCs w:val="20"/>
          <w:color w:val="auto"/>
        </w:rPr>
      </w:pPr>
    </w:p>
    <w:p>
      <w:pPr>
        <w:ind w:left="320"/>
        <w:spacing w:after="0"/>
        <w:tabs>
          <w:tab w:leader="none" w:pos="2720" w:val="left"/>
        </w:tabs>
        <w:rPr>
          <w:sz w:val="20"/>
          <w:szCs w:val="20"/>
          <w:color w:val="auto"/>
        </w:rPr>
      </w:pPr>
      <w:r>
        <w:rPr>
          <w:rFonts w:ascii="Times New Roman" w:cs="Times New Roman" w:eastAsia="Times New Roman" w:hAnsi="Times New Roman"/>
          <w:sz w:val="14"/>
          <w:szCs w:val="14"/>
          <w:color w:val="auto"/>
        </w:rPr>
        <w:t xml:space="preserve">if to the Company:                            </w:t>
      </w:r>
      <w:r>
        <w:rPr>
          <w:sz w:val="20"/>
          <w:szCs w:val="20"/>
          <w:color w:val="auto"/>
        </w:rPr>
        <w:tab/>
      </w:r>
      <w:r>
        <w:rPr>
          <w:rFonts w:ascii="Times New Roman" w:cs="Times New Roman" w:eastAsia="Times New Roman" w:hAnsi="Times New Roman"/>
          <w:sz w:val="13"/>
          <w:szCs w:val="13"/>
          <w:color w:val="auto"/>
        </w:rPr>
        <w:t>Scilex Holding Company</w:t>
      </w:r>
    </w:p>
    <w:p>
      <w:pPr>
        <w:spacing w:after="0" w:line="15" w:lineRule="exact"/>
        <w:rPr>
          <w:sz w:val="20"/>
          <w:szCs w:val="20"/>
          <w:color w:val="auto"/>
        </w:rPr>
      </w:pPr>
    </w:p>
    <w:p>
      <w:pPr>
        <w:ind w:left="320" w:right="7179" w:hanging="1"/>
        <w:spacing w:after="0" w:line="263" w:lineRule="auto"/>
        <w:tabs>
          <w:tab w:leader="none" w:pos="45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960 San Antonio Road Palo Alto, CA 94303 Telephone: (408) 891-8341</w:t>
      </w: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Attention: Stephen Ma, Chief Financial Officer &amp; Senior Vice President</w:t>
      </w:r>
    </w:p>
    <w:p>
      <w:pPr>
        <w:spacing w:after="0" w:line="3" w:lineRule="exact"/>
        <w:rPr>
          <w:rFonts w:ascii="Times New Roman" w:cs="Times New Roman" w:eastAsia="Times New Roman" w:hAnsi="Times New Roman"/>
          <w:sz w:val="13"/>
          <w:szCs w:val="13"/>
          <w:color w:val="auto"/>
        </w:rPr>
      </w:pP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E-mail: sma@scilexholding.com</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With a copy (which shall not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constitute notice) to:</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Paul Hastings LLP</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1117 S. California Avenue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Palo Alto, CA 94304</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Telephone: (650) 320-1895</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Attention: Elizabeth Razzano, Esq.</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E-mail: elizabethrazzano@paulhastings.com</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if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10160</wp:posOffset>
            </wp:positionV>
            <wp:extent cx="16414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1641475" cy="635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127635</wp:posOffset>
            </wp:positionV>
            <wp:extent cx="164147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1641475" cy="635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244475</wp:posOffset>
            </wp:positionV>
            <wp:extent cx="164147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1641475" cy="635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361950</wp:posOffset>
            </wp:positionV>
            <wp:extent cx="16414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1641475" cy="635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Attention:</w:t>
      </w:r>
    </w:p>
    <w:p>
      <w:pPr>
        <w:spacing w:after="0" w:line="167" w:lineRule="exact"/>
        <w:rPr>
          <w:sz w:val="20"/>
          <w:szCs w:val="20"/>
          <w:color w:val="auto"/>
        </w:rPr>
      </w:pPr>
    </w:p>
    <w:p>
      <w:pPr>
        <w:ind w:left="320" w:right="1179" w:firstLine="753"/>
        <w:spacing w:after="0" w:line="266" w:lineRule="auto"/>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36" w:lineRule="exact"/>
        <w:rPr>
          <w:sz w:val="20"/>
          <w:szCs w:val="20"/>
          <w:color w:val="auto"/>
        </w:rPr>
      </w:pPr>
    </w:p>
    <w:p>
      <w:pPr>
        <w:jc w:val="both"/>
        <w:ind w:left="320" w:right="379" w:firstLine="753"/>
        <w:spacing w:after="0" w:line="255" w:lineRule="auto"/>
        <w:rPr>
          <w:sz w:val="20"/>
          <w:szCs w:val="20"/>
          <w:color w:val="auto"/>
        </w:rPr>
      </w:pPr>
      <w:r>
        <w:rPr>
          <w:rFonts w:ascii="Times New Roman" w:cs="Times New Roman" w:eastAsia="Times New Roman" w:hAnsi="Times New Roman"/>
          <w:sz w:val="14"/>
          <w:szCs w:val="14"/>
          <w:color w:val="auto"/>
        </w:rPr>
        <w:t>Any notice or communication to a Securityholder shall be sent electronically or mailed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43" w:lineRule="exact"/>
        <w:rPr>
          <w:sz w:val="20"/>
          <w:szCs w:val="20"/>
          <w:color w:val="auto"/>
        </w:rPr>
      </w:pPr>
    </w:p>
    <w:p>
      <w:pPr>
        <w:ind w:left="320" w:right="359" w:firstLine="753"/>
        <w:spacing w:after="0" w:line="266" w:lineRule="auto"/>
        <w:rPr>
          <w:sz w:val="20"/>
          <w:szCs w:val="20"/>
          <w:color w:val="auto"/>
        </w:rPr>
      </w:pPr>
      <w:r>
        <w:rPr>
          <w:rFonts w:ascii="Times New Roman" w:cs="Times New Roman" w:eastAsia="Times New Roman" w:hAnsi="Times New Roman"/>
          <w:sz w:val="14"/>
          <w:szCs w:val="14"/>
          <w:color w:val="auto"/>
        </w:rPr>
        <w:t>If a notice or communication is sent or published in the manner provided above, within the time prescribed, it is duly given, whether or not the Securityholder receives it.</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If the Company sends a notice or communication to Securityholders, it shall send a copy to the Trustee and each Agent at the same time.</w:t>
      </w:r>
    </w:p>
    <w:p>
      <w:pPr>
        <w:spacing w:after="0" w:line="179" w:lineRule="exact"/>
        <w:rPr>
          <w:sz w:val="20"/>
          <w:szCs w:val="20"/>
          <w:color w:val="auto"/>
        </w:rPr>
      </w:pPr>
    </w:p>
    <w:p>
      <w:pPr>
        <w:ind w:left="320" w:right="359" w:firstLine="753"/>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Communication by Holders with Other 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79" w:firstLine="753"/>
        <w:spacing w:after="0" w:line="255" w:lineRule="auto"/>
        <w:rPr>
          <w:sz w:val="20"/>
          <w:szCs w:val="20"/>
          <w:color w:val="auto"/>
        </w:rPr>
      </w:pPr>
      <w:r>
        <w:rPr>
          <w:rFonts w:ascii="Times New Roman" w:cs="Times New Roman" w:eastAsia="Times New Roman" w:hAnsi="Times New Roman"/>
          <w:sz w:val="14"/>
          <w:szCs w:val="14"/>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Certificate and Opinion as to Conditions Precedent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Upon any request or application by the Company to the Trustee to take any action under this Indenture, the Company shall furnish to the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Trustee:</w:t>
      </w:r>
    </w:p>
    <w:p>
      <w:pPr>
        <w:spacing w:after="0" w:line="156" w:lineRule="exact"/>
        <w:rPr>
          <w:sz w:val="20"/>
          <w:szCs w:val="20"/>
          <w:color w:val="auto"/>
        </w:rPr>
      </w:pPr>
    </w:p>
    <w:p>
      <w:pPr>
        <w:ind w:left="320" w:right="379" w:firstLine="752"/>
        <w:spacing w:after="0" w:line="266" w:lineRule="auto"/>
        <w:tabs>
          <w:tab w:leader="none" w:pos="125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stating that, in the opinion of the signers, all conditions precedent, if any, provided for in this Indenture relating to the proposed action have been complied with; and</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stating that, in the opinion of such counsel, all such conditions precedent have been complied with.</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Statements Required in Certificate or Opinion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66"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36" w:lineRule="exact"/>
        <w:rPr>
          <w:sz w:val="20"/>
          <w:szCs w:val="20"/>
          <w:color w:val="auto"/>
        </w:rPr>
      </w:pPr>
    </w:p>
    <w:p>
      <w:pPr>
        <w:ind w:left="1260" w:hanging="188"/>
        <w:spacing w:after="0"/>
        <w:tabs>
          <w:tab w:leader="none" w:pos="12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167" w:lineRule="exact"/>
        <w:rPr>
          <w:rFonts w:ascii="Times New Roman" w:cs="Times New Roman" w:eastAsia="Times New Roman" w:hAnsi="Times New Roman"/>
          <w:sz w:val="14"/>
          <w:szCs w:val="14"/>
          <w:color w:val="auto"/>
        </w:rPr>
      </w:pPr>
    </w:p>
    <w:p>
      <w:pPr>
        <w:ind w:left="320" w:right="599" w:firstLine="752"/>
        <w:spacing w:after="0" w:line="266" w:lineRule="auto"/>
        <w:tabs>
          <w:tab w:leader="none" w:pos="126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90" w:name="page91"/>
    <w:bookmarkEnd w:id="90"/>
    <w:p>
      <w:pPr>
        <w:ind w:left="320" w:right="419" w:firstLine="752"/>
        <w:spacing w:after="0" w:line="266" w:lineRule="auto"/>
        <w:tabs>
          <w:tab w:leader="none" w:pos="1259"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 statement that, in the opinion of such person, he has made such examination or investigation as is necessary to enable him to express an informed opinion as to whether or not such covenant or condition has been complied with; and</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Rules by Trustee and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99" w:firstLine="753"/>
        <w:spacing w:after="0" w:line="266" w:lineRule="auto"/>
        <w:rPr>
          <w:sz w:val="20"/>
          <w:szCs w:val="20"/>
          <w:color w:val="auto"/>
        </w:rPr>
      </w:pPr>
      <w:r>
        <w:rPr>
          <w:rFonts w:ascii="Times New Roman" w:cs="Times New Roman" w:eastAsia="Times New Roman" w:hAnsi="Times New Roman"/>
          <w:sz w:val="14"/>
          <w:szCs w:val="14"/>
          <w:color w:val="auto"/>
        </w:rPr>
        <w:t>The Trustee may make reasonable rules for action by or a meeting of Securityholders of one or more Series. Any Agent may make reasonable rules and set reasonable requirements for its functions.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Legal Holidays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left="320" w:right="539" w:firstLine="753"/>
        <w:spacing w:after="0" w:line="258" w:lineRule="auto"/>
        <w:rPr>
          <w:sz w:val="20"/>
          <w:szCs w:val="20"/>
          <w:color w:val="auto"/>
        </w:rPr>
      </w:pPr>
      <w:r>
        <w:rPr>
          <w:rFonts w:ascii="Times New Roman" w:cs="Times New Roman" w:eastAsia="Times New Roman" w:hAnsi="Times New Roman"/>
          <w:sz w:val="14"/>
          <w:szCs w:val="14"/>
          <w:color w:val="auto"/>
        </w:rPr>
        <w:t>Unless otherwise provided by Board Resolution, Officers’ Certificate or supplemental indenture hereto for a particular Series, a “</w:t>
      </w:r>
      <w:r>
        <w:rPr>
          <w:rFonts w:ascii="Times New Roman" w:cs="Times New Roman" w:eastAsia="Times New Roman" w:hAnsi="Times New Roman"/>
          <w:sz w:val="14"/>
          <w:szCs w:val="14"/>
          <w:i w:val="1"/>
          <w:iCs w:val="1"/>
          <w:color w:val="auto"/>
        </w:rPr>
        <w:t>Legal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Holiday</w:t>
      </w:r>
      <w:r>
        <w:rPr>
          <w:rFonts w:ascii="Times New Roman" w:cs="Times New Roman" w:eastAsia="Times New Roman" w:hAnsi="Times New Roman"/>
          <w:sz w:val="14"/>
          <w:szCs w:val="14"/>
          <w:color w:val="auto"/>
        </w:rPr>
        <w:t>” is any day that is not a Business Day. If a payment date is a Legal Holiday at a place of payment, payment may be made at that place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next succeeding day that is not a Legal Holiday, and no interest shall accrue for the intervening period.</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753"/>
        <w:spacing w:after="0" w:line="284" w:lineRule="auto"/>
        <w:rPr>
          <w:sz w:val="20"/>
          <w:szCs w:val="20"/>
          <w:color w:val="auto"/>
        </w:rPr>
      </w:pPr>
      <w:r>
        <w:rPr>
          <w:rFonts w:ascii="Times New Roman" w:cs="Times New Roman" w:eastAsia="Times New Roman" w:hAnsi="Times New Roman"/>
          <w:sz w:val="13"/>
          <w:szCs w:val="13"/>
          <w:color w:val="auto"/>
        </w:rPr>
        <w:t>A director, officer, employee or stockholder,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50"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46" w:lineRule="exact"/>
        <w:rPr>
          <w:sz w:val="20"/>
          <w:szCs w:val="20"/>
          <w:color w:val="auto"/>
        </w:rPr>
      </w:pPr>
    </w:p>
    <w:p>
      <w:pPr>
        <w:ind w:left="320" w:right="339" w:firstLine="753"/>
        <w:spacing w:after="0" w:line="269" w:lineRule="auto"/>
        <w:rPr>
          <w:sz w:val="20"/>
          <w:szCs w:val="20"/>
          <w:color w:val="auto"/>
        </w:rPr>
      </w:pPr>
      <w:r>
        <w:rPr>
          <w:rFonts w:ascii="Times New Roman" w:cs="Times New Roman" w:eastAsia="Times New Roman" w:hAnsi="Times New Roman"/>
          <w:sz w:val="13"/>
          <w:szCs w:val="13"/>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u w:val="single" w:color="auto"/>
          <w:color w:val="auto"/>
        </w:rPr>
        <w:t>Governing Laws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20" w:right="379" w:firstLine="1088"/>
        <w:spacing w:after="0" w:line="258" w:lineRule="auto"/>
        <w:rPr>
          <w:sz w:val="20"/>
          <w:szCs w:val="20"/>
          <w:color w:val="auto"/>
        </w:rPr>
      </w:pPr>
      <w:r>
        <w:rPr>
          <w:rFonts w:ascii="Times New Roman" w:cs="Times New Roman" w:eastAsia="Times New Roman" w:hAnsi="Times New Roman"/>
          <w:sz w:val="14"/>
          <w:szCs w:val="14"/>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10.11 </w:t>
      </w:r>
      <w:r>
        <w:rPr>
          <w:rFonts w:ascii="Times New Roman" w:cs="Times New Roman" w:eastAsia="Times New Roman" w:hAnsi="Times New Roman"/>
          <w:sz w:val="14"/>
          <w:szCs w:val="14"/>
          <w:u w:val="single" w:color="auto"/>
          <w:color w:val="auto"/>
        </w:rPr>
        <w:t>No Adverse Interpretation of Other Agreements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such indenture, loan or debt agreement may not be used to interpret this Indenture.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66" w:lineRule="auto"/>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10.13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3"/>
        <w:spacing w:after="0" w:line="266"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10.14 </w:t>
      </w:r>
      <w:r>
        <w:rPr>
          <w:rFonts w:ascii="Times New Roman" w:cs="Times New Roman" w:eastAsia="Times New Roman" w:hAnsi="Times New Roman"/>
          <w:sz w:val="14"/>
          <w:szCs w:val="14"/>
          <w:u w:val="single" w:color="auto"/>
          <w:color w:val="auto"/>
        </w:rPr>
        <w:t>Table of Contents, Headings,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79" w:firstLine="753"/>
        <w:spacing w:after="0" w:line="266" w:lineRule="auto"/>
        <w:rPr>
          <w:sz w:val="20"/>
          <w:szCs w:val="20"/>
          <w:color w:val="auto"/>
        </w:rPr>
      </w:pPr>
      <w:r>
        <w:rPr>
          <w:rFonts w:ascii="Times New Roman" w:cs="Times New Roman" w:eastAsia="Times New Roman" w:hAnsi="Times New Roman"/>
          <w:sz w:val="14"/>
          <w:szCs w:val="14"/>
          <w:color w:val="auto"/>
        </w:rPr>
        <w:t>The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10.15 </w:t>
      </w:r>
      <w:r>
        <w:rPr>
          <w:rFonts w:ascii="Times New Roman" w:cs="Times New Roman" w:eastAsia="Times New Roman" w:hAnsi="Times New Roman"/>
          <w:sz w:val="14"/>
          <w:szCs w:val="14"/>
          <w:u w:val="single" w:color="auto"/>
          <w:color w:val="auto"/>
        </w:rPr>
        <w:t>Securities in a Foreign Currency or in Euros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46"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 w:cs="Times New Roman" w:eastAsia="Times New Roman" w:hAnsi="Times New Roman"/>
          <w:sz w:val="14"/>
          <w:szCs w:val="14"/>
          <w:i w:val="1"/>
          <w:iCs w:val="1"/>
          <w:color w:val="auto"/>
        </w:rPr>
        <w:t>Market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Rate</w:t>
      </w:r>
      <w:r>
        <w:rPr>
          <w:rFonts w:ascii="Times New Roman" w:cs="Times New Roman" w:eastAsia="Times New Roman" w:hAnsi="Times New Roman"/>
          <w:sz w:val="14"/>
          <w:szCs w:val="14"/>
          <w:color w:val="auto"/>
        </w:rPr>
        <w:t>” shall mean the noon Dollar buying rate in New York City for cable transfers of that currency as published by the Federal Reserve Bank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New York;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Euros, Market Exchange Rate shall mean the rate of exchange determined by the Commission of the European Union (or any successor thereto) as published in the Official Journal of the European Union (such publication or any successor publication, the “</w:t>
      </w:r>
      <w:r>
        <w:rPr>
          <w:rFonts w:ascii="Times New Roman" w:cs="Times New Roman" w:eastAsia="Times New Roman" w:hAnsi="Times New Roman"/>
          <w:sz w:val="14"/>
          <w:szCs w:val="14"/>
          <w:i w:val="1"/>
          <w:iCs w:val="1"/>
          <w:color w:val="auto"/>
        </w:rPr>
        <w:t>Journal</w:t>
      </w:r>
      <w:r>
        <w:rPr>
          <w:rFonts w:ascii="Times New Roman" w:cs="Times New Roman" w:eastAsia="Times New Roman" w:hAnsi="Times New Roman"/>
          <w:sz w:val="14"/>
          <w:szCs w:val="14"/>
          <w:color w:val="auto"/>
        </w:rPr>
        <w:t>”).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50" w:lineRule="exact"/>
        <w:rPr>
          <w:sz w:val="20"/>
          <w:szCs w:val="20"/>
          <w:color w:val="auto"/>
        </w:rPr>
      </w:pPr>
    </w:p>
    <w:p>
      <w:pPr>
        <w:ind w:left="320" w:right="479" w:firstLine="753"/>
        <w:spacing w:after="0" w:line="255" w:lineRule="auto"/>
        <w:rPr>
          <w:sz w:val="20"/>
          <w:szCs w:val="20"/>
          <w:color w:val="auto"/>
        </w:rPr>
      </w:pPr>
      <w:r>
        <w:rPr>
          <w:rFonts w:ascii="Times New Roman" w:cs="Times New Roman" w:eastAsia="Times New Roman" w:hAnsi="Times New Roman"/>
          <w:sz w:val="14"/>
          <w:szCs w:val="14"/>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10.16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753"/>
        <w:spacing w:after="0" w:line="246"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day except a Saturday, Sunday or a legal holiday in The City of New York on which banking institutions are authorized or required by law, regulation or executive order to close.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10.17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753"/>
        <w:spacing w:after="0" w:line="250"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10.18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3"/>
        <w:spacing w:after="0" w:line="252"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SINKING FUNDS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19" w:firstLine="753"/>
        <w:spacing w:after="0" w:line="266"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36" w:lineRule="exact"/>
        <w:rPr>
          <w:sz w:val="20"/>
          <w:szCs w:val="20"/>
          <w:color w:val="auto"/>
        </w:rPr>
      </w:pPr>
    </w:p>
    <w:p>
      <w:pPr>
        <w:ind w:left="320" w:right="499" w:firstLine="753"/>
        <w:spacing w:after="0" w:line="250"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 and any other amount provided for by the terms of Securities of such Series is herein referred to as an “</w:t>
      </w:r>
      <w:r>
        <w:rPr>
          <w:rFonts w:ascii="Times New Roman" w:cs="Times New Roman" w:eastAsia="Times New Roman" w:hAnsi="Times New Roman"/>
          <w:sz w:val="14"/>
          <w:szCs w:val="14"/>
          <w:i w:val="1"/>
          <w:i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sinking fund payment</w:t>
      </w:r>
      <w:r>
        <w:rPr>
          <w:rFonts w:ascii="Times New Roman" w:cs="Times New Roman" w:eastAsia="Times New Roman" w:hAnsi="Times New Roman"/>
          <w:sz w:val="14"/>
          <w:szCs w:val="14"/>
          <w:color w:val="auto"/>
        </w:rPr>
        <w:t>.” If provided for by the terms of Securities of any Series, the cash amount of any sinking fund payment may be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as provided in Section 11.2. Each sinking fund payment shall be applied to the redemption of Securities of any Series as provided for by the terms of the Securities of such Series.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11.2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1088"/>
        <w:spacing w:after="0" w:line="246"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3"/>
        <w:spacing w:after="0" w:line="268" w:lineRule="auto"/>
        <w:rPr>
          <w:sz w:val="20"/>
          <w:szCs w:val="20"/>
          <w:color w:val="auto"/>
        </w:rPr>
      </w:pPr>
      <w:r>
        <w:rPr>
          <w:rFonts w:ascii="Times New Roman" w:cs="Times New Roman" w:eastAsia="Times New Roman" w:hAnsi="Times New Roman"/>
          <w:sz w:val="13"/>
          <w:szCs w:val="13"/>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Scilex Holding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10160</wp:posOffset>
            </wp:positionV>
            <wp:extent cx="320484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204845" cy="6350"/>
                    </a:xfrm>
                    <a:prstGeom prst="rect">
                      <a:avLst/>
                    </a:prstGeom>
                    <a:noFill/>
                  </pic:spPr>
                </pic:pic>
              </a:graphicData>
            </a:graphic>
          </wp:anchor>
        </w:drawing>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Its: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[NAME OF TRUSTEE], as Trustee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10160</wp:posOffset>
            </wp:positionV>
            <wp:extent cx="320484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204845" cy="6350"/>
                    </a:xfrm>
                    <a:prstGeom prst="rect">
                      <a:avLst/>
                    </a:prstGeom>
                    <a:noFill/>
                  </pic:spPr>
                </pic:pic>
              </a:graphicData>
            </a:graphic>
          </wp:anchor>
        </w:drawing>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Its: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94" w:name="page95"/>
    <w:bookmarkEnd w:id="94"/>
    <w:p>
      <w:pPr>
        <w:jc w:val="right"/>
        <w:ind w:right="339"/>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121920</wp:posOffset>
            </wp:positionV>
            <wp:extent cx="1165860" cy="3384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116586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April 16, 2026</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Scilex Holding Company</w:t>
      </w:r>
    </w:p>
    <w:p>
      <w:pPr>
        <w:ind w:left="320"/>
        <w:spacing w:after="0" w:line="236" w:lineRule="auto"/>
        <w:rPr>
          <w:sz w:val="20"/>
          <w:szCs w:val="20"/>
          <w:color w:val="auto"/>
        </w:rPr>
      </w:pPr>
      <w:r>
        <w:rPr>
          <w:rFonts w:ascii="Arial" w:cs="Arial" w:eastAsia="Arial" w:hAnsi="Arial"/>
          <w:sz w:val="14"/>
          <w:szCs w:val="14"/>
          <w:color w:val="auto"/>
        </w:rPr>
        <w:t>960 San Antonio Road</w:t>
      </w:r>
    </w:p>
    <w:p>
      <w:pPr>
        <w:ind w:left="320"/>
        <w:spacing w:after="0"/>
        <w:rPr>
          <w:sz w:val="20"/>
          <w:szCs w:val="20"/>
          <w:color w:val="auto"/>
        </w:rPr>
      </w:pPr>
      <w:r>
        <w:rPr>
          <w:rFonts w:ascii="Arial" w:cs="Arial" w:eastAsia="Arial" w:hAnsi="Arial"/>
          <w:sz w:val="14"/>
          <w:szCs w:val="14"/>
          <w:color w:val="auto"/>
        </w:rPr>
        <w:t>Palo Alto, California 94303</w:t>
      </w:r>
    </w:p>
    <w:p>
      <w:pPr>
        <w:spacing w:after="0" w:line="25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3"/>
          <w:szCs w:val="13"/>
          <w:color w:val="auto"/>
        </w:rPr>
        <w:t>Scilex Holding Company Registration Statement on Form S-3</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Ladies and Gentlemen:</w:t>
      </w:r>
    </w:p>
    <w:p>
      <w:pPr>
        <w:spacing w:after="0" w:line="75" w:lineRule="exact"/>
        <w:rPr>
          <w:sz w:val="20"/>
          <w:szCs w:val="20"/>
          <w:color w:val="auto"/>
        </w:rPr>
      </w:pPr>
    </w:p>
    <w:p>
      <w:pPr>
        <w:jc w:val="both"/>
        <w:ind w:left="320" w:right="339"/>
        <w:spacing w:after="0" w:line="235" w:lineRule="auto"/>
        <w:rPr>
          <w:sz w:val="20"/>
          <w:szCs w:val="20"/>
          <w:color w:val="auto"/>
        </w:rPr>
      </w:pPr>
      <w:r>
        <w:rPr>
          <w:rFonts w:ascii="Arial" w:cs="Arial" w:eastAsia="Arial" w:hAnsi="Arial"/>
          <w:sz w:val="14"/>
          <w:szCs w:val="14"/>
          <w:color w:val="auto"/>
        </w:rPr>
        <w:t>We have acted as counsel to Scilex Holding Company,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in connection with the preparation and filing on or about the date hereof with the U.S.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of a registration statement on Form S-3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under the Securities Act of 1933, as amended (the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which includes a base prospectus (the “</w:t>
      </w:r>
      <w:r>
        <w:rPr>
          <w:rFonts w:ascii="Arial" w:cs="Arial" w:eastAsia="Arial" w:hAnsi="Arial"/>
          <w:sz w:val="14"/>
          <w:szCs w:val="14"/>
          <w:b w:val="1"/>
          <w:bCs w:val="1"/>
          <w:i w:val="1"/>
          <w:iCs w:val="1"/>
          <w:color w:val="auto"/>
        </w:rPr>
        <w:t>Base Prospectus</w:t>
      </w:r>
      <w:r>
        <w:rPr>
          <w:rFonts w:ascii="Arial" w:cs="Arial" w:eastAsia="Arial" w:hAnsi="Arial"/>
          <w:sz w:val="14"/>
          <w:szCs w:val="14"/>
          <w:color w:val="auto"/>
        </w:rPr>
        <w:t>”), which provides that it will be supplemented in the future by one or more prospectus supplements (each such prospectus supplement, a “</w:t>
      </w:r>
      <w:r>
        <w:rPr>
          <w:rFonts w:ascii="Arial" w:cs="Arial" w:eastAsia="Arial" w:hAnsi="Arial"/>
          <w:sz w:val="14"/>
          <w:szCs w:val="14"/>
          <w:b w:val="1"/>
          <w:bCs w:val="1"/>
          <w:i w:val="1"/>
          <w:iCs w:val="1"/>
          <w:color w:val="auto"/>
        </w:rPr>
        <w:t>Prospectus Supplement</w:t>
      </w:r>
      <w:r>
        <w:rPr>
          <w:rFonts w:ascii="Arial" w:cs="Arial" w:eastAsia="Arial" w:hAnsi="Arial"/>
          <w:sz w:val="14"/>
          <w:szCs w:val="14"/>
          <w:color w:val="auto"/>
        </w:rPr>
        <w:t>”), relating to the registration of the offering and sale of the securities set forth therein.</w:t>
      </w:r>
    </w:p>
    <w:p>
      <w:pPr>
        <w:spacing w:after="0" w:line="142" w:lineRule="exact"/>
        <w:rPr>
          <w:sz w:val="20"/>
          <w:szCs w:val="20"/>
          <w:color w:val="auto"/>
        </w:rPr>
      </w:pPr>
    </w:p>
    <w:p>
      <w:pPr>
        <w:jc w:val="both"/>
        <w:ind w:left="320" w:right="339"/>
        <w:spacing w:after="0" w:line="232" w:lineRule="auto"/>
        <w:rPr>
          <w:sz w:val="20"/>
          <w:szCs w:val="20"/>
          <w:color w:val="auto"/>
        </w:rPr>
      </w:pPr>
      <w:r>
        <w:rPr>
          <w:rFonts w:ascii="Arial" w:cs="Arial" w:eastAsia="Arial" w:hAnsi="Arial"/>
          <w:sz w:val="14"/>
          <w:szCs w:val="14"/>
          <w:color w:val="auto"/>
        </w:rPr>
        <w:t>The Registration Statement and the Base Prospectus relate to the proposed issuance and sale from time to time, pursuant to Rule 415 promulgated under the Act, of up to $500,000,000 of securities consisting of (i) shares of the Company’s common stock, par value $0.0001 per share (the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(ii) shares of the Company’s preferred stock, par value $0.0001 per share (the “</w:t>
      </w:r>
      <w:r>
        <w:rPr>
          <w:rFonts w:ascii="Arial" w:cs="Arial" w:eastAsia="Arial" w:hAnsi="Arial"/>
          <w:sz w:val="14"/>
          <w:szCs w:val="14"/>
          <w:b w:val="1"/>
          <w:bCs w:val="1"/>
          <w:i w:val="1"/>
          <w:iCs w:val="1"/>
          <w:color w:val="auto"/>
        </w:rPr>
        <w:t>Preferred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Stock</w:t>
      </w:r>
      <w:r>
        <w:rPr>
          <w:rFonts w:ascii="Arial" w:cs="Arial" w:eastAsia="Arial" w:hAnsi="Arial"/>
          <w:sz w:val="14"/>
          <w:szCs w:val="14"/>
          <w:color w:val="auto"/>
        </w:rPr>
        <w:t>”), (iii) one or more series of debt securities (collectively, the “</w:t>
      </w:r>
      <w:r>
        <w:rPr>
          <w:rFonts w:ascii="Arial" w:cs="Arial" w:eastAsia="Arial" w:hAnsi="Arial"/>
          <w:sz w:val="14"/>
          <w:szCs w:val="14"/>
          <w:b w:val="1"/>
          <w:bCs w:val="1"/>
          <w:i w:val="1"/>
          <w:iCs w:val="1"/>
          <w:color w:val="auto"/>
        </w:rPr>
        <w:t>Debt Securities</w:t>
      </w:r>
      <w:r>
        <w:rPr>
          <w:rFonts w:ascii="Arial" w:cs="Arial" w:eastAsia="Arial" w:hAnsi="Arial"/>
          <w:sz w:val="14"/>
          <w:szCs w:val="14"/>
          <w:color w:val="auto"/>
        </w:rPr>
        <w:t>”), to be issued pursuant to indentures to be entered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into between the Company, as issuer, and a trustee to be selected by the Company and named therein (the “</w:t>
      </w:r>
      <w:r>
        <w:rPr>
          <w:rFonts w:ascii="Arial" w:cs="Arial" w:eastAsia="Arial" w:hAnsi="Arial"/>
          <w:sz w:val="14"/>
          <w:szCs w:val="14"/>
          <w:b w:val="1"/>
          <w:bCs w:val="1"/>
          <w:i w:val="1"/>
          <w:iCs w:val="1"/>
          <w:color w:val="auto"/>
        </w:rPr>
        <w:t>Trustee</w:t>
      </w:r>
      <w:r>
        <w:rPr>
          <w:rFonts w:ascii="Arial" w:cs="Arial" w:eastAsia="Arial" w:hAnsi="Arial"/>
          <w:sz w:val="14"/>
          <w:szCs w:val="14"/>
          <w:color w:val="auto"/>
        </w:rPr>
        <w:t>”), the form of which is filed as Exhibit 4.22 to the Registration Statement (each, an “</w:t>
      </w:r>
      <w:r>
        <w:rPr>
          <w:rFonts w:ascii="Arial" w:cs="Arial" w:eastAsia="Arial" w:hAnsi="Arial"/>
          <w:sz w:val="14"/>
          <w:szCs w:val="14"/>
          <w:b w:val="1"/>
          <w:bCs w:val="1"/>
          <w:i w:val="1"/>
          <w:iCs w:val="1"/>
          <w:color w:val="auto"/>
        </w:rPr>
        <w:t>Indenture</w:t>
      </w:r>
      <w:r>
        <w:rPr>
          <w:rFonts w:ascii="Arial" w:cs="Arial" w:eastAsia="Arial" w:hAnsi="Arial"/>
          <w:sz w:val="14"/>
          <w:szCs w:val="14"/>
          <w:color w:val="auto"/>
        </w:rPr>
        <w:t>”), (iv) warrants to purchase shares of Common Stock, shares of Preferred Stock or Debt Securities (collectively, the “</w:t>
      </w:r>
      <w:r>
        <w:rPr>
          <w:rFonts w:ascii="Arial" w:cs="Arial" w:eastAsia="Arial" w:hAnsi="Arial"/>
          <w:sz w:val="14"/>
          <w:szCs w:val="14"/>
          <w:b w:val="1"/>
          <w:bCs w:val="1"/>
          <w:i w:val="1"/>
          <w:iCs w:val="1"/>
          <w:color w:val="auto"/>
        </w:rPr>
        <w:t>Warrants</w:t>
      </w:r>
      <w:r>
        <w:rPr>
          <w:rFonts w:ascii="Arial" w:cs="Arial" w:eastAsia="Arial" w:hAnsi="Arial"/>
          <w:sz w:val="14"/>
          <w:szCs w:val="14"/>
          <w:color w:val="auto"/>
        </w:rPr>
        <w:t>”), which may be issued under warrant agreements (each, a “</w:t>
      </w:r>
      <w:r>
        <w:rPr>
          <w:rFonts w:ascii="Arial" w:cs="Arial" w:eastAsia="Arial" w:hAnsi="Arial"/>
          <w:sz w:val="14"/>
          <w:szCs w:val="14"/>
          <w:b w:val="1"/>
          <w:bCs w:val="1"/>
          <w:i w:val="1"/>
          <w:iCs w:val="1"/>
          <w:color w:val="auto"/>
        </w:rPr>
        <w:t>Warrant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to be dated on or about the date of the first issuance of the applicable Warrants thereunder, by and between the Company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a warrant agent to be selected by the Company and named therein (the “</w:t>
      </w:r>
      <w:r>
        <w:rPr>
          <w:rFonts w:ascii="Arial" w:cs="Arial" w:eastAsia="Arial" w:hAnsi="Arial"/>
          <w:sz w:val="14"/>
          <w:szCs w:val="14"/>
          <w:b w:val="1"/>
          <w:bCs w:val="1"/>
          <w:i w:val="1"/>
          <w:iCs w:val="1"/>
          <w:color w:val="auto"/>
        </w:rPr>
        <w:t>Warrant Agent</w:t>
      </w:r>
      <w:r>
        <w:rPr>
          <w:rFonts w:ascii="Arial" w:cs="Arial" w:eastAsia="Arial" w:hAnsi="Arial"/>
          <w:sz w:val="14"/>
          <w:szCs w:val="14"/>
          <w:color w:val="auto"/>
        </w:rPr>
        <w:t>”), (v) rights to purchase shares of Common Stock, shares of Preferred Stock, Debt Securities, Warrants or Units (as defined below) (collectively, the “</w:t>
      </w:r>
      <w:r>
        <w:rPr>
          <w:rFonts w:ascii="Arial" w:cs="Arial" w:eastAsia="Arial" w:hAnsi="Arial"/>
          <w:sz w:val="14"/>
          <w:szCs w:val="14"/>
          <w:b w:val="1"/>
          <w:bCs w:val="1"/>
          <w:i w:val="1"/>
          <w:iCs w:val="1"/>
          <w:color w:val="auto"/>
        </w:rPr>
        <w:t>Rights</w:t>
      </w:r>
      <w:r>
        <w:rPr>
          <w:rFonts w:ascii="Arial" w:cs="Arial" w:eastAsia="Arial" w:hAnsi="Arial"/>
          <w:sz w:val="14"/>
          <w:szCs w:val="14"/>
          <w:color w:val="auto"/>
        </w:rPr>
        <w:t>”), and (vi) units consisting of any combination of Common Stock, Preferred Stock, Debt Securities, Warrants and/or Rights (collectively, the “</w:t>
      </w:r>
      <w:r>
        <w:rPr>
          <w:rFonts w:ascii="Arial" w:cs="Arial" w:eastAsia="Arial" w:hAnsi="Arial"/>
          <w:sz w:val="14"/>
          <w:szCs w:val="14"/>
          <w:b w:val="1"/>
          <w:bCs w:val="1"/>
          <w:i w:val="1"/>
          <w:iCs w:val="1"/>
          <w:color w:val="auto"/>
        </w:rPr>
        <w:t>Units</w:t>
      </w:r>
      <w:r>
        <w:rPr>
          <w:rFonts w:ascii="Arial" w:cs="Arial" w:eastAsia="Arial" w:hAnsi="Arial"/>
          <w:sz w:val="14"/>
          <w:szCs w:val="14"/>
          <w:color w:val="auto"/>
        </w:rPr>
        <w:t>”), which may be issued under unit agreements by and between the Company and a unit agent to be selected by the Company and named therein (each, a “</w:t>
      </w:r>
      <w:r>
        <w:rPr>
          <w:rFonts w:ascii="Arial" w:cs="Arial" w:eastAsia="Arial" w:hAnsi="Arial"/>
          <w:sz w:val="14"/>
          <w:szCs w:val="14"/>
          <w:b w:val="1"/>
          <w:bCs w:val="1"/>
          <w:i w:val="1"/>
          <w:iCs w:val="1"/>
          <w:color w:val="auto"/>
        </w:rPr>
        <w:t>Unit Agreement</w:t>
      </w:r>
      <w:r>
        <w:rPr>
          <w:rFonts w:ascii="Arial" w:cs="Arial" w:eastAsia="Arial" w:hAnsi="Arial"/>
          <w:sz w:val="14"/>
          <w:szCs w:val="14"/>
          <w:color w:val="auto"/>
        </w:rPr>
        <w:t>”). The Common Stock, Preferred Stock, Debt Securities, Warrants, Rights and Units are collectively referred to herein as the “</w:t>
      </w:r>
      <w:r>
        <w:rPr>
          <w:rFonts w:ascii="Arial" w:cs="Arial" w:eastAsia="Arial" w:hAnsi="Arial"/>
          <w:sz w:val="14"/>
          <w:szCs w:val="14"/>
          <w:b w:val="1"/>
          <w:bCs w:val="1"/>
          <w:i w:val="1"/>
          <w:iCs w:val="1"/>
          <w:color w:val="auto"/>
        </w:rPr>
        <w:t>Securities</w:t>
      </w:r>
      <w:r>
        <w:rPr>
          <w:rFonts w:ascii="Arial" w:cs="Arial" w:eastAsia="Arial" w:hAnsi="Arial"/>
          <w:sz w:val="14"/>
          <w:szCs w:val="14"/>
          <w:color w:val="auto"/>
        </w:rPr>
        <w:t>.”</w:t>
      </w:r>
    </w:p>
    <w:p>
      <w:pPr>
        <w:spacing w:after="0" w:line="140" w:lineRule="exact"/>
        <w:rPr>
          <w:sz w:val="20"/>
          <w:szCs w:val="20"/>
          <w:color w:val="auto"/>
        </w:rPr>
      </w:pPr>
    </w:p>
    <w:p>
      <w:pPr>
        <w:jc w:val="both"/>
        <w:ind w:left="320" w:right="339"/>
        <w:spacing w:after="0" w:line="243" w:lineRule="auto"/>
        <w:rPr>
          <w:sz w:val="20"/>
          <w:szCs w:val="20"/>
          <w:color w:val="auto"/>
        </w:rPr>
      </w:pPr>
      <w:r>
        <w:rPr>
          <w:rFonts w:ascii="Arial" w:cs="Arial" w:eastAsia="Arial" w:hAnsi="Arial"/>
          <w:sz w:val="14"/>
          <w:szCs w:val="14"/>
          <w:color w:val="auto"/>
        </w:rPr>
        <w:t>This opinion letter is being furnished in connection with the requirements of Item 601(b)(5) of Regulation S-K under the Act and no opinion is expressed herein as to any matter pertaining to the contents of the Registration Statement, the Prospectus or any Prospectus Supplement, other than as expressly stated herein with respect to the issuance of the Securities.</w:t>
      </w:r>
    </w:p>
    <w:p>
      <w:pPr>
        <w:spacing w:after="0" w:line="137" w:lineRule="exact"/>
        <w:rPr>
          <w:sz w:val="20"/>
          <w:szCs w:val="20"/>
          <w:color w:val="auto"/>
        </w:rPr>
      </w:pPr>
    </w:p>
    <w:p>
      <w:pPr>
        <w:jc w:val="both"/>
        <w:ind w:left="320" w:right="339"/>
        <w:spacing w:after="0" w:line="243" w:lineRule="auto"/>
        <w:rPr>
          <w:sz w:val="20"/>
          <w:szCs w:val="20"/>
          <w:color w:val="auto"/>
        </w:rPr>
      </w:pPr>
      <w:r>
        <w:rPr>
          <w:rFonts w:ascii="Arial" w:cs="Arial" w:eastAsia="Arial" w:hAnsi="Arial"/>
          <w:sz w:val="14"/>
          <w:szCs w:val="14"/>
          <w:color w:val="auto"/>
        </w:rPr>
        <w:t>As such counsel and for purposes of our opinions set forth herein, we have examined and relied upon originals or copies, certified or otherwise identified to our satisfaction, of such documents, corporate records, certificates of public officials and other instruments as we have deemed necessary or appropriate as a basis for the opinions set forth herein, including, without limitation:</w:t>
      </w:r>
    </w:p>
    <w:p>
      <w:pPr>
        <w:spacing w:after="0" w:line="65" w:lineRule="exact"/>
        <w:rPr>
          <w:sz w:val="20"/>
          <w:szCs w:val="20"/>
          <w:color w:val="auto"/>
        </w:rPr>
      </w:pPr>
    </w:p>
    <w:p>
      <w:pPr>
        <w:ind w:left="1060" w:hanging="413"/>
        <w:spacing w:after="0"/>
        <w:tabs>
          <w:tab w:leader="none" w:pos="10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74930</wp:posOffset>
            </wp:positionV>
            <wp:extent cx="224726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2247265" cy="16256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160655</wp:posOffset>
            </wp:positionV>
            <wp:extent cx="1165860" cy="3384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38455"/>
                    </a:xfrm>
                    <a:prstGeom prst="rect">
                      <a:avLst/>
                    </a:prstGeom>
                    <a:noFill/>
                  </pic:spPr>
                </pic:pic>
              </a:graphicData>
            </a:graphic>
          </wp:anchor>
        </w:drawing>
        <w:t>Scilex Holding Company</w:t>
      </w:r>
    </w:p>
    <w:p>
      <w:pPr>
        <w:ind w:left="320"/>
        <w:spacing w:after="0" w:line="236" w:lineRule="auto"/>
        <w:rPr>
          <w:sz w:val="20"/>
          <w:szCs w:val="20"/>
          <w:color w:val="auto"/>
        </w:rPr>
      </w:pPr>
      <w:r>
        <w:rPr>
          <w:rFonts w:ascii="Arial" w:cs="Arial" w:eastAsia="Arial" w:hAnsi="Arial"/>
          <w:sz w:val="14"/>
          <w:szCs w:val="14"/>
          <w:color w:val="auto"/>
        </w:rPr>
        <w:t>April 16, 2026</w:t>
      </w:r>
    </w:p>
    <w:p>
      <w:pPr>
        <w:ind w:left="320"/>
        <w:spacing w:after="0"/>
        <w:rPr>
          <w:sz w:val="20"/>
          <w:szCs w:val="20"/>
          <w:color w:val="auto"/>
        </w:rPr>
      </w:pPr>
      <w:r>
        <w:rPr>
          <w:rFonts w:ascii="Arial" w:cs="Arial" w:eastAsia="Arial" w:hAnsi="Arial"/>
          <w:sz w:val="14"/>
          <w:szCs w:val="14"/>
          <w:color w:val="auto"/>
        </w:rPr>
        <w:t>Page 2</w:t>
      </w:r>
    </w:p>
    <w:p>
      <w:pPr>
        <w:spacing w:after="0" w:line="94" w:lineRule="exact"/>
        <w:rPr>
          <w:sz w:val="20"/>
          <w:szCs w:val="20"/>
          <w:color w:val="auto"/>
        </w:rPr>
      </w:pPr>
    </w:p>
    <w:p>
      <w:pPr>
        <w:ind w:left="1060" w:hanging="413"/>
        <w:spacing w:after="0"/>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Base Prospectus;</w:t>
      </w:r>
    </w:p>
    <w:p>
      <w:pPr>
        <w:spacing w:after="0" w:line="85" w:lineRule="exact"/>
        <w:rPr>
          <w:rFonts w:ascii="Arial" w:cs="Arial" w:eastAsia="Arial" w:hAnsi="Arial"/>
          <w:sz w:val="14"/>
          <w:szCs w:val="14"/>
          <w:color w:val="auto"/>
        </w:rPr>
      </w:pPr>
    </w:p>
    <w:p>
      <w:pPr>
        <w:ind w:left="1060" w:right="339" w:hanging="413"/>
        <w:spacing w:after="0" w:line="266" w:lineRule="auto"/>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Company’s Restated Certificate of Incorporation filed with the Secretary of State of the State of Delaware (the “</w:t>
      </w:r>
      <w:r>
        <w:rPr>
          <w:rFonts w:ascii="Arial" w:cs="Arial" w:eastAsia="Arial" w:hAnsi="Arial"/>
          <w:sz w:val="14"/>
          <w:szCs w:val="14"/>
          <w:b w:val="1"/>
          <w:bCs w:val="1"/>
          <w:i w:val="1"/>
          <w:iCs w:val="1"/>
          <w:color w:val="auto"/>
        </w:rPr>
        <w:t>Certificate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of Incorporation</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ind w:left="1060" w:hanging="413"/>
        <w:spacing w:after="0"/>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Company’s Bylaws (the “</w:t>
      </w:r>
      <w:r>
        <w:rPr>
          <w:rFonts w:ascii="Arial" w:cs="Arial" w:eastAsia="Arial" w:hAnsi="Arial"/>
          <w:sz w:val="14"/>
          <w:szCs w:val="14"/>
          <w:b w:val="1"/>
          <w:bCs w:val="1"/>
          <w:i w:val="1"/>
          <w:iCs w:val="1"/>
          <w:color w:val="auto"/>
        </w:rPr>
        <w:t>Bylaws</w:t>
      </w:r>
      <w:r>
        <w:rPr>
          <w:rFonts w:ascii="Arial" w:cs="Arial" w:eastAsia="Arial" w:hAnsi="Arial"/>
          <w:sz w:val="14"/>
          <w:szCs w:val="14"/>
          <w:color w:val="auto"/>
        </w:rPr>
        <w:t>”);</w:t>
      </w:r>
    </w:p>
    <w:p>
      <w:pPr>
        <w:spacing w:after="0" w:line="85" w:lineRule="exact"/>
        <w:rPr>
          <w:rFonts w:ascii="Arial" w:cs="Arial" w:eastAsia="Arial" w:hAnsi="Arial"/>
          <w:sz w:val="14"/>
          <w:szCs w:val="14"/>
          <w:color w:val="auto"/>
        </w:rPr>
      </w:pPr>
    </w:p>
    <w:p>
      <w:pPr>
        <w:ind w:left="1060" w:right="339" w:hanging="413"/>
        <w:spacing w:after="0" w:line="295" w:lineRule="auto"/>
        <w:tabs>
          <w:tab w:leader="none" w:pos="10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resolutions adopted by the Board of Directors of the Company (the “</w:t>
      </w:r>
      <w:r>
        <w:rPr>
          <w:rFonts w:ascii="Arial" w:cs="Arial" w:eastAsia="Arial" w:hAnsi="Arial"/>
          <w:sz w:val="13"/>
          <w:szCs w:val="13"/>
          <w:b w:val="1"/>
          <w:bCs w:val="1"/>
          <w:i w:val="1"/>
          <w:iCs w:val="1"/>
          <w:color w:val="auto"/>
        </w:rPr>
        <w:t>Board of Directors</w:t>
      </w:r>
      <w:r>
        <w:rPr>
          <w:rFonts w:ascii="Arial" w:cs="Arial" w:eastAsia="Arial" w:hAnsi="Arial"/>
          <w:sz w:val="13"/>
          <w:szCs w:val="13"/>
          <w:color w:val="auto"/>
        </w:rPr>
        <w:t>”) on February 11, 2026, certified by an officer of the Company as of the date hereof, relating to, among other things, the filing of the Registration Statement;</w:t>
      </w:r>
    </w:p>
    <w:p>
      <w:pPr>
        <w:spacing w:after="0" w:line="32" w:lineRule="exact"/>
        <w:rPr>
          <w:rFonts w:ascii="Arial" w:cs="Arial" w:eastAsia="Arial" w:hAnsi="Arial"/>
          <w:sz w:val="13"/>
          <w:szCs w:val="13"/>
          <w:color w:val="auto"/>
        </w:rPr>
      </w:pPr>
    </w:p>
    <w:p>
      <w:pPr>
        <w:ind w:left="1060" w:right="339" w:hanging="413"/>
        <w:spacing w:after="0" w:line="266" w:lineRule="auto"/>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 certificate of the Secretary of State of the State of Delaware certifying as to the formation and good standing of the Company under the laws of the State of Delaware as of April 16, 2026 (the “</w:t>
      </w:r>
      <w:r>
        <w:rPr>
          <w:rFonts w:ascii="Arial" w:cs="Arial" w:eastAsia="Arial" w:hAnsi="Arial"/>
          <w:sz w:val="14"/>
          <w:szCs w:val="14"/>
          <w:b w:val="1"/>
          <w:bCs w:val="1"/>
          <w:i w:val="1"/>
          <w:iCs w:val="1"/>
          <w:color w:val="auto"/>
        </w:rPr>
        <w:t>Good Standing Certificate</w:t>
      </w:r>
      <w:r>
        <w:rPr>
          <w:rFonts w:ascii="Arial" w:cs="Arial" w:eastAsia="Arial" w:hAnsi="Arial"/>
          <w:sz w:val="14"/>
          <w:szCs w:val="14"/>
          <w:color w:val="auto"/>
        </w:rPr>
        <w:t>”); and</w:t>
      </w:r>
    </w:p>
    <w:p>
      <w:pPr>
        <w:spacing w:after="0" w:line="43" w:lineRule="exact"/>
        <w:rPr>
          <w:rFonts w:ascii="Arial" w:cs="Arial" w:eastAsia="Arial" w:hAnsi="Arial"/>
          <w:sz w:val="14"/>
          <w:szCs w:val="14"/>
          <w:color w:val="auto"/>
        </w:rPr>
      </w:pPr>
    </w:p>
    <w:p>
      <w:pPr>
        <w:ind w:left="1060" w:hanging="413"/>
        <w:spacing w:after="0"/>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certificates of officers and representatives of the Company.</w:t>
      </w:r>
    </w:p>
    <w:p>
      <w:pPr>
        <w:spacing w:after="0" w:line="157" w:lineRule="exact"/>
        <w:rPr>
          <w:sz w:val="20"/>
          <w:szCs w:val="20"/>
          <w:color w:val="auto"/>
        </w:rPr>
      </w:pPr>
    </w:p>
    <w:p>
      <w:pPr>
        <w:ind w:left="320" w:right="339"/>
        <w:spacing w:after="0" w:line="257" w:lineRule="auto"/>
        <w:rPr>
          <w:sz w:val="20"/>
          <w:szCs w:val="20"/>
          <w:color w:val="auto"/>
        </w:rPr>
      </w:pPr>
      <w:r>
        <w:rPr>
          <w:rFonts w:ascii="Arial" w:cs="Arial" w:eastAsia="Arial" w:hAnsi="Arial"/>
          <w:sz w:val="14"/>
          <w:szCs w:val="14"/>
          <w:color w:val="auto"/>
        </w:rPr>
        <w:t>In addition to the foregoing, we have made such investigations of law as we have deemed necessary or appropriate as a basis for the opinions set forth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such examination and in rendering the opinions expressed below, we have assumed, without independent investigation or verification:</w:t>
      </w:r>
    </w:p>
    <w:p>
      <w:pPr>
        <w:spacing w:after="0" w:line="16" w:lineRule="exact"/>
        <w:rPr>
          <w:sz w:val="20"/>
          <w:szCs w:val="20"/>
          <w:color w:val="auto"/>
        </w:rPr>
      </w:pPr>
    </w:p>
    <w:p>
      <w:pPr>
        <w:ind w:left="480" w:hanging="161"/>
        <w:spacing w:after="0"/>
        <w:tabs>
          <w:tab w:leader="none" w:pos="4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genuineness of all signatures on all agreements, instruments, corporate records, certificates and other documents submitted to us;</w:t>
      </w:r>
    </w:p>
    <w:p>
      <w:pPr>
        <w:spacing w:after="0" w:line="4" w:lineRule="exact"/>
        <w:rPr>
          <w:rFonts w:ascii="Arial" w:cs="Arial" w:eastAsia="Arial" w:hAnsi="Arial"/>
          <w:sz w:val="13"/>
          <w:szCs w:val="13"/>
          <w:color w:val="auto"/>
        </w:rPr>
      </w:pPr>
    </w:p>
    <w:p>
      <w:pPr>
        <w:jc w:val="both"/>
        <w:ind w:left="320" w:right="339" w:hanging="1"/>
        <w:spacing w:after="0" w:line="230" w:lineRule="auto"/>
        <w:tabs>
          <w:tab w:leader="none" w:pos="511"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legal competency, capacity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(other than the Company), execution and delivery of all agreements, instruments, corporate records, certificates and other documents by all parties thereto;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and there will not be any change in the good standing status of the Company from that which was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w:t>
      </w:r>
    </w:p>
    <w:p>
      <w:pPr>
        <w:spacing w:after="0" w:line="145" w:lineRule="exact"/>
        <w:rPr>
          <w:sz w:val="20"/>
          <w:szCs w:val="20"/>
          <w:color w:val="auto"/>
        </w:rPr>
      </w:pPr>
    </w:p>
    <w:p>
      <w:pPr>
        <w:jc w:val="both"/>
        <w:ind w:left="320" w:right="339"/>
        <w:spacing w:after="0" w:line="237" w:lineRule="auto"/>
        <w:rPr>
          <w:sz w:val="20"/>
          <w:szCs w:val="20"/>
          <w:color w:val="auto"/>
        </w:rPr>
      </w:pPr>
      <w:r>
        <w:rPr>
          <w:rFonts w:ascii="Arial" w:cs="Arial" w:eastAsia="Arial" w:hAnsi="Arial"/>
          <w:sz w:val="14"/>
          <w:szCs w:val="14"/>
          <w:color w:val="auto"/>
        </w:rPr>
        <w:t>With your consent, we have assumed that (i) each of the Debt Securities and any related Indenture and any supplemental indenture, term sheet or certificate establishing the terms thereof, the Warrants and any related Warrant Agreement, the Rights and any related rights agreement, the Units and any related Unit Agreement and any purchase, underwriting, sales agreement or similar agreement (collectively, the “</w:t>
      </w:r>
      <w:r>
        <w:rPr>
          <w:rFonts w:ascii="Arial" w:cs="Arial" w:eastAsia="Arial" w:hAnsi="Arial"/>
          <w:sz w:val="14"/>
          <w:szCs w:val="14"/>
          <w:b w:val="1"/>
          <w:bCs w:val="1"/>
          <w:i w:val="1"/>
          <w:iCs w:val="1"/>
          <w:color w:val="auto"/>
        </w:rPr>
        <w:t>Documents</w:t>
      </w:r>
      <w:r>
        <w:rPr>
          <w:rFonts w:ascii="Arial" w:cs="Arial" w:eastAsia="Arial" w:hAnsi="Arial"/>
          <w:sz w:val="14"/>
          <w:szCs w:val="14"/>
          <w:color w:val="auto"/>
        </w:rPr>
        <w:t>”) will be governed by the internal laws of the State of New York and that the choice of law is legally enforceable, (ii) the Documents (other than the Indenture) will contain all provisions required under</w:t>
      </w:r>
    </w:p>
    <w:p>
      <w:pPr>
        <w:sectPr>
          <w:pgSz w:w="11900" w:h="16838" w:orient="portrait"/>
          <w:cols w:equalWidth="0" w:num="1">
            <w:col w:w="9019"/>
          </w:cols>
          <w:pgMar w:left="1440" w:top="937" w:right="1440" w:bottom="1440" w:gutter="0" w:footer="0" w:header="0"/>
        </w:sectPr>
      </w:pPr>
    </w:p>
    <w:bookmarkStart w:id="96" w:name="page97"/>
    <w:bookmarkEnd w:id="96"/>
    <w:p>
      <w:pPr>
        <w:ind w:left="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160655</wp:posOffset>
            </wp:positionV>
            <wp:extent cx="1165860" cy="338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38455"/>
                    </a:xfrm>
                    <a:prstGeom prst="rect">
                      <a:avLst/>
                    </a:prstGeom>
                    <a:noFill/>
                  </pic:spPr>
                </pic:pic>
              </a:graphicData>
            </a:graphic>
          </wp:anchor>
        </w:drawing>
        <w:t>Scilex Holding Company</w:t>
      </w:r>
    </w:p>
    <w:p>
      <w:pPr>
        <w:ind w:left="320"/>
        <w:spacing w:after="0" w:line="236" w:lineRule="auto"/>
        <w:rPr>
          <w:sz w:val="20"/>
          <w:szCs w:val="20"/>
          <w:color w:val="auto"/>
        </w:rPr>
      </w:pPr>
      <w:r>
        <w:rPr>
          <w:rFonts w:ascii="Arial" w:cs="Arial" w:eastAsia="Arial" w:hAnsi="Arial"/>
          <w:sz w:val="14"/>
          <w:szCs w:val="14"/>
          <w:color w:val="auto"/>
        </w:rPr>
        <w:t>April 16, 2026</w:t>
      </w:r>
    </w:p>
    <w:p>
      <w:pPr>
        <w:ind w:left="320"/>
        <w:spacing w:after="0"/>
        <w:rPr>
          <w:sz w:val="20"/>
          <w:szCs w:val="20"/>
          <w:color w:val="auto"/>
        </w:rPr>
      </w:pPr>
      <w:r>
        <w:rPr>
          <w:rFonts w:ascii="Arial" w:cs="Arial" w:eastAsia="Arial" w:hAnsi="Arial"/>
          <w:sz w:val="14"/>
          <w:szCs w:val="14"/>
          <w:color w:val="auto"/>
        </w:rPr>
        <w:t>Page 3</w:t>
      </w:r>
    </w:p>
    <w:p>
      <w:pPr>
        <w:spacing w:after="0" w:line="94" w:lineRule="exact"/>
        <w:rPr>
          <w:sz w:val="20"/>
          <w:szCs w:val="20"/>
          <w:color w:val="auto"/>
        </w:rPr>
      </w:pPr>
    </w:p>
    <w:p>
      <w:pPr>
        <w:jc w:val="both"/>
        <w:ind w:left="320" w:right="339"/>
        <w:spacing w:after="0" w:line="243" w:lineRule="auto"/>
        <w:rPr>
          <w:sz w:val="20"/>
          <w:szCs w:val="20"/>
          <w:color w:val="auto"/>
        </w:rPr>
      </w:pPr>
      <w:r>
        <w:rPr>
          <w:rFonts w:ascii="Arial" w:cs="Arial" w:eastAsia="Arial" w:hAnsi="Arial"/>
          <w:sz w:val="14"/>
          <w:szCs w:val="14"/>
          <w:color w:val="auto"/>
        </w:rPr>
        <w:t>the laws of the State of Delaware in respect of contracts for the sale of securities issued by a Delaware corporation, (iii) each of the Documents will be duly authorized, executed and delivered by the parties thereto, and (iv) each of the Documents will constitute valid and binding obligations of the parties thereto, enforceable against such parties in accordance with their respective terms.</w:t>
      </w:r>
    </w:p>
    <w:p>
      <w:pPr>
        <w:spacing w:after="0" w:line="137" w:lineRule="exact"/>
        <w:rPr>
          <w:sz w:val="20"/>
          <w:szCs w:val="20"/>
          <w:color w:val="auto"/>
        </w:rPr>
      </w:pPr>
    </w:p>
    <w:p>
      <w:pPr>
        <w:jc w:val="both"/>
        <w:ind w:left="320" w:right="339"/>
        <w:spacing w:after="0" w:line="234" w:lineRule="auto"/>
        <w:rPr>
          <w:sz w:val="20"/>
          <w:szCs w:val="20"/>
          <w:color w:val="auto"/>
        </w:rPr>
      </w:pPr>
      <w:r>
        <w:rPr>
          <w:rFonts w:ascii="Arial" w:cs="Arial" w:eastAsia="Arial" w:hAnsi="Arial"/>
          <w:sz w:val="14"/>
          <w:szCs w:val="14"/>
          <w:color w:val="auto"/>
        </w:rPr>
        <w:t>We also have assumed that none of (i) the execution, delivery or performance of any of the Documents, (ii) the terms of any of the Securities to be established after the date hereof, (iii) the issuance or delivery of such Securities, or (iv) the compliance by the Company with the terms of such Securities will (a) violate any applicable law, rule or regulation to which the Company is then subject or the Certificate of Incorporation or the Bylaws, each as then in effect, (b) result in a breach of or default under any instrument or agreement then binding upon the Company or any of its properties, or (c) violate, or cause the Company not to comply with, any consent, approval, license, authorization, restriction or requirement imposed by, or any filing, recording or registration with, any court or governmental body having jurisdiction over the Company.</w:t>
      </w:r>
    </w:p>
    <w:p>
      <w:pPr>
        <w:spacing w:after="0" w:line="142" w:lineRule="exact"/>
        <w:rPr>
          <w:sz w:val="20"/>
          <w:szCs w:val="20"/>
          <w:color w:val="auto"/>
        </w:rPr>
      </w:pPr>
    </w:p>
    <w:p>
      <w:pPr>
        <w:jc w:val="both"/>
        <w:ind w:left="320" w:right="339"/>
        <w:spacing w:after="0" w:line="250" w:lineRule="auto"/>
        <w:rPr>
          <w:sz w:val="20"/>
          <w:szCs w:val="20"/>
          <w:color w:val="auto"/>
        </w:rPr>
      </w:pPr>
      <w:r>
        <w:rPr>
          <w:rFonts w:ascii="Arial" w:cs="Arial" w:eastAsia="Arial" w:hAnsi="Arial"/>
          <w:sz w:val="13"/>
          <w:szCs w:val="13"/>
          <w:color w:val="auto"/>
        </w:rPr>
        <w:t>We have further assumed that: (i) the Registration Statement and any amendments thereto will be effective under the Act (and such effectiveness shall not have been terminated or rescinded) and comply with all applicable laws at the time the Securities are offered and issued as contemplated by the Registration Statement, the Base Prospectus and any Prospectus Supplement, as applicable; (ii) an appropriate Prospectus Supplement relating to the Securities offered thereby will have been prepared and filed with the Commission in compliance with the Act and will comply with all applicable laws at the time the Securities are offered and issued as contemplated by the Registration Statement, the Base Prospectus and such Prospectus Supplement; (iii) the terms of the Securities will conform to the descriptions thereof in the Registration Statement, the Base Prospectus and any Prospectus Supplement, as applicable, and the corporate action of the Company authorizing the issuance and sale of such Securities; (iv) all Securities will be issued and sold in compliance with the applicable provisions of the Act, the Trust Indenture Act of 1939, as amended (the “</w:t>
      </w:r>
      <w:r>
        <w:rPr>
          <w:rFonts w:ascii="Arial" w:cs="Arial" w:eastAsia="Arial" w:hAnsi="Arial"/>
          <w:sz w:val="13"/>
          <w:szCs w:val="13"/>
          <w:b w:val="1"/>
          <w:bCs w:val="1"/>
          <w:i w:val="1"/>
          <w:iCs w:val="1"/>
          <w:color w:val="auto"/>
        </w:rPr>
        <w:t>TIA</w:t>
      </w:r>
      <w:r>
        <w:rPr>
          <w:rFonts w:ascii="Arial" w:cs="Arial" w:eastAsia="Arial" w:hAnsi="Arial"/>
          <w:sz w:val="13"/>
          <w:szCs w:val="13"/>
          <w:color w:val="auto"/>
        </w:rPr>
        <w:t>”), if applicable, and the securities laws or blue sky laws of various states and in the manner stated in the Registration Statement, the Base Prospectus and any Prospectus Supplement, as applicable; (v) the Indenture, any supplemental indentures and the Trustee will have been qualified pursuant to the TIA, at the time the Securities are offered or issued (or such later time as may be permitted pursuant to the rules, regulations, interpretations or positions of the Commission), as contemplated by the Registration Statement; and (vi) the number of shares of Common Stock or Preferred Stock, as the case may be, offered pursuant to the Registration Statement, the Base Prospectus and any Prospectus Supplement, as applicable, or, in the case of Preferred Stock, Debt Securities, Warrants, Rights and Units, as applicable, represented by, comprising or issuable upon exchange, exercise or conversion of such Securities, does not exceed, at the time of issuance of such Securities, the authorized but unissued shares of Common Stock or Preferred Stock, as the case may be.</w:t>
      </w:r>
    </w:p>
    <w:p>
      <w:pPr>
        <w:spacing w:after="0" w:line="288" w:lineRule="exact"/>
        <w:rPr>
          <w:sz w:val="20"/>
          <w:szCs w:val="20"/>
          <w:color w:val="auto"/>
        </w:rPr>
      </w:pPr>
    </w:p>
    <w:p>
      <w:pPr>
        <w:jc w:val="both"/>
        <w:ind w:left="320" w:right="339"/>
        <w:spacing w:after="0" w:line="257" w:lineRule="auto"/>
        <w:rPr>
          <w:sz w:val="20"/>
          <w:szCs w:val="20"/>
          <w:color w:val="auto"/>
        </w:rPr>
      </w:pPr>
      <w:r>
        <w:rPr>
          <w:rFonts w:ascii="Arial" w:cs="Arial" w:eastAsia="Arial" w:hAnsi="Arial"/>
          <w:sz w:val="14"/>
          <w:szCs w:val="14"/>
          <w:color w:val="auto"/>
        </w:rPr>
        <w:t>Based upon the foregoing, and in reliance thereon, and subject to the assumptions, limitations, qualifications and exceptions set forth herein, it is our opinion that, as of the date hereof:</w:t>
      </w:r>
    </w:p>
    <w:p>
      <w:pPr>
        <w:spacing w:after="0" w:line="45" w:lineRule="exact"/>
        <w:rPr>
          <w:sz w:val="20"/>
          <w:szCs w:val="20"/>
          <w:color w:val="auto"/>
        </w:rPr>
      </w:pPr>
    </w:p>
    <w:p>
      <w:pPr>
        <w:jc w:val="both"/>
        <w:ind w:left="320" w:right="339" w:firstLine="333"/>
        <w:spacing w:after="0" w:line="234" w:lineRule="auto"/>
        <w:tabs>
          <w:tab w:leader="none" w:pos="809" w:val="left"/>
        </w:tabs>
        <w:numPr>
          <w:ilvl w:val="0"/>
          <w:numId w:val="77"/>
        </w:numPr>
        <w:rPr>
          <w:rFonts w:ascii="Arial" w:cs="Arial" w:eastAsia="Arial" w:hAnsi="Arial"/>
          <w:sz w:val="14"/>
          <w:szCs w:val="14"/>
          <w:color w:val="auto"/>
        </w:rPr>
      </w:pPr>
      <w:r>
        <w:rPr>
          <w:rFonts w:ascii="Arial" w:cs="Arial" w:eastAsia="Arial" w:hAnsi="Arial"/>
          <w:sz w:val="14"/>
          <w:szCs w:val="14"/>
          <w:color w:val="auto"/>
        </w:rPr>
        <w:t>With respect to any shares of Common Stock to be offered by the Company pursuant to the Registration Statement (including any shares of Common Stock duly issued upon the exchange, exercise or conversion of Securities that are exchangeable or exercisable for, or convertible into, Common Stock), when (a) the issuance of such shares of Common Stock has been duly authorized by all necessary corporate action of the Company, and (b) such shares of Common Stock have been duly issued and delivered against payment of the consideration therefor (not less than the par value of the Common Stock) as contemplated by the Registration Statement, the Base Prospectus, any applicable Prospectus Supplement, any applicable Documents and such corporate action, such shares of Common Stock will be validly issued, fully paid and nonassessable.</w:t>
      </w:r>
    </w:p>
    <w:p>
      <w:pPr>
        <w:sectPr>
          <w:pgSz w:w="11900" w:h="16838" w:orient="portrait"/>
          <w:cols w:equalWidth="0" w:num="1">
            <w:col w:w="9019"/>
          </w:cols>
          <w:pgMar w:left="1440" w:top="937" w:right="1440" w:bottom="1440" w:gutter="0" w:footer="0" w:header="0"/>
        </w:sectPr>
      </w:pPr>
    </w:p>
    <w:bookmarkStart w:id="97" w:name="page98"/>
    <w:bookmarkEnd w:id="97"/>
    <w:p>
      <w:pPr>
        <w:ind w:left="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160655</wp:posOffset>
            </wp:positionV>
            <wp:extent cx="1165860" cy="3384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38455"/>
                    </a:xfrm>
                    <a:prstGeom prst="rect">
                      <a:avLst/>
                    </a:prstGeom>
                    <a:noFill/>
                  </pic:spPr>
                </pic:pic>
              </a:graphicData>
            </a:graphic>
          </wp:anchor>
        </w:drawing>
        <w:t>Scilex Holding Company</w:t>
      </w:r>
    </w:p>
    <w:p>
      <w:pPr>
        <w:ind w:left="320"/>
        <w:spacing w:after="0" w:line="236" w:lineRule="auto"/>
        <w:rPr>
          <w:sz w:val="20"/>
          <w:szCs w:val="20"/>
          <w:color w:val="auto"/>
        </w:rPr>
      </w:pPr>
      <w:r>
        <w:rPr>
          <w:rFonts w:ascii="Arial" w:cs="Arial" w:eastAsia="Arial" w:hAnsi="Arial"/>
          <w:sz w:val="14"/>
          <w:szCs w:val="14"/>
          <w:color w:val="auto"/>
        </w:rPr>
        <w:t>April 16, 2026</w:t>
      </w:r>
    </w:p>
    <w:p>
      <w:pPr>
        <w:ind w:left="320"/>
        <w:spacing w:after="0"/>
        <w:rPr>
          <w:sz w:val="20"/>
          <w:szCs w:val="20"/>
          <w:color w:val="auto"/>
        </w:rPr>
      </w:pPr>
      <w:r>
        <w:rPr>
          <w:rFonts w:ascii="Arial" w:cs="Arial" w:eastAsia="Arial" w:hAnsi="Arial"/>
          <w:sz w:val="14"/>
          <w:szCs w:val="14"/>
          <w:color w:val="auto"/>
        </w:rPr>
        <w:t>Page 4</w:t>
      </w:r>
    </w:p>
    <w:p>
      <w:pPr>
        <w:spacing w:after="0" w:line="94" w:lineRule="exact"/>
        <w:rPr>
          <w:sz w:val="20"/>
          <w:szCs w:val="20"/>
          <w:color w:val="auto"/>
        </w:rPr>
      </w:pPr>
    </w:p>
    <w:p>
      <w:pPr>
        <w:jc w:val="both"/>
        <w:ind w:left="320" w:right="339" w:firstLine="333"/>
        <w:spacing w:after="0" w:line="251" w:lineRule="auto"/>
        <w:tabs>
          <w:tab w:leader="none" w:pos="808" w:val="left"/>
        </w:tabs>
        <w:numPr>
          <w:ilvl w:val="1"/>
          <w:numId w:val="78"/>
        </w:numPr>
        <w:rPr>
          <w:rFonts w:ascii="Arial" w:cs="Arial" w:eastAsia="Arial" w:hAnsi="Arial"/>
          <w:sz w:val="13"/>
          <w:szCs w:val="13"/>
          <w:color w:val="auto"/>
        </w:rPr>
      </w:pPr>
      <w:r>
        <w:rPr>
          <w:rFonts w:ascii="Arial" w:cs="Arial" w:eastAsia="Arial" w:hAnsi="Arial"/>
          <w:sz w:val="13"/>
          <w:szCs w:val="13"/>
          <w:color w:val="auto"/>
        </w:rPr>
        <w:t>With respect to any shares of Preferred Stock to be offered by the Company pursuant to the Registration Statement (including any shares of Preferred Stock duly issued upon the exchange, exercise or conversion of Securities that are exchangeable or exercisable for, or convertible into, Preferred Stock), when (a) a series of Preferred Stock has been duly established in accordance with the terms of the Certificate of Incorporation and applicable law and authorized by all necessary corporate action of the Company, (b) the relative rights, preferences and limitations of such series of Preferred Stock have been designated by all necessary corporate action of the Company and set forth in a Certificate of Designation or amendment to the Certificate of Incorporation properly filed with the Secretary of State of the State of Delaware, (c) the issuance of such shares of Preferred Stock has been duly authorized by all necessary corporate action of the Company, (d) such shares of Preferred Stock have been duly issued and delivered against payment of the consideration therefor (not less than the par value of the Preferred Stock), as contemplated by the Registration Statement, the Base Prospectus, any applicable Prospectus Supplement, any applicable Documents and such corporate action, and (e) if such shares of Preferred Stock are convertible into shares of Common Stock, such shares of Common Stock have been duly authorized and reserved for issuance by all necessary corporate action of the Company, such shares of Preferred Stock will be validly issued, fully paid and nonassessable.</w:t>
      </w:r>
    </w:p>
    <w:p>
      <w:pPr>
        <w:spacing w:after="0" w:line="134" w:lineRule="exact"/>
        <w:rPr>
          <w:rFonts w:ascii="Arial" w:cs="Arial" w:eastAsia="Arial" w:hAnsi="Arial"/>
          <w:sz w:val="13"/>
          <w:szCs w:val="13"/>
          <w:color w:val="auto"/>
        </w:rPr>
      </w:pPr>
    </w:p>
    <w:p>
      <w:pPr>
        <w:jc w:val="both"/>
        <w:ind w:left="320" w:right="339" w:firstLine="333"/>
        <w:spacing w:after="0" w:line="232" w:lineRule="auto"/>
        <w:tabs>
          <w:tab w:leader="none" w:pos="809" w:val="left"/>
        </w:tabs>
        <w:numPr>
          <w:ilvl w:val="1"/>
          <w:numId w:val="78"/>
        </w:numPr>
        <w:rPr>
          <w:rFonts w:ascii="Arial" w:cs="Arial" w:eastAsia="Arial" w:hAnsi="Arial"/>
          <w:sz w:val="14"/>
          <w:szCs w:val="14"/>
          <w:color w:val="auto"/>
        </w:rPr>
      </w:pPr>
      <w:r>
        <w:rPr>
          <w:rFonts w:ascii="Arial" w:cs="Arial" w:eastAsia="Arial" w:hAnsi="Arial"/>
          <w:sz w:val="14"/>
          <w:szCs w:val="14"/>
          <w:color w:val="auto"/>
        </w:rPr>
        <w:t>With respect to any series of Debt Securities (including any Debt Securities duly issued upon conversion, exchange or exercise of any other Debt Securities, Preferred Stock, Warrants or Rights) to be offered by the Company pursuant to the Registration Statement, when (a) the Indenture and any supplemental indentures have been duly authorized, executed and delivered by the Company and the Trustee and has been qualified under the TIA, (b) the specific terms of a particular series of Debt Securities have been duly established in accordance with such Indenture and any supplemental indentures and applicable law, (c) such Debt Securities have been duly authorized by all necessary corporate action of the Company, duly authenticated by the Trustee and duly executed, issued and delivered against payment of the consideration therefor in accordance with such Indenture and any supplemental indentures and any applicable purchase, underwriting, sales or similar agreement and as contemplated by the Registration Statement, the Base Prospectus, any applicable Prospectus Supplement, any applicable Documents and such corporate action, and (d) if such Debt Securities are convertible into shares of Common Stock or Preferred Stock, such shares of Common Stock or Preferred Stock have been duly authorized and reserved for issuance by all necessary corporate action of the Company and in accordance with the applicable Indenture and any supplemental indentures, such Debt Securities will constitute binding obligations of the Company, enforceable against the Company in accordance with their terms.</w:t>
      </w:r>
    </w:p>
    <w:p>
      <w:pPr>
        <w:spacing w:after="0" w:line="141" w:lineRule="exact"/>
        <w:rPr>
          <w:rFonts w:ascii="Arial" w:cs="Arial" w:eastAsia="Arial" w:hAnsi="Arial"/>
          <w:sz w:val="14"/>
          <w:szCs w:val="14"/>
          <w:color w:val="auto"/>
        </w:rPr>
      </w:pPr>
    </w:p>
    <w:p>
      <w:pPr>
        <w:jc w:val="both"/>
        <w:ind w:left="320" w:right="339" w:firstLine="333"/>
        <w:spacing w:after="0" w:line="250" w:lineRule="auto"/>
        <w:tabs>
          <w:tab w:leader="none" w:pos="8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With respect to any Warrants to be offered by the Company pursuant to the Registration Statement, when (a) a Warrant Agreement has been duly authorized, executed and delivered by the Company and the Warrant Agent named therein, (b) the specific terms of the particular issuance of Warrants have been duly established in accordance with such Warrant Agreement and applicable law and authorized by all necessary corporate action of the Company, (c) the Warrants have been duly executed, countersigned, issued and delivered against payment therefor in accordance with such Warrant Agreement and as contemplated by the Registration Statement, the Base Prospectus, any applicable Prospectus Supplement, any applicable Documents and such corporate action, and (d) as applicable,</w:t>
      </w:r>
    </w:p>
    <w:p>
      <w:pPr>
        <w:jc w:val="both"/>
        <w:ind w:left="320" w:right="339" w:hanging="1"/>
        <w:spacing w:after="0" w:line="232" w:lineRule="auto"/>
        <w:tabs>
          <w:tab w:leader="none" w:pos="49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of Common Stock or Preferred Stock issuable upon exercise of the Warrants have been duly authorized and reserved for issuance upon exercise of the Warrants, or (ii) the Debt Securities issuable upon exercise of such Warrants have been duly authorized, executed and authenticated in accordance with the provisions of the applicable Indenture and reserved for delivery upon exercise of the Warrants, in each case by all necessary corporate action of the Company and in accordance with the terms of the Warrants and the Warrant Agreement, such Warrants will constitute binding obligations of the Company, enforceable against the Company in accordance with their terms.</w:t>
      </w:r>
    </w:p>
    <w:p>
      <w:pPr>
        <w:sectPr>
          <w:pgSz w:w="11900" w:h="16838" w:orient="portrait"/>
          <w:cols w:equalWidth="0" w:num="1">
            <w:col w:w="9019"/>
          </w:cols>
          <w:pgMar w:left="1440" w:top="937" w:right="1440" w:bottom="1440" w:gutter="0" w:footer="0" w:header="0"/>
        </w:sectPr>
      </w:pPr>
    </w:p>
    <w:bookmarkStart w:id="98" w:name="page99"/>
    <w:bookmarkEnd w:id="98"/>
    <w:p>
      <w:pPr>
        <w:ind w:left="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160655</wp:posOffset>
            </wp:positionV>
            <wp:extent cx="1165860" cy="3384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38455"/>
                    </a:xfrm>
                    <a:prstGeom prst="rect">
                      <a:avLst/>
                    </a:prstGeom>
                    <a:noFill/>
                  </pic:spPr>
                </pic:pic>
              </a:graphicData>
            </a:graphic>
          </wp:anchor>
        </w:drawing>
        <w:t>Scilex Holding Company</w:t>
      </w:r>
    </w:p>
    <w:p>
      <w:pPr>
        <w:ind w:left="320"/>
        <w:spacing w:after="0" w:line="236" w:lineRule="auto"/>
        <w:rPr>
          <w:sz w:val="20"/>
          <w:szCs w:val="20"/>
          <w:color w:val="auto"/>
        </w:rPr>
      </w:pPr>
      <w:r>
        <w:rPr>
          <w:rFonts w:ascii="Arial" w:cs="Arial" w:eastAsia="Arial" w:hAnsi="Arial"/>
          <w:sz w:val="14"/>
          <w:szCs w:val="14"/>
          <w:color w:val="auto"/>
        </w:rPr>
        <w:t>April 16, 2026</w:t>
      </w:r>
    </w:p>
    <w:p>
      <w:pPr>
        <w:ind w:left="320"/>
        <w:spacing w:after="0"/>
        <w:rPr>
          <w:sz w:val="20"/>
          <w:szCs w:val="20"/>
          <w:color w:val="auto"/>
        </w:rPr>
      </w:pPr>
      <w:r>
        <w:rPr>
          <w:rFonts w:ascii="Arial" w:cs="Arial" w:eastAsia="Arial" w:hAnsi="Arial"/>
          <w:sz w:val="14"/>
          <w:szCs w:val="14"/>
          <w:color w:val="auto"/>
        </w:rPr>
        <w:t>Page 5</w:t>
      </w:r>
    </w:p>
    <w:p>
      <w:pPr>
        <w:spacing w:after="0" w:line="94" w:lineRule="exact"/>
        <w:rPr>
          <w:sz w:val="20"/>
          <w:szCs w:val="20"/>
          <w:color w:val="auto"/>
        </w:rPr>
      </w:pPr>
    </w:p>
    <w:p>
      <w:pPr>
        <w:jc w:val="both"/>
        <w:ind w:left="320" w:right="339" w:firstLine="333"/>
        <w:spacing w:after="0" w:line="233" w:lineRule="auto"/>
        <w:tabs>
          <w:tab w:leader="none" w:pos="808" w:val="left"/>
        </w:tabs>
        <w:numPr>
          <w:ilvl w:val="1"/>
          <w:numId w:val="80"/>
        </w:numPr>
        <w:rPr>
          <w:rFonts w:ascii="Arial" w:cs="Arial" w:eastAsia="Arial" w:hAnsi="Arial"/>
          <w:sz w:val="14"/>
          <w:szCs w:val="14"/>
          <w:color w:val="auto"/>
        </w:rPr>
      </w:pPr>
      <w:r>
        <w:rPr>
          <w:rFonts w:ascii="Arial" w:cs="Arial" w:eastAsia="Arial" w:hAnsi="Arial"/>
          <w:sz w:val="14"/>
          <w:szCs w:val="14"/>
          <w:color w:val="auto"/>
        </w:rPr>
        <w:t>With respect to any Rights to be offered by the Company pursuant to the Registration Statement, when (a) a rights agreement has been duly authorized, executed and delivered by the Company and the subscription agent named therein, (b) the specific terms of the particular issuance of Rights have been duly established in accordance with such rights agreement and applicable law and authorized by all necessary corporate action of the Company, (c) the Rights have been duly executed, countersigned, issued and delivered against payment therefor in accordance with such rights agreement and as contemplated by the Registration Statement, the Base Prospectus, any applicable Prospectus Supplement, any applicable Documents and such corporate action, and (d) the Securities relating to such Rights, as applicable, have been duly authorized and reserved for issuance by all necessary corporate action of the Company and in accordance with the terms of the Rights and the rights agreement, such Rights will constitute binding obligations of the Company, enforceable against the Company in accordance with their terms.</w:t>
      </w:r>
    </w:p>
    <w:p>
      <w:pPr>
        <w:spacing w:after="0" w:line="142" w:lineRule="exact"/>
        <w:rPr>
          <w:rFonts w:ascii="Arial" w:cs="Arial" w:eastAsia="Arial" w:hAnsi="Arial"/>
          <w:sz w:val="14"/>
          <w:szCs w:val="14"/>
          <w:color w:val="auto"/>
        </w:rPr>
      </w:pPr>
    </w:p>
    <w:p>
      <w:pPr>
        <w:jc w:val="both"/>
        <w:ind w:left="320" w:right="339" w:firstLine="333"/>
        <w:spacing w:after="0" w:line="249" w:lineRule="auto"/>
        <w:tabs>
          <w:tab w:leader="none" w:pos="824" w:val="left"/>
        </w:tabs>
        <w:numPr>
          <w:ilvl w:val="1"/>
          <w:numId w:val="80"/>
        </w:numPr>
        <w:rPr>
          <w:rFonts w:ascii="Arial" w:cs="Arial" w:eastAsia="Arial" w:hAnsi="Arial"/>
          <w:sz w:val="13"/>
          <w:szCs w:val="13"/>
          <w:color w:val="auto"/>
        </w:rPr>
      </w:pPr>
      <w:r>
        <w:rPr>
          <w:rFonts w:ascii="Arial" w:cs="Arial" w:eastAsia="Arial" w:hAnsi="Arial"/>
          <w:sz w:val="13"/>
          <w:szCs w:val="13"/>
          <w:color w:val="auto"/>
        </w:rPr>
        <w:t>With respect to any Units to be offered by the Company pursuant to the Registration Statement, when (a) the applicable Unit Agreement has been duly authorized, executed and delivered by all necessary corporate action of the Company and the counterparty named therein, (b) the specific terms of a particular issuance of Units have been duly established in accordance with such Unit Agreement and applicable law and authorized by all necessary corporate action of the Company, (c) the Units have been duly executed, countersigned, issued and delivered against payment of the consideration therefor in accordance with such Unit Agreement and as contemplated by the Registration Statement, the Base Prospectus, any applicable Prospectus Supplement, any applicable Documents and such corporate action, and (d) as applicable, (i) the shares of Common Stock or Preferred Stock (A) comprising such Units and/or,</w:t>
      </w:r>
    </w:p>
    <w:p>
      <w:pPr>
        <w:spacing w:after="0" w:line="3" w:lineRule="exact"/>
        <w:rPr>
          <w:rFonts w:ascii="Arial" w:cs="Arial" w:eastAsia="Arial" w:hAnsi="Arial"/>
          <w:sz w:val="13"/>
          <w:szCs w:val="13"/>
          <w:color w:val="auto"/>
        </w:rPr>
      </w:pPr>
    </w:p>
    <w:p>
      <w:pPr>
        <w:jc w:val="both"/>
        <w:ind w:left="320" w:right="339" w:hanging="1"/>
        <w:spacing w:after="0" w:line="232" w:lineRule="auto"/>
        <w:tabs>
          <w:tab w:leader="none" w:pos="576"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underlying the Warrants comprising such Units have been duly authorized and reserved for issuance, (ii) the Debt Securities comprising such Units have been duly authorized, authenticated, executed, issued and delivered in accordance with the provisions of the applicable Indenture, (iii) the Rights comprising such Units have been duly executed, countersigned, issued and delivered in accordance with the applicable rights agreement, and/or (iv) the Warrants comprising such Units have been duly executed, countersigned, issued and delivered in accordance with the applicable Warrant Agreement, in each case by all necessary corporate action of the Company and in accordance with the terms of such Units and such Unit Agreement, such Units will constitute binding obligations of the Company, enforceable against the Company in accordance with their terms.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opinions expressed herein are subject to the following exceptions, qualifications and limitations:</w:t>
      </w:r>
    </w:p>
    <w:p>
      <w:pPr>
        <w:spacing w:after="0" w:line="75" w:lineRule="exact"/>
        <w:rPr>
          <w:sz w:val="20"/>
          <w:szCs w:val="20"/>
          <w:color w:val="auto"/>
        </w:rPr>
      </w:pPr>
    </w:p>
    <w:p>
      <w:pPr>
        <w:jc w:val="both"/>
        <w:ind w:left="320" w:right="339" w:firstLine="335"/>
        <w:spacing w:after="0" w:line="235" w:lineRule="auto"/>
        <w:rPr>
          <w:sz w:val="20"/>
          <w:szCs w:val="20"/>
          <w:color w:val="auto"/>
        </w:rPr>
      </w:pPr>
      <w:r>
        <w:rPr>
          <w:rFonts w:ascii="Arial" w:cs="Arial" w:eastAsia="Arial" w:hAnsi="Arial"/>
          <w:sz w:val="14"/>
          <w:szCs w:val="14"/>
          <w:color w:val="auto"/>
        </w:rPr>
        <w:t>A. They are limited by the effect of (i) any applicable bankruptcy, insolvency, reorganization, moratorium or similar law and principles affecting creditors’ rights generally, including, without limitation, fraudulent transfer or fraudulent conveyance laws, and (ii) general principles of equity (including, without limitation, concepts of materiality, reasonableness, good faith and fair dealing) and the availability of equitable remedies (including, without limitation, specific performance and equitable relief), regardless of whether considered in a proceeding in equity or at law. In addition, we express no opinion as to the validity, binding effect or enforceability of any provision of the Indenture relating to the separability of provisions of the Indenture.</w:t>
      </w:r>
    </w:p>
    <w:p>
      <w:pPr>
        <w:spacing w:after="0" w:line="142" w:lineRule="exact"/>
        <w:rPr>
          <w:sz w:val="20"/>
          <w:szCs w:val="20"/>
          <w:color w:val="auto"/>
        </w:rPr>
      </w:pPr>
    </w:p>
    <w:p>
      <w:pPr>
        <w:jc w:val="both"/>
        <w:ind w:left="320" w:right="339" w:firstLine="335"/>
        <w:spacing w:after="0" w:line="239" w:lineRule="auto"/>
        <w:rPr>
          <w:sz w:val="20"/>
          <w:szCs w:val="20"/>
          <w:color w:val="auto"/>
        </w:rPr>
      </w:pPr>
      <w:r>
        <w:rPr>
          <w:rFonts w:ascii="Arial" w:cs="Arial" w:eastAsia="Arial" w:hAnsi="Arial"/>
          <w:sz w:val="14"/>
          <w:szCs w:val="14"/>
          <w:color w:val="auto"/>
        </w:rPr>
        <w:t>B. With reference to, but without limiting in any way, qualification (A) above, any provisions of the Securities (i) regarding the recovery of attorneys’ fees for a person who is not the prevailing party in a final proceeding, (ii) imposing a payment obligation with respect to the Company’s obligations or (iii) whereby a party purports to ratify acts in advance of the occurrence of such acts, is or may be unenforceable in whole or in part under applicable law.</w:t>
      </w:r>
    </w:p>
    <w:p>
      <w:pPr>
        <w:spacing w:after="0" w:line="138" w:lineRule="exact"/>
        <w:rPr>
          <w:sz w:val="20"/>
          <w:szCs w:val="20"/>
          <w:color w:val="auto"/>
        </w:rPr>
      </w:pPr>
    </w:p>
    <w:p>
      <w:pPr>
        <w:jc w:val="both"/>
        <w:ind w:left="320" w:right="339" w:firstLine="335"/>
        <w:spacing w:after="0" w:line="257" w:lineRule="auto"/>
        <w:rPr>
          <w:sz w:val="20"/>
          <w:szCs w:val="20"/>
          <w:color w:val="auto"/>
        </w:rPr>
      </w:pPr>
      <w:r>
        <w:rPr>
          <w:rFonts w:ascii="Arial" w:cs="Arial" w:eastAsia="Arial" w:hAnsi="Arial"/>
          <w:sz w:val="14"/>
          <w:szCs w:val="14"/>
          <w:color w:val="auto"/>
        </w:rPr>
        <w:t>C. No opinion is expressed herein with respect to (i) the validity, binding effect or enforceability of any provision of the Securities that requires a person or entity to cause another person or</w:t>
      </w:r>
    </w:p>
    <w:p>
      <w:pPr>
        <w:sectPr>
          <w:pgSz w:w="11900" w:h="16838" w:orient="portrait"/>
          <w:cols w:equalWidth="0" w:num="1">
            <w:col w:w="9019"/>
          </w:cols>
          <w:pgMar w:left="1440" w:top="937" w:right="1440" w:bottom="1440" w:gutter="0" w:footer="0" w:header="0"/>
        </w:sectPr>
      </w:pPr>
    </w:p>
    <w:bookmarkStart w:id="99" w:name="page100"/>
    <w:bookmarkEnd w:id="99"/>
    <w:p>
      <w:pPr>
        <w:ind w:left="3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160655</wp:posOffset>
            </wp:positionV>
            <wp:extent cx="1165860" cy="3384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38455"/>
                    </a:xfrm>
                    <a:prstGeom prst="rect">
                      <a:avLst/>
                    </a:prstGeom>
                    <a:noFill/>
                  </pic:spPr>
                </pic:pic>
              </a:graphicData>
            </a:graphic>
          </wp:anchor>
        </w:drawing>
        <w:t>Scilex Holding Company</w:t>
      </w:r>
    </w:p>
    <w:p>
      <w:pPr>
        <w:ind w:left="320"/>
        <w:spacing w:after="0" w:line="236" w:lineRule="auto"/>
        <w:rPr>
          <w:sz w:val="20"/>
          <w:szCs w:val="20"/>
          <w:color w:val="auto"/>
        </w:rPr>
      </w:pPr>
      <w:r>
        <w:rPr>
          <w:rFonts w:ascii="Arial" w:cs="Arial" w:eastAsia="Arial" w:hAnsi="Arial"/>
          <w:sz w:val="14"/>
          <w:szCs w:val="14"/>
          <w:color w:val="auto"/>
        </w:rPr>
        <w:t>April 16, 2026</w:t>
      </w:r>
    </w:p>
    <w:p>
      <w:pPr>
        <w:ind w:left="320"/>
        <w:spacing w:after="0"/>
        <w:rPr>
          <w:sz w:val="20"/>
          <w:szCs w:val="20"/>
          <w:color w:val="auto"/>
        </w:rPr>
      </w:pPr>
      <w:r>
        <w:rPr>
          <w:rFonts w:ascii="Arial" w:cs="Arial" w:eastAsia="Arial" w:hAnsi="Arial"/>
          <w:sz w:val="14"/>
          <w:szCs w:val="14"/>
          <w:color w:val="auto"/>
        </w:rPr>
        <w:t>Page 6</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entity to take or refrain from taking action under circumstances in which such person or entity does not control such other person or entity,</w:t>
      </w:r>
    </w:p>
    <w:p>
      <w:pPr>
        <w:spacing w:after="0" w:line="16" w:lineRule="exact"/>
        <w:rPr>
          <w:sz w:val="20"/>
          <w:szCs w:val="20"/>
          <w:color w:val="auto"/>
        </w:rPr>
      </w:pPr>
    </w:p>
    <w:p>
      <w:pPr>
        <w:jc w:val="both"/>
        <w:ind w:left="320" w:right="339" w:hanging="1"/>
        <w:spacing w:after="0" w:line="232" w:lineRule="auto"/>
        <w:tabs>
          <w:tab w:leader="none" w:pos="51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validity, binding effect or enforceability of any provision of the Securities insofar as it purports to effect a choice of governing law or choice of forum for the adjudication of disputes, other than (a) the enforceability by a New York State court under New York General Obligations Law Section 5-1401 of the choice of New York State law as the governing law of the Securities (subject, however, to the extent limited by the Constitution of the United States and by Section 1-301 of the New York Uniform Commercial Code), and (b) the enforceability by a New York State court under New York General Obligations Law Section 5-1402 of New York State courts as a non-exclusive forum for the adjudication of disputes with respect to the Securities, and (iii) the acceptance by a Federal court located in the State of New York of jurisdiction in a dispute arising under the Securities.</w:t>
      </w:r>
    </w:p>
    <w:p>
      <w:pPr>
        <w:spacing w:after="0" w:line="140" w:lineRule="exact"/>
        <w:rPr>
          <w:sz w:val="20"/>
          <w:szCs w:val="20"/>
          <w:color w:val="auto"/>
        </w:rPr>
      </w:pPr>
    </w:p>
    <w:p>
      <w:pPr>
        <w:jc w:val="both"/>
        <w:ind w:left="320" w:right="339"/>
        <w:spacing w:after="0" w:line="239" w:lineRule="auto"/>
        <w:rPr>
          <w:sz w:val="20"/>
          <w:szCs w:val="20"/>
          <w:color w:val="auto"/>
        </w:rPr>
      </w:pPr>
      <w:r>
        <w:rPr>
          <w:rFonts w:ascii="Arial" w:cs="Arial" w:eastAsia="Arial" w:hAnsi="Arial"/>
          <w:sz w:val="14"/>
          <w:szCs w:val="14"/>
          <w:color w:val="auto"/>
        </w:rPr>
        <w:t>Without limiting any of the other limitations, exceptions, assumptions and qualifications stated elsewhere herein, we express no opinion with regard to the applicability or effect of the laws of any jurisdiction other than with respect to any shares of Common Stock and Preferred Stock, the General Corporation Law of the State of Delaware and, with respect to the Debt Securities, Warrants, Rights and Units, the internal laws of the State of New York, in each case as in effect on the date hereof.</w:t>
      </w:r>
    </w:p>
    <w:p>
      <w:pPr>
        <w:spacing w:after="0" w:line="138" w:lineRule="exact"/>
        <w:rPr>
          <w:sz w:val="20"/>
          <w:szCs w:val="20"/>
          <w:color w:val="auto"/>
        </w:rPr>
      </w:pPr>
    </w:p>
    <w:p>
      <w:pPr>
        <w:jc w:val="both"/>
        <w:ind w:left="320" w:right="339"/>
        <w:spacing w:after="0" w:line="237" w:lineRule="auto"/>
        <w:rPr>
          <w:sz w:val="20"/>
          <w:szCs w:val="20"/>
          <w:color w:val="auto"/>
        </w:rPr>
      </w:pPr>
      <w:r>
        <w:rPr>
          <w:rFonts w:ascii="Arial" w:cs="Arial" w:eastAsia="Arial" w:hAnsi="Arial"/>
          <w:sz w:val="14"/>
          <w:szCs w:val="14"/>
          <w:color w:val="auto"/>
        </w:rPr>
        <w:t>This opinion letter deals only with the specified legal issues expressly addressed herein, and you should not infer any opinion that is not explicitly stated herein from any matter addressed in this opinion letter. This opinion letter is rendered solely in connection with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spacing w:after="0" w:line="139" w:lineRule="exact"/>
        <w:rPr>
          <w:sz w:val="20"/>
          <w:szCs w:val="20"/>
          <w:color w:val="auto"/>
        </w:rPr>
      </w:pPr>
    </w:p>
    <w:p>
      <w:pPr>
        <w:jc w:val="both"/>
        <w:ind w:left="320" w:right="339"/>
        <w:spacing w:after="0" w:line="239" w:lineRule="auto"/>
        <w:rPr>
          <w:sz w:val="20"/>
          <w:szCs w:val="20"/>
          <w:color w:val="auto"/>
        </w:rPr>
      </w:pPr>
      <w:r>
        <w:rPr>
          <w:rFonts w:ascii="Arial" w:cs="Arial" w:eastAsia="Arial" w:hAnsi="Arial"/>
          <w:sz w:val="14"/>
          <w:szCs w:val="14"/>
          <w:color w:val="auto"/>
        </w:rPr>
        <w:t>We hereby consent to the filing of this opinion letter as Exhibit 5.1 to the Registration Statement and to the reference to our firm under the heading “Legal Matters” in the Base Prospectus included in the Registration Statement. In giving such consent, we do not hereby admit that we are within the category of persons whose consent is required under Section 7 of the Act or the rules or regulations of the Commission promulgated thereunder.</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Very truly yours,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 Paul Hastings LLP</w:t>
      </w:r>
    </w:p>
    <w:p>
      <w:pPr>
        <w:sectPr>
          <w:pgSz w:w="11900" w:h="16838" w:orient="portrait"/>
          <w:cols w:equalWidth="0" w:num="1">
            <w:col w:w="9019"/>
          </w:cols>
          <w:pgMar w:left="1440" w:top="937" w:right="1440" w:bottom="1440" w:gutter="0" w:footer="0" w:header="0"/>
        </w:sectPr>
      </w:pPr>
    </w:p>
    <w:bookmarkStart w:id="100" w:name="page101"/>
    <w:bookmarkEnd w:id="100"/>
    <w:p>
      <w:pPr>
        <w:jc w:val="right"/>
        <w:ind w:right="339"/>
        <w:spacing w:after="0"/>
        <w:rPr>
          <w:sz w:val="20"/>
          <w:szCs w:val="20"/>
          <w:color w:val="auto"/>
        </w:rPr>
      </w:pPr>
      <w:r>
        <w:rPr>
          <w:rFonts w:ascii="Arial" w:cs="Arial" w:eastAsia="Arial" w:hAnsi="Arial"/>
          <w:sz w:val="14"/>
          <w:szCs w:val="14"/>
          <w:b w:val="1"/>
          <w:bCs w:val="1"/>
          <w:color w:val="auto"/>
        </w:rPr>
        <w:t>EXHIBIT 23.1</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59" w:lineRule="exact"/>
        <w:rPr>
          <w:sz w:val="20"/>
          <w:szCs w:val="20"/>
          <w:color w:val="auto"/>
        </w:rPr>
      </w:pPr>
    </w:p>
    <w:p>
      <w:pPr>
        <w:jc w:val="both"/>
        <w:ind w:left="320" w:right="339"/>
        <w:spacing w:after="0" w:line="239" w:lineRule="auto"/>
        <w:rPr>
          <w:sz w:val="20"/>
          <w:szCs w:val="20"/>
          <w:color w:val="auto"/>
        </w:rPr>
      </w:pPr>
      <w:r>
        <w:rPr>
          <w:rFonts w:ascii="Arial" w:cs="Arial" w:eastAsia="Arial" w:hAnsi="Arial"/>
          <w:sz w:val="14"/>
          <w:szCs w:val="14"/>
          <w:color w:val="auto"/>
        </w:rPr>
        <w:t>We hereby consent to the incorporation by reference in this Registration Statement on Form S-3 of Scilex Holding Company of our report dated April 10, 2026 relating to the consolidated financial statements, which appears in Scilex Holding Company’s Annual Report on Form 10-K for the year ended December 31, 2025. We also consent to the reference to us under the heading “Experts” in such Registration Statement.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 BPM LLP</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Walnut Creek, California</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April 16, 2026</w:t>
      </w:r>
    </w:p>
    <w:p>
      <w:pPr>
        <w:sectPr>
          <w:pgSz w:w="11900" w:h="16838" w:orient="portrait"/>
          <w:cols w:equalWidth="0" w:num="1">
            <w:col w:w="9019"/>
          </w:cols>
          <w:pgMar w:left="1440" w:top="125" w:right="1440" w:bottom="1440" w:gutter="0" w:footer="0" w:header="0"/>
        </w:sectPr>
      </w:pPr>
    </w:p>
    <w:bookmarkStart w:id="101" w:name="page102"/>
    <w:bookmarkEnd w:id="101"/>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Scilex Holding Co</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5"/>
        </w:trPr>
        <w:tc>
          <w:tcPr>
            <w:tcW w:w="1840" w:type="dxa"/>
            <w:vAlign w:val="bottom"/>
            <w:vMerge w:val="restart"/>
          </w:tcPr>
          <w:p>
            <w:pPr>
              <w:jc w:val="center"/>
              <w:ind w:left="898"/>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line="165" w:lineRule="exact"/>
              <w:rPr>
                <w:sz w:val="20"/>
                <w:szCs w:val="20"/>
                <w:color w:val="auto"/>
              </w:rPr>
            </w:pPr>
            <w:r>
              <w:rPr>
                <w:rFonts w:ascii="Arial" w:cs="Arial" w:eastAsia="Arial" w:hAnsi="Arial"/>
                <w:sz w:val="16"/>
                <w:szCs w:val="16"/>
                <w:b w:val="1"/>
                <w:bCs w:val="1"/>
                <w:color w:val="auto"/>
              </w:rPr>
              <w:t>Security Calculation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18"/>
              <w:spacing w:after="0" w:line="165" w:lineRule="exact"/>
              <w:rPr>
                <w:sz w:val="20"/>
                <w:szCs w:val="20"/>
                <w:color w:val="auto"/>
              </w:rPr>
            </w:pPr>
            <w:r>
              <w:rPr>
                <w:rFonts w:ascii="Arial" w:cs="Arial" w:eastAsia="Arial" w:hAnsi="Arial"/>
                <w:sz w:val="16"/>
                <w:szCs w:val="16"/>
                <w:b w:val="1"/>
                <w:bCs w:val="1"/>
                <w:color w:val="auto"/>
              </w:rPr>
              <w:t>Amount of</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Class</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Offering</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Aggregate</w:t>
            </w:r>
          </w:p>
        </w:tc>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Forward Forward</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5"/>
        </w:trPr>
        <w:tc>
          <w:tcPr>
            <w:tcW w:w="1840" w:type="dxa"/>
            <w:vAlign w:val="bottom"/>
          </w:tcPr>
          <w:p>
            <w:pPr>
              <w:jc w:val="center"/>
              <w:ind w:left="898"/>
              <w:spacing w:after="0" w:line="165" w:lineRule="exact"/>
              <w:rPr>
                <w:sz w:val="20"/>
                <w:szCs w:val="20"/>
                <w:color w:val="auto"/>
              </w:rPr>
            </w:pPr>
            <w:r>
              <w:rPr>
                <w:rFonts w:ascii="Arial" w:cs="Arial" w:eastAsia="Arial" w:hAnsi="Arial"/>
                <w:sz w:val="16"/>
                <w:szCs w:val="16"/>
                <w:b w:val="1"/>
                <w:bCs w:val="1"/>
                <w:color w:val="auto"/>
              </w:rPr>
              <w:t>Type</w:t>
            </w: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Registered</w:t>
            </w:r>
          </w:p>
        </w:tc>
        <w:tc>
          <w:tcPr>
            <w:tcW w:w="8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File</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3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215505" cy="5256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215505" cy="525653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0" w:right="200" w:hanging="167"/>
        <w:spacing w:after="0"/>
        <w:tabs>
          <w:tab w:leader="none" w:pos="200"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such indeterminate number of warrants to purchase common stock, preferred stock or debt securities, such indeterminate number of rights to purchase common stock, preferred stock, units and other securities and such indeterminate number of units as may be sold by the Registrant from time to time, which together shall have an aggregate initial offering price not to exceed $500,000,000. If any debt securities are issued at an original issue discount, then the principal amount of such debt securities shall be in such greater amount as shall result in an aggregate initial offering price not to exceed $500,000,000, less the aggregate dollar amount of all securities previously issued hereunder. Any securities registered hereunder may be sold separately or in combination with other securities registered hereunder. The Registrant will determine, from time to time, the proposed maximum offering price per unit in connection with its issuance of the securities the Registrant is registering under this registration statement.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Aggregate Offering Price Per Unit will be determined from time to time by the Registrant in connection with the issuance by the Registrant of the securities registered hereunder and is not specified as to each class of security pursuant to pursuant to Item 16(b) of Form S-3 under the Securities Act. The Amount of Registration Fee is estimated solely for the purpose of calculating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5137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6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8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6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Paid</w:t>
            </w:r>
          </w:p>
        </w:tc>
        <w:tc>
          <w:tcPr>
            <w:tcW w:w="0" w:type="dxa"/>
            <w:vAlign w:val="bottom"/>
          </w:tcPr>
          <w:p>
            <w:pPr>
              <w:spacing w:after="0"/>
              <w:rPr>
                <w:sz w:val="1"/>
                <w:szCs w:val="1"/>
                <w:color w:val="auto"/>
              </w:rPr>
            </w:pPr>
          </w:p>
        </w:tc>
      </w:tr>
      <w:tr>
        <w:trPr>
          <w:trHeight w:val="92"/>
        </w:trPr>
        <w:tc>
          <w:tcPr>
            <w:tcW w:w="3420" w:type="dxa"/>
            <w:vAlign w:val="bottom"/>
            <w:vMerge w:val="restart"/>
          </w:tcPr>
          <w:p>
            <w:pPr>
              <w:jc w:val="center"/>
              <w:ind w:left="1718"/>
              <w:spacing w:after="0"/>
              <w:rPr>
                <w:sz w:val="20"/>
                <w:szCs w:val="20"/>
                <w:color w:val="auto"/>
              </w:rPr>
            </w:pPr>
            <w:r>
              <w:rPr>
                <w:rFonts w:ascii="Arial" w:cs="Arial" w:eastAsia="Arial" w:hAnsi="Arial"/>
                <w:sz w:val="16"/>
                <w:szCs w:val="16"/>
                <w:b w:val="1"/>
                <w:bCs w:val="1"/>
                <w:color w:val="auto"/>
              </w:rPr>
              <w:t>Registrant or Filer</w:t>
            </w: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or</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w:t>
            </w:r>
          </w:p>
        </w:tc>
        <w:tc>
          <w:tcPr>
            <w:tcW w:w="64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w:t>
            </w:r>
          </w:p>
        </w:tc>
        <w:tc>
          <w:tcPr>
            <w:tcW w:w="740" w:type="dxa"/>
            <w:vAlign w:val="bottom"/>
            <w:vMerge w:val="continue"/>
          </w:tcPr>
          <w:p>
            <w:pPr>
              <w:spacing w:after="0"/>
              <w:rPr>
                <w:sz w:val="8"/>
                <w:szCs w:val="8"/>
                <w:color w:val="auto"/>
              </w:rPr>
            </w:pPr>
          </w:p>
        </w:tc>
        <w:tc>
          <w:tcPr>
            <w:tcW w:w="2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Associated Associated Associated</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65"/>
        </w:trPr>
        <w:tc>
          <w:tcPr>
            <w:tcW w:w="3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600" w:type="dxa"/>
            <w:vAlign w:val="bottom"/>
            <w:vMerge w:val="continue"/>
          </w:tcPr>
          <w:p>
            <w:pPr>
              <w:spacing w:after="0"/>
              <w:rPr>
                <w:sz w:val="14"/>
                <w:szCs w:val="14"/>
                <w:color w:val="auto"/>
              </w:rPr>
            </w:pPr>
          </w:p>
        </w:tc>
        <w:tc>
          <w:tcPr>
            <w:tcW w:w="7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Offset</w:t>
            </w:r>
          </w:p>
        </w:tc>
        <w:tc>
          <w:tcPr>
            <w:tcW w:w="2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jc w:val="center"/>
              <w:ind w:left="1718"/>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rPr>
              <w:t>Filing</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with Fee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with Fee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Associated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12"/>
        </w:trPr>
        <w:tc>
          <w:tcPr>
            <w:tcW w:w="342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8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Offset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9"/>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171690" cy="14776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71690" cy="1477645"/>
                    </a:xfrm>
                    <a:prstGeom prst="rect">
                      <a:avLst/>
                    </a:prstGeom>
                    <a:noFill/>
                  </pic:spPr>
                </pic:pic>
              </a:graphicData>
            </a:graphic>
          </wp:anchor>
        </w:drawing>
      </w:r>
    </w:p>
    <w:p>
      <w:pPr>
        <w:ind w:left="9760"/>
        <w:spacing w:after="0"/>
        <w:rPr>
          <w:sz w:val="20"/>
          <w:szCs w:val="20"/>
          <w:color w:val="auto"/>
        </w:rPr>
      </w:pPr>
      <w:r>
        <w:rPr>
          <w:rFonts w:ascii="Arial" w:cs="Arial" w:eastAsia="Arial" w:hAnsi="Arial"/>
          <w:sz w:val="16"/>
          <w:szCs w:val="16"/>
          <w:b w:val="1"/>
          <w:bCs w:val="1"/>
          <w:color w:val="auto"/>
        </w:rPr>
        <w:t>Claimed</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47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13270" cy="2476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22860</wp:posOffset>
            </wp:positionV>
            <wp:extent cx="7113270" cy="869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13270" cy="8699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102" w:name="page103"/>
    <w:bookmarkEnd w:id="102"/>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690" cy="927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71690" cy="9277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38"/>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160" w:type="dxa"/>
            <w:vAlign w:val="bottom"/>
            <w:gridSpan w:val="5"/>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16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78"/>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Letter"/>
      <w:start w:val="3"/>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lowerLetter"/>
      <w:start w:val="61"/>
    </w:lvl>
  </w:abstractNum>
  <w:abstractNum w:abstractNumId="7">
    <w:nsid w:val="7A6D8D3C"/>
    <w:multiLevelType w:val="hybridMultilevel"/>
    <w:lvl w:ilvl="0">
      <w:lvlJc w:val="left"/>
      <w:lvlText w:val="(%1)"/>
      <w:numFmt w:val="lowerLetter"/>
      <w:start w:val="25"/>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decimal"/>
      <w:start w:val="1"/>
    </w:lvl>
    <w:lvl w:ilvl="1">
      <w:lvlJc w:val="left"/>
      <w:lvlText w:val="(%2)"/>
      <w:numFmt w:val="lowerRoman"/>
      <w:start w:val="1"/>
    </w:lvl>
  </w:abstractNum>
  <w:abstractNum w:abstractNumId="38">
    <w:nsid w:val="10233C99"/>
    <w:multiLevelType w:val="hybridMultilevel"/>
    <w:lvl w:ilvl="0">
      <w:lvlJc w:val="left"/>
      <w:lvlText w:val="(%1)"/>
      <w:numFmt w:val="lowerRoman"/>
      <w:start w:val="3"/>
    </w:lvl>
  </w:abstractNum>
  <w:abstractNum w:abstractNumId="39">
    <w:nsid w:val="3F6AB60F"/>
    <w:multiLevelType w:val="hybridMultilevel"/>
    <w:lvl w:ilvl="0">
      <w:lvlJc w:val="left"/>
      <w:lvlText w:val="(%1)"/>
      <w:numFmt w:val="decimal"/>
      <w:start w:val="2"/>
    </w:lvl>
    <w:lvl w:ilvl="1">
      <w:lvlJc w:val="left"/>
      <w:lvlText w:val="(%2)"/>
      <w:numFmt w:val="lowerRoman"/>
      <w:start w:val="1"/>
    </w:lvl>
  </w:abstractNum>
  <w:abstractNum w:abstractNumId="40">
    <w:nsid w:val="61574095"/>
    <w:multiLevelType w:val="hybridMultilevel"/>
    <w:lvl w:ilvl="0">
      <w:lvlJc w:val="left"/>
      <w:lvlText w:val="%1"/>
      <w:numFmt w:val="decimal"/>
      <w:start w:val="1"/>
    </w:lvl>
    <w:lvl w:ilvl="1">
      <w:lvlJc w:val="left"/>
      <w:lvlText w:val="(%2)"/>
      <w:numFmt w:val="lowerRoman"/>
      <w:start w:val="2"/>
    </w:lvl>
  </w:abstractNum>
  <w:abstractNum w:abstractNumId="41">
    <w:nsid w:val="7E0C57B1"/>
    <w:multiLevelType w:val="hybridMultilevel"/>
    <w:lvl w:ilvl="0">
      <w:lvlJc w:val="left"/>
      <w:lvlText w:val="(%1)"/>
      <w:numFmt w:val="decimal"/>
      <w:start w:val="6"/>
    </w:lvl>
    <w:lvl w:ilvl="1">
      <w:lvlJc w:val="left"/>
      <w:lvlText w:val="%2"/>
      <w:numFmt w:val="lowerRoman"/>
      <w:start w:val="1"/>
    </w:lvl>
  </w:abstractNum>
  <w:abstractNum w:abstractNumId="42">
    <w:nsid w:val="77AE35EB"/>
    <w:multiLevelType w:val="hybridMultilevel"/>
    <w:lvl w:ilvl="0">
      <w:lvlJc w:val="left"/>
      <w:lvlText w:val="(%1)"/>
      <w:numFmt w:val="lowerRoman"/>
      <w:start w:val="2"/>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2"/>
    </w:lvl>
    <w:lvl w:ilvl="1">
      <w:lvlJc w:val="left"/>
      <w:lvlText w:val="(%2)"/>
      <w:numFmt w:val="lowerRoman"/>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2"/>
    </w:lvl>
  </w:abstractNum>
  <w:abstractNum w:abstractNumId="51">
    <w:nsid w:val="1381823A"/>
    <w:multiLevelType w:val="hybridMultilevel"/>
    <w:lvl w:ilvl="0">
      <w:lvlJc w:val="left"/>
      <w:lvlText w:val="(%1)"/>
      <w:numFmt w:val="lowerLetter"/>
      <w:start w:val="3"/>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2"/>
    </w:lvl>
  </w:abstractNum>
  <w:abstractNum w:abstractNumId="54">
    <w:nsid w:val="6590700B"/>
    <w:multiLevelType w:val="hybridMultilevel"/>
    <w:lvl w:ilvl="0">
      <w:lvlJc w:val="left"/>
      <w:lvlText w:val="(%1)"/>
      <w:numFmt w:val="lowerLetter"/>
      <w:start w:val="1"/>
    </w:lvl>
    <w:lvl w:ilvl="1">
      <w:lvlJc w:val="left"/>
      <w:lvlText w:val="(%2)"/>
      <w:numFmt w:val="lowerRoman"/>
      <w:start w:val="1"/>
    </w:lvl>
  </w:abstractNum>
  <w:abstractNum w:abstractNumId="55">
    <w:nsid w:val="15014ACB"/>
    <w:multiLevelType w:val="hybridMultilevel"/>
    <w:lvl w:ilvl="0">
      <w:lvlJc w:val="left"/>
      <w:lvlText w:val="(%1)"/>
      <w:numFmt w:val="lowerLetter"/>
      <w:start w:val="3"/>
    </w:lvl>
    <w:lvl w:ilvl="1">
      <w:lvlJc w:val="left"/>
      <w:lvlText w:val="(%2)"/>
      <w:numFmt w:val="lowerRoman"/>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6"/>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3"/>
    </w:lvl>
  </w:abstractNum>
  <w:abstractNum w:abstractNumId="60">
    <w:nsid w:val="42C296B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lvl w:ilvl="1">
      <w:lvlJc w:val="left"/>
      <w:lvlText w:val="(%2)"/>
      <w:numFmt w:val="lowerLetter"/>
      <w:start w:val="1"/>
    </w:lvl>
  </w:abstractNum>
  <w:abstractNum w:abstractNumId="64">
    <w:nsid w:val="5DC79EA8"/>
    <w:multiLevelType w:val="hybridMultilevel"/>
    <w:lvl w:ilvl="0">
      <w:lvlJc w:val="left"/>
      <w:lvlText w:val="(%1)"/>
      <w:numFmt w:val="lowerLetter"/>
      <w:start w:val="35"/>
    </w:lvl>
    <w:lvl w:ilvl="1">
      <w:lvlJc w:val="left"/>
      <w:lvlText w:val="%2"/>
      <w:numFmt w:val="lowerLetter"/>
      <w:start w:val="1"/>
    </w:lvl>
  </w:abstractNum>
  <w:abstractNum w:abstractNumId="65">
    <w:nsid w:val="540A471C"/>
    <w:multiLevelType w:val="hybridMultilevel"/>
    <w:lvl w:ilvl="0">
      <w:lvlJc w:val="left"/>
      <w:lvlText w:val="(%1)"/>
      <w:numFmt w:val="lowerLetter"/>
      <w:start w:val="2"/>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 "/>
      <w:numFmt w:val="bullet"/>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3"/>
    </w:lvl>
  </w:abstractNum>
  <w:abstractNum w:abstractNumId="73">
    <w:nsid w:val="8F2B15E"/>
    <w:multiLevelType w:val="hybridMultilevel"/>
    <w:lvl w:ilvl="0">
      <w:lvlJc w:val="left"/>
      <w:lvlText w:val="(%1)"/>
      <w:numFmt w:val="lowerRoman"/>
      <w:start w:val="1"/>
    </w:lvl>
  </w:abstractNum>
  <w:abstractNum w:abstractNumId="74">
    <w:nsid w:val="1A32234B"/>
    <w:multiLevelType w:val="hybridMultilevel"/>
    <w:lvl w:ilvl="0">
      <w:lvlJc w:val="left"/>
      <w:lvlText w:val="(%1)"/>
      <w:numFmt w:val="lowerRoman"/>
      <w:start w:val="2"/>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lowerRoman"/>
      <w:start w:val="1"/>
    </w:lvl>
    <w:lvl w:ilvl="1">
      <w:lvlJc w:val="left"/>
      <w:lvlText w:val="%2."/>
      <w:numFmt w:val="decimal"/>
      <w:start w:val="2"/>
    </w:lvl>
  </w:abstractNum>
  <w:abstractNum w:abstractNumId="78">
    <w:nsid w:val="60B6DF70"/>
    <w:multiLevelType w:val="hybridMultilevel"/>
    <w:lvl w:ilvl="0">
      <w:lvlJc w:val="left"/>
      <w:lvlText w:val="(%1)"/>
      <w:numFmt w:val="lowerRoman"/>
      <w:start w:val="1"/>
    </w:lvl>
    <w:lvl w:ilvl="1">
      <w:lvlJc w:val="left"/>
      <w:lvlText w:val="%2"/>
      <w:numFmt w:val="decimal"/>
      <w:start w:val="1"/>
    </w:lvl>
  </w:abstractNum>
  <w:abstractNum w:abstractNumId="79">
    <w:nsid w:val="6A5EE64"/>
    <w:multiLevelType w:val="hybridMultilevel"/>
    <w:lvl w:ilvl="0">
      <w:lvlJc w:val="left"/>
      <w:lvlText w:val="%1"/>
      <w:numFmt w:val="upperLetter"/>
      <w:start w:val="1"/>
    </w:lvl>
    <w:lvl w:ilvl="1">
      <w:lvlJc w:val="left"/>
      <w:lvlText w:val="%2."/>
      <w:numFmt w:val="decimal"/>
      <w:start w:val="5"/>
    </w:lvl>
  </w:abstractNum>
  <w:abstractNum w:abstractNumId="80">
    <w:nsid w:val="14330624"/>
    <w:multiLevelType w:val="hybridMultilevel"/>
    <w:lvl w:ilvl="0">
      <w:lvlJc w:val="left"/>
      <w:lvlText w:val="(%1)"/>
      <w:numFmt w:val="upperLetter"/>
      <w:start w:val="2"/>
    </w:lvl>
    <w:lvl w:ilvl="1">
      <w:lvlJc w:val="left"/>
      <w:lvlText w:val="%2"/>
      <w:numFmt w:val="decimal"/>
      <w:start w:val="1"/>
    </w:lvl>
  </w:abstractNum>
  <w:abstractNum w:abstractNumId="81">
    <w:nsid w:val="7FFFCA11"/>
    <w:multiLevelType w:val="hybridMultilevel"/>
    <w:lvl w:ilvl="0">
      <w:lvlJc w:val="left"/>
      <w:lvlText w:val="(%1)"/>
      <w:numFmt w:val="lowerRoman"/>
      <w:start w:val="2"/>
    </w:lvl>
  </w:abstractNum>
  <w:abstractNum w:abstractNumId="82">
    <w:nsid w:val="1A2770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4" Type="http://schemas.openxmlformats.org/officeDocument/2006/relationships/image" Target="media/image68.png"/><Relationship Id="rId95" Type="http://schemas.openxmlformats.org/officeDocument/2006/relationships/image" Target="media/image69.png"/><Relationship Id="rId112"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jpeg"/><Relationship Id="rId166" Type="http://schemas.openxmlformats.org/officeDocument/2006/relationships/image" Target="media/image121.jpeg"/><Relationship Id="rId167" Type="http://schemas.openxmlformats.org/officeDocument/2006/relationships/image" Target="media/image122.png"/><Relationship Id="rId168" Type="http://schemas.openxmlformats.org/officeDocument/2006/relationships/image" Target="media/image123.jpeg"/><Relationship Id="rId169" Type="http://schemas.openxmlformats.org/officeDocument/2006/relationships/image" Target="media/image124.png"/><Relationship Id="rId170" Type="http://schemas.openxmlformats.org/officeDocument/2006/relationships/image" Target="media/image125.jpeg"/><Relationship Id="rId171" Type="http://schemas.openxmlformats.org/officeDocument/2006/relationships/image" Target="media/image126.png"/><Relationship Id="rId172" Type="http://schemas.openxmlformats.org/officeDocument/2006/relationships/image" Target="media/image127.jpeg"/><Relationship Id="rId173" Type="http://schemas.openxmlformats.org/officeDocument/2006/relationships/image" Target="media/image128.png"/><Relationship Id="rId174" Type="http://schemas.openxmlformats.org/officeDocument/2006/relationships/image" Target="media/image129.jpeg"/><Relationship Id="rId175" Type="http://schemas.openxmlformats.org/officeDocument/2006/relationships/image" Target="media/image130.png"/><Relationship Id="rId176" Type="http://schemas.openxmlformats.org/officeDocument/2006/relationships/image" Target="media/image131.jpe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72" Type="http://schemas.openxmlformats.org/officeDocument/2006/relationships/hyperlink" Target="http://www.sec.gov/Archives/edgar/data/1820190/000119312526151455/sclx-20251231.htm" TargetMode="External"/><Relationship Id="rId73" Type="http://schemas.openxmlformats.org/officeDocument/2006/relationships/hyperlink" Target="http://www.sec.gov/ix?doc=/Archives/edgar/data/1820190/000119312526033620/sclx-20260129.htm" TargetMode="External"/><Relationship Id="rId74" Type="http://schemas.openxmlformats.org/officeDocument/2006/relationships/hyperlink" Target="http://www.sec.gov/ix?doc=/Archives/edgar/data/1820190/000119312526035833/d79855d8k.htm" TargetMode="External"/><Relationship Id="rId75" Type="http://schemas.openxmlformats.org/officeDocument/2006/relationships/hyperlink" Target="http://www.sec.gov/ix?doc=/Archives/edgar/data/1820190/000119312526061371/sclx-20260219.htm" TargetMode="External"/><Relationship Id="rId76" Type="http://schemas.openxmlformats.org/officeDocument/2006/relationships/hyperlink" Target="http://www.sec.gov/Archives/edgar/data/1820190/000095017025047800/sclx-ex4_16.htm" TargetMode="External"/><Relationship Id="rId77" Type="http://schemas.openxmlformats.org/officeDocument/2006/relationships/hyperlink" Target="http://www.sec.gov/Archives/edgar/data/1820190/000121390021000590/ea132712-8a12b_vickers1.htm" TargetMode="External"/><Relationship Id="rId81" Type="http://schemas.openxmlformats.org/officeDocument/2006/relationships/hyperlink" Target="http://www.sec.gov/Archives/edgar/data/1820190/000121390022013697/ea157097ex2-1_vickers1.htm" TargetMode="External"/><Relationship Id="rId82" Type="http://schemas.openxmlformats.org/officeDocument/2006/relationships/hyperlink" Target="http://www.sec.gov/Archives/edgar/data/1820190/000110465922099785/tm2225830d1_ex2-1.htm" TargetMode="External"/><Relationship Id="rId83" Type="http://schemas.openxmlformats.org/officeDocument/2006/relationships/hyperlink" Target="http://www.sec.gov/Archives/edgar/data/1820190/000110465922074469/vcka-20220331xex2d3.htm" TargetMode="External"/><Relationship Id="rId85" Type="http://schemas.openxmlformats.org/officeDocument/2006/relationships/hyperlink" Target="http://www.sec.gov/Archives/edgar/data/1820190/000110465922074469/vcka-20220331xex2d4.htm" TargetMode="External"/><Relationship Id="rId86" Type="http://schemas.openxmlformats.org/officeDocument/2006/relationships/hyperlink" Target="http://www.sec.gov/Archives/edgar/data/1820190/000119312524211651/d852041dex21.htm" TargetMode="External"/><Relationship Id="rId87" Type="http://schemas.openxmlformats.org/officeDocument/2006/relationships/hyperlink" Target="http://www.sec.gov/Archives/edgar/data/1820190/000095017025056022/sclx-ex2_1.htm" TargetMode="External"/><Relationship Id="rId88" Type="http://schemas.openxmlformats.org/officeDocument/2006/relationships/hyperlink" Target="http://www.sec.gov/Archives/edgar/data/1820190/000119312525162969/d21770dex21.htm" TargetMode="External"/><Relationship Id="rId89" Type="http://schemas.openxmlformats.org/officeDocument/2006/relationships/hyperlink" Target="http://www.sec.gov/Archives/edgar/data/1820190/000119312522287783/d374632dex31.htm" TargetMode="External"/><Relationship Id="rId90" Type="http://schemas.openxmlformats.org/officeDocument/2006/relationships/hyperlink" Target="http://www.sec.gov/Archives/edgar/data/1820190/000119312525080856/d943368dex31.htm" TargetMode="External"/><Relationship Id="rId91" Type="http://schemas.openxmlformats.org/officeDocument/2006/relationships/hyperlink" Target="http://www.sec.gov/Archives/edgar/data/1820190/000119312522287783/d374632dex32.htm" TargetMode="External"/><Relationship Id="rId92" Type="http://schemas.openxmlformats.org/officeDocument/2006/relationships/hyperlink" Target="http://www.sec.gov/Archives/edgar/data/1820190/000095017024117557/sclx-ex3_1.htm" TargetMode="External"/><Relationship Id="rId93" Type="http://schemas.openxmlformats.org/officeDocument/2006/relationships/hyperlink" Target="http://www.sec.gov/Archives/edgar/data/1820190/000119312526035833/d79855dex31.htm" TargetMode="External"/><Relationship Id="rId94" Type="http://schemas.openxmlformats.org/officeDocument/2006/relationships/hyperlink" Target="http://www.sec.gov/Archives/edgar/data/1820190/000119312522287783/d374632dex33.htm" TargetMode="External"/><Relationship Id="rId96" Type="http://schemas.openxmlformats.org/officeDocument/2006/relationships/hyperlink" Target="http://www.sec.gov/Archives/edgar/data/1820190/000121390021001411/ea133037ex4-1_vickers1.htm" TargetMode="External"/><Relationship Id="rId97" Type="http://schemas.openxmlformats.org/officeDocument/2006/relationships/hyperlink" Target="http://www.sec.gov/Archives/edgar/data/1820190/000121390020042745/fs12020ex4-3_vickers1.htm" TargetMode="External"/><Relationship Id="rId98" Type="http://schemas.openxmlformats.org/officeDocument/2006/relationships/hyperlink" Target="http://www.sec.gov/Archives/edgar/data/1820190/000119312523242508/d537034dex41.htm" TargetMode="External"/><Relationship Id="rId99" Type="http://schemas.openxmlformats.org/officeDocument/2006/relationships/hyperlink" Target="http://www.sec.gov/Archives/edgar/data/1820190/000119312523242508/d537034dex42.htm" TargetMode="External"/><Relationship Id="rId100" Type="http://schemas.openxmlformats.org/officeDocument/2006/relationships/hyperlink" Target="http://www.sec.gov/Archives/edgar/data/1820190/000119312524059255/d772929dex41.htm" TargetMode="External"/><Relationship Id="rId101" Type="http://schemas.openxmlformats.org/officeDocument/2006/relationships/hyperlink" Target="http://www.sec.gov/Archives/edgar/data/1820190/000119312524059255/d772929dex42.htm" TargetMode="External"/><Relationship Id="rId102" Type="http://schemas.openxmlformats.org/officeDocument/2006/relationships/hyperlink" Target="http://www.sec.gov/Archives/edgar/data/1820190/000119312524114000/d820664dex42.htm" TargetMode="External"/><Relationship Id="rId103" Type="http://schemas.openxmlformats.org/officeDocument/2006/relationships/hyperlink" Target="http://www.sec.gov/Archives/edgar/data/1820190/000119312524181039/d699096dex48.htm" TargetMode="External"/><Relationship Id="rId104" Type="http://schemas.openxmlformats.org/officeDocument/2006/relationships/hyperlink" Target="http://www.sec.gov/Archives/edgar/data/1820190/000119312524234244/d853982dex41.htm" TargetMode="External"/><Relationship Id="rId105" Type="http://schemas.openxmlformats.org/officeDocument/2006/relationships/hyperlink" Target="http://www.sec.gov/Archives/edgar/data/1820190/000119312524234244/d853982dex42.htm" TargetMode="External"/><Relationship Id="rId106" Type="http://schemas.openxmlformats.org/officeDocument/2006/relationships/hyperlink" Target="http://www.sec.gov/Archives/edgar/data/1820190/000119312524234244/d853982dex43.htm" TargetMode="External"/><Relationship Id="rId107" Type="http://schemas.openxmlformats.org/officeDocument/2006/relationships/hyperlink" Target="http://www.sec.gov/Archives/edgar/data/1820190/000119312524278311/d836578dex41.htm" TargetMode="External"/><Relationship Id="rId108" Type="http://schemas.openxmlformats.org/officeDocument/2006/relationships/hyperlink" Target="http://www.sec.gov/Archives/edgar/data/1820190/000119312524278311/d836578dex42.htm" TargetMode="External"/><Relationship Id="rId109" Type="http://schemas.openxmlformats.org/officeDocument/2006/relationships/hyperlink" Target="http://www.sec.gov/Archives/edgar/data/1820190/000119312524278311/d836578dex43.htm" TargetMode="External"/><Relationship Id="rId110" Type="http://schemas.openxmlformats.org/officeDocument/2006/relationships/hyperlink" Target="http://www.sec.gov/Archives/edgar/data/1820190/000119312524278311/d836578dex44.htm" TargetMode="External"/><Relationship Id="rId111" Type="http://schemas.openxmlformats.org/officeDocument/2006/relationships/hyperlink" Target="http://www.sec.gov/Archives/edgar/data/1820190/000119312525162938/d87162dex106.htm" TargetMode="External"/><Relationship Id="rId113" Type="http://schemas.openxmlformats.org/officeDocument/2006/relationships/hyperlink" Target="http://www.sec.gov/Archives/edgar/data/1820190/000119312525226992/sclx-ex10_2.htm" TargetMode="External"/><Relationship Id="rId114" Type="http://schemas.openxmlformats.org/officeDocument/2006/relationships/hyperlink" Target="http://www.sec.gov/Archives/edgar/data/1820190/000119312525293861/d54587dex102.htm" TargetMode="External"/><Relationship Id="rId115" Type="http://schemas.openxmlformats.org/officeDocument/2006/relationships/hyperlink" Target="http://www.sec.gov/Archives/edgar/data/1820190/000119312525293861/d545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2026-04-16T16:19:14Z</dcterms:created>
  <dcterms:modified xsi:type="dcterms:W3CDTF">2026-04-16T16:19:14Z</dcterms:modified>
</cp:coreProperties>
</file>