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SCILEX HOLDING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001-39852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92-1062542</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960 San Antonio Road, Palo Alto, California, 94303</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(650) 516-4310</w:t>
      </w:r>
    </w:p>
    <w:p>
      <w:pPr>
        <w:spacing w:after="0" w:line="15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SCLX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Warrants to purchase one share of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SCLXW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each at an exercise price 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jc w:val="both"/>
        <w:ind w:left="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Letter</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June 11, 2024, Scilex Holding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that certain Commitment Side Letter (the “</w:t>
      </w:r>
      <w:r>
        <w:rPr>
          <w:rFonts w:ascii="Times New Roman" w:cs="Times New Roman" w:eastAsia="Times New Roman" w:hAnsi="Times New Roman"/>
          <w:sz w:val="18"/>
          <w:szCs w:val="18"/>
          <w:b w:val="1"/>
          <w:bCs w:val="1"/>
          <w:i w:val="1"/>
          <w:iCs w:val="1"/>
          <w:color w:val="auto"/>
        </w:rPr>
        <w:t>Commitment Letter</w:t>
      </w:r>
      <w:r>
        <w:rPr>
          <w:rFonts w:ascii="Times New Roman" w:cs="Times New Roman" w:eastAsia="Times New Roman" w:hAnsi="Times New Roman"/>
          <w:sz w:val="18"/>
          <w:szCs w:val="18"/>
          <w:color w:val="auto"/>
        </w:rPr>
        <w:t>”) with FSF 33433 LLC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 pursuant to which Lender committed to provide the Company a loan (the “</w:t>
      </w:r>
      <w:r>
        <w:rPr>
          <w:rFonts w:ascii="Times New Roman" w:cs="Times New Roman" w:eastAsia="Times New Roman" w:hAnsi="Times New Roman"/>
          <w:sz w:val="18"/>
          <w:szCs w:val="18"/>
          <w:b w:val="1"/>
          <w:bCs w:val="1"/>
          <w:i w:val="1"/>
          <w:iCs w:val="1"/>
          <w:color w:val="auto"/>
        </w:rPr>
        <w:t>Loan</w:t>
      </w:r>
      <w:r>
        <w:rPr>
          <w:rFonts w:ascii="Times New Roman" w:cs="Times New Roman" w:eastAsia="Times New Roman" w:hAnsi="Times New Roman"/>
          <w:sz w:val="18"/>
          <w:szCs w:val="18"/>
          <w:color w:val="auto"/>
        </w:rPr>
        <w:t>”) in the aggregate principal amount of $100 million (the “</w:t>
      </w:r>
      <w:r>
        <w:rPr>
          <w:rFonts w:ascii="Times New Roman" w:cs="Times New Roman" w:eastAsia="Times New Roman" w:hAnsi="Times New Roman"/>
          <w:sz w:val="18"/>
          <w:szCs w:val="18"/>
          <w:b w:val="1"/>
          <w:bCs w:val="1"/>
          <w:i w:val="1"/>
          <w:iCs w:val="1"/>
          <w:color w:val="auto"/>
        </w:rPr>
        <w:t>Commitment Amount</w:t>
      </w:r>
      <w:r>
        <w:rPr>
          <w:rFonts w:ascii="Times New Roman" w:cs="Times New Roman" w:eastAsia="Times New Roman" w:hAnsi="Times New Roman"/>
          <w:sz w:val="18"/>
          <w:szCs w:val="18"/>
          <w:color w:val="auto"/>
        </w:rPr>
        <w:t>”), subject to the terms and conditions contained in the Commitment Letter and to the terms to be agreed in the definitive documents to be entered into by the Company and Lender.</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Commitment Amount shall be payable as follows: (i) $85 million no later than the date that is 70 days following the date on which the Company receives the Deposit (as defined below) (the “</w:t>
      </w:r>
      <w:r>
        <w:rPr>
          <w:rFonts w:ascii="Times New Roman" w:cs="Times New Roman" w:eastAsia="Times New Roman" w:hAnsi="Times New Roman"/>
          <w:sz w:val="18"/>
          <w:szCs w:val="18"/>
          <w:b w:val="1"/>
          <w:bCs w:val="1"/>
          <w:i w:val="1"/>
          <w:iCs w:val="1"/>
          <w:color w:val="auto"/>
        </w:rPr>
        <w:t>Outside Date</w:t>
      </w:r>
      <w:r>
        <w:rPr>
          <w:rFonts w:ascii="Times New Roman" w:cs="Times New Roman" w:eastAsia="Times New Roman" w:hAnsi="Times New Roman"/>
          <w:sz w:val="18"/>
          <w:szCs w:val="18"/>
          <w:color w:val="auto"/>
        </w:rPr>
        <w:t>” and the funding of the initial $85 million, the “</w:t>
      </w:r>
      <w:r>
        <w:rPr>
          <w:rFonts w:ascii="Times New Roman" w:cs="Times New Roman" w:eastAsia="Times New Roman" w:hAnsi="Times New Roman"/>
          <w:sz w:val="18"/>
          <w:szCs w:val="18"/>
          <w:b w:val="1"/>
          <w:bCs w:val="1"/>
          <w:i w:val="1"/>
          <w:iCs w:val="1"/>
          <w:color w:val="auto"/>
        </w:rPr>
        <w:t>Initial Closing</w:t>
      </w:r>
      <w:r>
        <w:rPr>
          <w:rFonts w:ascii="Times New Roman" w:cs="Times New Roman" w:eastAsia="Times New Roman" w:hAnsi="Times New Roman"/>
          <w:sz w:val="18"/>
          <w:szCs w:val="18"/>
          <w:color w:val="auto"/>
        </w:rPr>
        <w:t>”) and (ii) the remaining $15 million within 60 days following the Initial Closing (the funding of the second $15 million, the “</w:t>
      </w:r>
      <w:r>
        <w:rPr>
          <w:rFonts w:ascii="Times New Roman" w:cs="Times New Roman" w:eastAsia="Times New Roman" w:hAnsi="Times New Roman"/>
          <w:sz w:val="18"/>
          <w:szCs w:val="18"/>
          <w:b w:val="1"/>
          <w:bCs w:val="1"/>
          <w:i w:val="1"/>
          <w:iCs w:val="1"/>
          <w:color w:val="auto"/>
        </w:rPr>
        <w:t>Second Closing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Commitment Letter, Lender is required to provide the Company a non-refundable deposit in immediately available funds in the aggregate principal amount of $10 million (the “</w:t>
      </w:r>
      <w:r>
        <w:rPr>
          <w:rFonts w:ascii="Times New Roman" w:cs="Times New Roman" w:eastAsia="Times New Roman" w:hAnsi="Times New Roman"/>
          <w:sz w:val="18"/>
          <w:szCs w:val="18"/>
          <w:b w:val="1"/>
          <w:bCs w:val="1"/>
          <w:i w:val="1"/>
          <w:iCs w:val="1"/>
          <w:color w:val="auto"/>
        </w:rPr>
        <w:t>Deposit</w:t>
      </w:r>
      <w:r>
        <w:rPr>
          <w:rFonts w:ascii="Times New Roman" w:cs="Times New Roman" w:eastAsia="Times New Roman" w:hAnsi="Times New Roman"/>
          <w:sz w:val="18"/>
          <w:szCs w:val="18"/>
          <w:color w:val="auto"/>
        </w:rPr>
        <w:t>” and the date on which such funds are fully received, the “</w:t>
      </w:r>
      <w:r>
        <w:rPr>
          <w:rFonts w:ascii="Times New Roman" w:cs="Times New Roman" w:eastAsia="Times New Roman" w:hAnsi="Times New Roman"/>
          <w:sz w:val="18"/>
          <w:szCs w:val="18"/>
          <w:b w:val="1"/>
          <w:bCs w:val="1"/>
          <w:i w:val="1"/>
          <w:iCs w:val="1"/>
          <w:color w:val="auto"/>
        </w:rPr>
        <w:t>Deposit Date</w:t>
      </w:r>
      <w:r>
        <w:rPr>
          <w:rFonts w:ascii="Times New Roman" w:cs="Times New Roman" w:eastAsia="Times New Roman" w:hAnsi="Times New Roman"/>
          <w:sz w:val="18"/>
          <w:szCs w:val="18"/>
          <w:color w:val="auto"/>
        </w:rPr>
        <w:t>”), which amount will be creditable towards the $85 million required to be funded by Lender at the Initial Closing. On the Deposit Date, the Company will issue to Lender a warrant to purchase up to an aggregate of 3,250,000 shares of the Company’s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(subject to adjustment for any stock dividend, stock split, reverse stock split or similar transaction) (the “</w:t>
      </w:r>
      <w:r>
        <w:rPr>
          <w:rFonts w:ascii="Times New Roman" w:cs="Times New Roman" w:eastAsia="Times New Roman" w:hAnsi="Times New Roman"/>
          <w:sz w:val="18"/>
          <w:szCs w:val="18"/>
          <w:b w:val="1"/>
          <w:bCs w:val="1"/>
          <w:i w:val="1"/>
          <w:iCs w:val="1"/>
          <w:color w:val="auto"/>
        </w:rPr>
        <w:t>Deposit Warrant</w:t>
      </w:r>
      <w:r>
        <w:rPr>
          <w:rFonts w:ascii="Times New Roman" w:cs="Times New Roman" w:eastAsia="Times New Roman" w:hAnsi="Times New Roman"/>
          <w:sz w:val="18"/>
          <w:szCs w:val="18"/>
          <w:color w:val="auto"/>
        </w:rPr>
        <w:t>”), with an exercise price of $1.20 per share (the “</w:t>
      </w:r>
      <w:r>
        <w:rPr>
          <w:rFonts w:ascii="Times New Roman" w:cs="Times New Roman" w:eastAsia="Times New Roman" w:hAnsi="Times New Roman"/>
          <w:sz w:val="18"/>
          <w:szCs w:val="18"/>
          <w:b w:val="1"/>
          <w:bCs w:val="1"/>
          <w:i w:val="1"/>
          <w:iCs w:val="1"/>
          <w:color w:val="auto"/>
        </w:rPr>
        <w:t>Warrant Exercise Price</w:t>
      </w:r>
      <w:r>
        <w:rPr>
          <w:rFonts w:ascii="Times New Roman" w:cs="Times New Roman" w:eastAsia="Times New Roman" w:hAnsi="Times New Roman"/>
          <w:sz w:val="18"/>
          <w:szCs w:val="18"/>
          <w:color w:val="auto"/>
        </w:rPr>
        <w:t>”). The Deposit Warrant will expire five years from the date of issuance. If the Initial Closing does not occur on or prior to the Outside Date, the Deposit shall automatically convert into an unsecured loan on the first day after the Outside Date. Within five days after such automatic conversion occurs, the Company shall issue a promissory note (the “</w:t>
      </w:r>
      <w:r>
        <w:rPr>
          <w:rFonts w:ascii="Times New Roman" w:cs="Times New Roman" w:eastAsia="Times New Roman" w:hAnsi="Times New Roman"/>
          <w:sz w:val="18"/>
          <w:szCs w:val="18"/>
          <w:b w:val="1"/>
          <w:bCs w:val="1"/>
          <w:i w:val="1"/>
          <w:iCs w:val="1"/>
          <w:color w:val="auto"/>
        </w:rPr>
        <w:t>Unsecured Promissory Note</w:t>
      </w:r>
      <w:r>
        <w:rPr>
          <w:rFonts w:ascii="Times New Roman" w:cs="Times New Roman" w:eastAsia="Times New Roman" w:hAnsi="Times New Roman"/>
          <w:sz w:val="18"/>
          <w:szCs w:val="18"/>
          <w:color w:val="auto"/>
        </w:rPr>
        <w:t>”) to Lender to evidence such unsecured loan, which Note shall be unsecured, have a maturity date of five years after the date of the Unsecured Promissory Note and be prepayable without premium or penalty. The Unsecured Promissory Note shall bear interest, payable quarterly in arrears, in an amount equal to the Unsecured Applicable Interest Amount (as defined in the Commitment Letter) for such period based on the actual number of days elapsed while principal is outstanding.</w:t>
      </w:r>
    </w:p>
    <w:p>
      <w:pPr>
        <w:spacing w:after="0" w:line="19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It is contemplated by the Commitment Letter that the Company and Lender will enter into definitive documents with respect to the Loan on terms to be mutually agreed in good faith. If such definitive documents are entered into on or before the Outside Date, the Company agreed to issue to Lender (i) at the Initial Closing, a warrant to purchase up to an aggregate of 24,375,000 shares (subject to adjustment for any stock dividend, stock split, reverse stock split or similar transaction) of Common Stock (the “</w:t>
      </w:r>
      <w:r>
        <w:rPr>
          <w:rFonts w:ascii="Times New Roman" w:cs="Times New Roman" w:eastAsia="Times New Roman" w:hAnsi="Times New Roman"/>
          <w:sz w:val="18"/>
          <w:szCs w:val="18"/>
          <w:b w:val="1"/>
          <w:bCs w:val="1"/>
          <w:i w:val="1"/>
          <w:iCs w:val="1"/>
          <w:color w:val="auto"/>
        </w:rPr>
        <w:t>Initial Closing Warrant</w:t>
      </w:r>
      <w:r>
        <w:rPr>
          <w:rFonts w:ascii="Times New Roman" w:cs="Times New Roman" w:eastAsia="Times New Roman" w:hAnsi="Times New Roman"/>
          <w:sz w:val="18"/>
          <w:szCs w:val="18"/>
          <w:color w:val="auto"/>
        </w:rPr>
        <w:t>”), and (ii) at the Second Closing, a warrant to purchase up to an aggregate of 4,875,000 shares (subject to adjustment for any stock dividend, stock split, reverse stock split or similar transaction) of Common Stock (the “</w:t>
      </w:r>
      <w:r>
        <w:rPr>
          <w:rFonts w:ascii="Times New Roman" w:cs="Times New Roman" w:eastAsia="Times New Roman" w:hAnsi="Times New Roman"/>
          <w:sz w:val="18"/>
          <w:szCs w:val="18"/>
          <w:b w:val="1"/>
          <w:bCs w:val="1"/>
          <w:i w:val="1"/>
          <w:i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Closing Warrant</w:t>
      </w:r>
      <w:r>
        <w:rPr>
          <w:rFonts w:ascii="Times New Roman" w:cs="Times New Roman" w:eastAsia="Times New Roman" w:hAnsi="Times New Roman"/>
          <w:sz w:val="18"/>
          <w:szCs w:val="18"/>
          <w:color w:val="auto"/>
        </w:rPr>
        <w:t>” and together with the Initial Closing Warrant and the Deposit Warrant,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each to have an exercise price equal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 Exercise Price. The Initial Closing Warrant and the Second Closing Warrant will expire five years from the date of issuance. To evidence the Loan, the Company agreed to issue to Lender a Senior Secured Promissory Note (the “</w:t>
      </w:r>
      <w:r>
        <w:rPr>
          <w:rFonts w:ascii="Times New Roman" w:cs="Times New Roman" w:eastAsia="Times New Roman" w:hAnsi="Times New Roman"/>
          <w:sz w:val="18"/>
          <w:szCs w:val="18"/>
          <w:b w:val="1"/>
          <w:bCs w:val="1"/>
          <w:i w:val="1"/>
          <w:iCs w:val="1"/>
          <w:color w:val="auto"/>
        </w:rPr>
        <w:t>Secured Promissory Note</w:t>
      </w:r>
      <w:r>
        <w:rPr>
          <w:rFonts w:ascii="Times New Roman" w:cs="Times New Roman" w:eastAsia="Times New Roman" w:hAnsi="Times New Roman"/>
          <w:sz w:val="18"/>
          <w:szCs w:val="18"/>
          <w:color w:val="auto"/>
        </w:rPr>
        <w:t>”), which shall have a maturity date of five years after the date of issuance. The Secured Promissory Note shall bear interest, payable quarterly in arrears, in an amount equal to the Secured Applicable Interest Amount (as defined in the Commitment Letter) for such period, based on the actual number of days elapsed, while principal is outstanding, subject to certain conditions.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of the Commitment Letter does not purport to be complete and is qualified in its entirety by reference to the full text of the Commitment Letter, a copy of which is filed herewith as Exhibit 10.1 and is incorporated herein by reference.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93"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Warrants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issued, the Deposit Warrant will be immediately exerciseable and will expire on the fifth anniversary of the date of issuance.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exercise price of Deposit Warrant will be $1.20 per share, subject to adjustment as provided therein. The exercise price and number of shares of Common Stock issuable upon the exercise of the Deposit Warrant will be subject to adjustment in the event of any stock dividend, stock split, recapitalization or similar transaction, as described in the Deposit Warrant; provided that there shall not be any adjustment to the exercise price of the Warrant in the event the Company combines (by combination, reverse stock split or otherwise) its Common Stock into a smaller number of shares. Pursuant to the terms of the Deposit Warrant, the Company will agree to prepare and file one or more registration statements on Form S-3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for the purpose of registering for resale any shares of Common Stock issuable upon exercise of the Deposit Warrant. Unless otherwise agreed by the parties, the Company is required to file a registration statement with the SEC within 30 days of the date on which the Deposit Warrant was issued to Lender to register the resale of the Common Stock issuable upon exercise of the Deposit Warrant.</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anticipates that the terms and conditions of the Initial Closing Warrant and the Second Closing Warrant will be substantially similar to those of the Deposit Warrant.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Deposit Warrant does not purport to be complete and is qualified in its entirety by reference to the full text thereof, a copy of the form of which is filed herewith as Exhibit 4.1 and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Item 1.01 regarding the Commitment Letter is hereby incorporated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provided in Item 1.01 regarding the Loan, the Unsecured Promissory Note, the Secured Promissory Note and the Warrants is hereby incorporated by reference. The Deposit Warrant will be issued to Lender in a transaction exempt from 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in reliance on Section 4(a)(2) thereof and Rule 506 of Regulation D thereunder. To the extent the Company issues to Lender (i) the Unsecured Promissory Note, or (ii) (a) the Secured Promissory Note, (b) the Initial Closing Warrant and (c) the Second Closing Warrant, such notes and warrants will also be issued to Lender in a transaction exempt from registration under the Securities Act in reliance on Section 4(a)(2) thereof and Rule 506 of Regulation D thereunder.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Lender has represented to the Company that it is an “accredited investor,” as defined in Regulation D, and will acquire the Deposit Warrant for investment only and not with a view towards, or for resale in connection with, the public sale or distribution thereof. The definitive documents in respect of the Unsecured Promissory Note (if issued), the Loan for the full Commitment Amount, the Secured Promissory Note, the Initial Closing Warrant and the Second Closing Warrant will contain similar representations of Lender.</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Except for the registration rights contemplated by the Deposit Warrant, to the extent the Company issues any of the above referenced notes or warrants to Lender, such notes and warrants and the shares of Common Stock issuable upon exercise of such warrants will not be registered under the Securities Act and may not be offered or sold in the United States absent registration or an exemption from registration under the Securities Act and any applicable state securities laws. Neither this Current Report on Form 8-K nor the Commitment Letter is an offer to sell or the solicitation of an offer to buy shares of Common Stock or any other securities of the Company.</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93"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16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660" w:type="dxa"/>
            <w:vAlign w:val="bottom"/>
          </w:tcPr>
          <w:p>
            <w:pPr>
              <w:spacing w:after="0"/>
              <w:rPr>
                <w:sz w:val="13"/>
                <w:szCs w:val="13"/>
                <w:color w:val="auto"/>
              </w:rPr>
            </w:pPr>
          </w:p>
        </w:tc>
      </w:tr>
      <w:tr>
        <w:trPr>
          <w:trHeight w:val="173"/>
        </w:trPr>
        <w:tc>
          <w:tcPr>
            <w:tcW w:w="10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796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6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33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Form of Warrant to Purchase Common Stock.</w:t>
            </w:r>
          </w:p>
        </w:tc>
        <w:tc>
          <w:tcPr>
            <w:tcW w:w="4660" w:type="dxa"/>
            <w:vAlign w:val="bottom"/>
          </w:tcPr>
          <w:p>
            <w:pPr>
              <w:spacing w:after="0"/>
              <w:rPr>
                <w:sz w:val="22"/>
                <w:szCs w:val="22"/>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79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Commitment Side Letter, dated June 11, 2024, by and between Scilex Holding Company and FSF 33433 LLC.</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5464" w:right="1439" w:hanging="5464"/>
        <w:spacing w:after="0" w:line="454" w:lineRule="auto"/>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Extensible Business Reporting Language (iXBRL). 4</w:t>
      </w:r>
    </w:p>
    <w:p>
      <w:pPr>
        <w:sectPr>
          <w:pgSz w:w="11900" w:h="16838" w:orient="portrait"/>
          <w:cols w:equalWidth="0" w:num="1">
            <w:col w:w="10023"/>
          </w:cols>
          <w:pgMar w:left="436" w:top="278"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SCILEX HOLDING COMPANY</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Jaisim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Jaisim Shah</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9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WARRANT</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THE NUMBER OF SHARES OF COMMON STOCK ISSUABLE UPON EXERCISE OF THIS WARRANT MAY BE LESS THAN THE AMOUNTS SET FORTH ON THE FACE HEREOF PURSUANT TO SECTION 1(a) OF THIS WARRANT.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CILEX</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[____], 2024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Scilex Holding Company,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FSF 33433 LLC, the registered holder hereof or its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or times on or after [__], 2024 (the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but in any case not after 11:59 p.m., New York time, on the Expiration Date (as defined below), 3,250,000 (subject to adjustment as provided herein) fully paid and non-assessable shares of Common Stock (as defined below) (such shares of Common Stock,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xml:space="preserve">”). Except as otherwise defined herein, capitalized terms in this Warrant shall have the respective meanings set forth in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This Warrant is being issued pursuant to that certain Commitment Letter, dated [___], 2024, by and between the Company and the Holder (as amended from time to time in accordance with its terms, the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 and Section 4(a)(2) of the Securities Act (as defined below), and Rule 506 promulgated thereunder. For avoidance of doubt, this Warrant, to the extent not fully exercised by such time, shall be deemed terminated and be of no further force or effect as of 11:59 p.m., New York time, on the Expiration Date.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6" w:name="page7"/>
    <w:bookmarkEnd w:id="6"/>
    <w:p>
      <w:pPr>
        <w:ind w:left="184" w:hanging="184"/>
        <w:spacing w:after="0"/>
        <w:tabs>
          <w:tab w:leader="none" w:pos="1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OF WARRANT.</w:t>
      </w:r>
    </w:p>
    <w:p>
      <w:pPr>
        <w:spacing w:after="0" w:line="117" w:lineRule="exact"/>
        <w:rPr>
          <w:rFonts w:ascii="Times New Roman" w:cs="Times New Roman" w:eastAsia="Times New Roman" w:hAnsi="Times New Roman"/>
          <w:sz w:val="18"/>
          <w:szCs w:val="18"/>
          <w:color w:val="auto"/>
        </w:rPr>
      </w:pPr>
    </w:p>
    <w:p>
      <w:pPr>
        <w:jc w:val="both"/>
        <w:ind w:left="4" w:firstLine="436"/>
        <w:spacing w:after="0" w:line="253" w:lineRule="auto"/>
        <w:tabs>
          <w:tab w:leader="none" w:pos="68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this Warrant may be exercised by the Holder on any day on or after the Issuance Date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xml:space="preserve">”), as to all or any portion of the Warrant Shares, by delivery (whether via electronic mail or otherwise) of a written notice,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xml:space="preserve">”), of the Holder’s election to exercise this Warrant. Within one (1) Trading Day following an exercise of this Warrant, the Holder shall deliver payment to the Company of an amount equal to (i) the Exercise Price in effect on the date of such exercise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number of Warrant Shares as to which this Warrant was so exercised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which amount shall be delivered solely in the form of cash or via wire transfer of immediately available funds.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(for the avoidance of doubt, containing the same terms, rights and conditions, as would be contained in a Warrant issued in compliance with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w:t>
      </w:r>
    </w:p>
    <w:p>
      <w:pPr>
        <w:spacing w:after="0" w:line="190" w:lineRule="exact"/>
        <w:rPr>
          <w:sz w:val="20"/>
          <w:szCs w:val="20"/>
          <w:color w:val="auto"/>
        </w:rPr>
      </w:pPr>
    </w:p>
    <w:p>
      <w:pPr>
        <w:jc w:val="both"/>
        <w:ind w:left="4"/>
        <w:spacing w:after="0" w:line="239" w:lineRule="auto"/>
        <w:rPr>
          <w:sz w:val="20"/>
          <w:szCs w:val="20"/>
          <w:color w:val="auto"/>
        </w:rPr>
      </w:pPr>
      <w:r>
        <w:rPr>
          <w:rFonts w:ascii="Times New Roman" w:cs="Times New Roman" w:eastAsia="Times New Roman" w:hAnsi="Times New Roman"/>
          <w:sz w:val="18"/>
          <w:szCs w:val="18"/>
          <w:color w:val="auto"/>
        </w:rPr>
        <w:t>On or before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Trading Day following the date on which the Company has received an Exercise Notice, the Company shall transmit by electronic mail an acknowledgment of confirmation of receipt of such Exercise Notice,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to the Holder and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which confirmation shall constitute an instruction to the Transfer Agent to process such Exercise Notice in accordance with the terms herein. On or before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Trading Day following the date on which the Company has received such Exercise Notice (or such earlier date as required pursuant to the Exchange Act or other applicable law, rule or regulation for the settlement of a trade of such Warrant Shares initiated on the applicable Exercise Date), the Company shall (X) provided that the Transfer Agent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and the Company is not otherwise prohibited from delivering the Warrant Shares electronically without any restrictive legend pursuant to applicable securities laws upon advice of counsel, upon the request of the Holder, credit such aggregate number of shares of Common Stock to which the Holder is entitled pursuant to such exercise to the Holder’s or its designee’s balance account with DTC through its Deposit/Withdrawal at Custodian system, or (Y) if the Transfer Agent is not participating in FAST and the Company is otherwise unable to deliver the Warrant Shares electronically without any restrictive legend pursuant to applicable securities laws upon the advice of counsel, upon the request of the Holder, issue and deliver (via reputable overnight courier) to the address as specified in the Exercise Notice, a certificate (which may be an electronic book entry statement), registered in the name of the Holder or its designee, for the number of shares of Common Stock to which the Holder shall be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(or electronic book entry statements) evidencing such Warrant Shares (as the case may be).</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7" w:name="page8"/>
    <w:bookmarkEnd w:id="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that the Holder shall not be required to deliver or submit this Warrant in order effectuate an exercise, if the original of this Warrant is submitted in connection with an exercise pursuant to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and the number of Warrant Shares represented by this Warrant is greater than the number of Warrant Shares being acquired upon such exercise and submission of this Warrant to the Company by the Holder, then, the Company shall as soon as practicable and in no event later than two (2) Business Days after such exercise and submission and at the Company’s own expense, issue and deliver to the Holder (or its designee) a new Warrant (in accordance with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 xml:space="preserve">) representing the right to purchase a number of Warrant Shares equal to (i) the number of Warrant Shares purchasable pursuant to this Warrant immediately prior to such exercise under this Warrant, less (ii) the number of Warrant Shares with respect to which this Warrant is so exercised. No fractional shares of Common Stock are to be issued upon the exercise of this Warrant, but rather the number of shares of Common Stock to be issued shall be rounded up to the nearest whole number. The Company shall pay any and all transfer, stamp, issuance and similar taxes, costs and expenses (including, without limitation, fees and expenses of the Transfer Agent) that may be payable with respect to the issuance and delivery of Warrant Shares upon exercise of this Warrant;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Warrant Shares are to be issued in a name other than the name of the Holder, this Warrant when surrendered for exercise shall be accompanied by the assignment form attached hereto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Assignment Form</w:t>
      </w:r>
      <w:r>
        <w:rPr>
          <w:rFonts w:ascii="Times New Roman" w:cs="Times New Roman" w:eastAsia="Times New Roman" w:hAnsi="Times New Roman"/>
          <w:sz w:val="18"/>
          <w:szCs w:val="18"/>
          <w:color w:val="auto"/>
        </w:rPr>
        <w:t>”) duly executed by the Holder and the Company may require, as a condition thereto, the payment of a sum sufficient to reimburse it for any transfer tax incidental thereto.</w:t>
      </w:r>
    </w:p>
    <w:p>
      <w:pPr>
        <w:spacing w:after="0" w:line="75" w:lineRule="exact"/>
        <w:rPr>
          <w:sz w:val="20"/>
          <w:szCs w:val="20"/>
          <w:color w:val="auto"/>
        </w:rPr>
      </w:pPr>
    </w:p>
    <w:p>
      <w:pPr>
        <w:ind w:left="700" w:hanging="264"/>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$1.20, subject to adjustment as provided herein.</w:t>
      </w:r>
    </w:p>
    <w:p>
      <w:pPr>
        <w:spacing w:after="0" w:line="121" w:lineRule="exact"/>
        <w:rPr>
          <w:rFonts w:ascii="Times New Roman" w:cs="Times New Roman" w:eastAsia="Times New Roman" w:hAnsi="Times New Roman"/>
          <w:sz w:val="18"/>
          <w:szCs w:val="18"/>
          <w:color w:val="auto"/>
        </w:rPr>
      </w:pPr>
    </w:p>
    <w:p>
      <w:pPr>
        <w:ind w:right="20" w:firstLine="436"/>
        <w:spacing w:after="0" w:line="282" w:lineRule="auto"/>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The Exercise Price shall be delivered by the Holder to the Company solely in the form of cash or via wire transfer of immediately available funds.</w:t>
      </w:r>
    </w:p>
    <w:p>
      <w:pPr>
        <w:spacing w:after="0" w:line="53" w:lineRule="exact"/>
        <w:rPr>
          <w:rFonts w:ascii="Times New Roman" w:cs="Times New Roman" w:eastAsia="Times New Roman" w:hAnsi="Times New Roman"/>
          <w:sz w:val="18"/>
          <w:szCs w:val="18"/>
          <w:color w:val="auto"/>
        </w:rPr>
      </w:pPr>
    </w:p>
    <w:p>
      <w:pPr>
        <w:jc w:val="both"/>
        <w:ind w:right="20" w:firstLine="436"/>
        <w:spacing w:after="0" w:line="253" w:lineRule="auto"/>
        <w:tabs>
          <w:tab w:leader="none" w:pos="7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The Company shall not effect any exercise of this Warrant, and the Holder shall not have the right to exercise any portion of this Warrant, to the extent that after giving effect to the exercise set forth on the applicable Exercise Notice,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b w:val="1"/>
          <w:bCs w:val="1"/>
          <w:color w:val="auto"/>
        </w:rPr>
        <w:t>Attribution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unexercised portion of this Warrant beneficially owned by the Holder or any of its Affiliates or Attribution Parties, and (ii) exercise or conversion of the unexercised or unconverted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8" w:name="page9"/>
    <w:bookmarkEnd w:id="8"/>
    <w:p>
      <w:pPr>
        <w:jc w:val="both"/>
        <w:ind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1(d)</w:t>
      </w:r>
      <w:r>
        <w:rPr>
          <w:rFonts w:ascii="Times New Roman" w:cs="Times New Roman" w:eastAsia="Times New Roman" w:hAnsi="Times New Roman"/>
          <w:sz w:val="18"/>
          <w:szCs w:val="18"/>
          <w:color w:val="auto"/>
        </w:rPr>
        <w:t xml:space="preserve">, beneficial ownership shall be calculated in accordance with Section 13(d) of the Exchange Act and the rules and regulations promulgated thereunder. To the extent that the limitation contained in this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xml:space="preserv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an Exercise Notice shall be deemed to be the Holder’s determination of whether this Warrant may be exercised (in relation to other securities owned by the Holder together with any Affiliates or Attribution Parties) and which portion of this Warrant is exercisable, in each case subject to the Beneficial Ownership Limitation, and the Company shall have no obligation to verify or confirm the accuracy of such determination.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addition, a determination as to any group status as contemplated above shall be determined in accordance with Section 13(d) of the Exchange Act and the rules and regulations promulgated thereunder. For purposes of this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xml:space="preserve">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the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w:t>
      </w:r>
    </w:p>
    <w:p>
      <w:pPr>
        <w:spacing w:after="0" w:line="18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xml:space="preserve">” shall be 4.99% of the number of shares of the Common Stock outstanding (as defined under Section 13(d) of the Securities Act) immediately after giving effect to the issuance of shares of Common Stock issuable upon exercise of this Warrant. The Holder, upon notice to the Company, may increase or decrease the Beneficial Ownership Limitation provisions of this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Any increase in the Beneficial Ownership Limitation will not be effective until the sixty-first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Beneficial Ownership Limitation provisions of this paragraph shall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xml:space="preserve">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this Warrant. If the exercise of the Warrant into Common Stock would otherwise result in the Holder exceeding the Beneficial Ownership Limitation, the Company will only exercise up to that number of shares that would amount to the Holder reaching the Beneficial Ownership Limitation and the balance will be held in abeyance by the Company until such shares can be delivered to the Holder without exceeding the Beneficial Ownership Limitation.</w:t>
      </w:r>
    </w:p>
    <w:p>
      <w:pPr>
        <w:spacing w:after="0" w:line="90" w:lineRule="exact"/>
        <w:rPr>
          <w:sz w:val="20"/>
          <w:szCs w:val="20"/>
          <w:color w:val="auto"/>
        </w:rPr>
      </w:pPr>
    </w:p>
    <w:p>
      <w:pPr>
        <w:jc w:val="both"/>
        <w:ind w:right="20" w:firstLine="436"/>
        <w:spacing w:after="0" w:line="266" w:lineRule="auto"/>
        <w:tabs>
          <w:tab w:leader="none" w:pos="6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9" w:name="page10"/>
    <w:bookmarkEnd w:id="9"/>
    <w:p>
      <w:pPr>
        <w:jc w:val="both"/>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9" w:lineRule="exact"/>
        <w:rPr>
          <w:sz w:val="20"/>
          <w:szCs w:val="20"/>
          <w:color w:val="auto"/>
        </w:rPr>
      </w:pPr>
    </w:p>
    <w:p>
      <w:pPr>
        <w:ind w:left="4" w:hanging="4"/>
        <w:spacing w:after="0" w:line="282" w:lineRule="auto"/>
        <w:tabs>
          <w:tab w:leader="none" w:pos="19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ADJUSTMENTS</w:t>
      </w:r>
      <w:r>
        <w:rPr>
          <w:rFonts w:ascii="Times New Roman" w:cs="Times New Roman" w:eastAsia="Times New Roman" w:hAnsi="Times New Roman"/>
          <w:sz w:val="18"/>
          <w:szCs w:val="18"/>
          <w:color w:val="auto"/>
        </w:rPr>
        <w:t xml:space="preserve">. The Exercise Price and number of Warrant Shares issuable upon exercise of this Warrant are subject to adjustment from time to time as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4" w:firstLine="436"/>
        <w:spacing w:after="0" w:line="243" w:lineRule="auto"/>
        <w:tabs>
          <w:tab w:leader="none" w:pos="70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xml:space="preserve">. Without limiting any provision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if the Company, at any time on or after the Issuance Date, (i) pays a stock dividend on one or more classes of its then outstanding shares of Common Stock or otherwise makes a distribution on any class of capital stock that is payable in shares of Common Stock or (ii) subdivides (by any stock split, stock dividend, recapitalization or otherwise) one or more classes of its then outstanding shares of Common Stock into a larger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Any adjustment made pursuant to clause (i) of this paragraph shall become effective immediately after the record date for the determination of stockholders entitled to receive such dividend or distribution, and any adjustment pursuant to clause (ii)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 For the avoidance of doubt, and notwithstanding anything to contrary contained herein or the other Transaction Documents, in no event shall there be any adjustment to the Exercise Price if the Company combines (by combination, reverse stock split or otherwise) one or more classes of its then outstanding shares of Common Stock into a smaller number of shares.</w:t>
      </w:r>
    </w:p>
    <w:p>
      <w:pPr>
        <w:spacing w:after="0" w:line="92" w:lineRule="exact"/>
        <w:rPr>
          <w:rFonts w:ascii="Times New Roman" w:cs="Times New Roman" w:eastAsia="Times New Roman" w:hAnsi="Times New Roman"/>
          <w:sz w:val="18"/>
          <w:szCs w:val="18"/>
          <w:color w:val="auto"/>
        </w:rPr>
      </w:pPr>
    </w:p>
    <w:p>
      <w:pPr>
        <w:jc w:val="both"/>
        <w:ind w:left="4" w:right="20" w:firstLine="436"/>
        <w:spacing w:after="0" w:line="258" w:lineRule="auto"/>
        <w:tabs>
          <w:tab w:leader="none" w:pos="71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shares of Common Stock for the purpose of entitling them (i) to receive a dividend or other distribution payable in shares of Common Stock, Options or in Convertible Securities or (ii)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64" w:right="2580" w:hanging="5464"/>
        <w:spacing w:after="0" w:line="334" w:lineRule="auto"/>
        <w:tabs>
          <w:tab w:leader="none" w:pos="433"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to Holder: The deleted language around the proportionate adjustment is addressed in paragraph (c) below. 5</w:t>
      </w:r>
    </w:p>
    <w:p>
      <w:pPr>
        <w:sectPr>
          <w:pgSz w:w="11900" w:h="16838" w:orient="portrait"/>
          <w:cols w:equalWidth="0" w:num="1">
            <w:col w:w="11024"/>
          </w:cols>
          <w:pgMar w:left="436" w:top="270" w:right="439" w:bottom="1440" w:gutter="0" w:footer="0" w:header="0"/>
        </w:sectPr>
      </w:pPr>
    </w:p>
    <w:bookmarkStart w:id="10" w:name="page11"/>
    <w:bookmarkEnd w:id="10"/>
    <w:p>
      <w:pPr>
        <w:jc w:val="both"/>
        <w:ind w:left="4" w:firstLine="436"/>
        <w:spacing w:after="0" w:line="274" w:lineRule="auto"/>
        <w:tabs>
          <w:tab w:leader="none" w:pos="689"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Warrant Shares</w:t>
      </w:r>
      <w:r>
        <w:rPr>
          <w:rFonts w:ascii="Times New Roman" w:cs="Times New Roman" w:eastAsia="Times New Roman" w:hAnsi="Times New Roman"/>
          <w:sz w:val="17"/>
          <w:szCs w:val="17"/>
          <w:color w:val="auto"/>
        </w:rPr>
        <w:t xml:space="preserve">. Simultaneously with any adjustment to the Exercise Price pursuant to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For the avoidance of doubt, and notwithstanding anything to the contrary contained herein or the other Transaction Documents, in no event shall there be any adjustment to the Exercise Price if the Company combines (by combination, reverse stock split or otherwise) one or more classes of its then outstanding shares of Common Stock into a smaller number of shares.</w:t>
      </w:r>
    </w:p>
    <w:p>
      <w:pPr>
        <w:spacing w:after="0" w:line="64" w:lineRule="exact"/>
        <w:rPr>
          <w:rFonts w:ascii="Times New Roman" w:cs="Times New Roman" w:eastAsia="Times New Roman" w:hAnsi="Times New Roman"/>
          <w:sz w:val="17"/>
          <w:szCs w:val="17"/>
          <w:color w:val="auto"/>
        </w:rPr>
      </w:pPr>
    </w:p>
    <w:p>
      <w:pPr>
        <w:jc w:val="both"/>
        <w:ind w:left="4" w:firstLine="436"/>
        <w:spacing w:after="0" w:line="224" w:lineRule="auto"/>
        <w:tabs>
          <w:tab w:leader="none" w:pos="6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made by rounding to the nearest cent or the nearest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a share, as applicable. The number of shares of Common Stock outstanding at any given time shall not include shares owned or held by or for the account of the Company, and the disposition of any such shares shall be considered an issuance or sale of Common Stock.</w:t>
      </w:r>
    </w:p>
    <w:p>
      <w:pPr>
        <w:spacing w:after="0" w:line="198"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xml:space="preserve">. In addition to any adjustments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on or after the Vesting Date,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Beneficial Ownership Limitation)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and the other Attribution Parties exceeding the Beneficial Ownership Limitation, then the Holder shall not be entitled to participate in such Distribution at that time to the extent of the Beneficial Ownership Limitation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Beneficial Ownership Limitation,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p>
    <w:p>
      <w:pPr>
        <w:spacing w:after="0" w:line="117"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8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During such time as this Warrant is outstanding and in addition to any adjustments pursuant to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above, if, at any time on or after the Vesting Date,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11" w:name="page12"/>
    <w:bookmarkEnd w:id="11"/>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and the other Attribution Parties exceeding the Beneficial Ownership Limitation, then the Holder shall not be entitled to participate in such Purchase Right to the extent of the Beneficial Ownership Limitation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Beneficial Ownership Limitation,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89" w:lineRule="exact"/>
        <w:rPr>
          <w:sz w:val="20"/>
          <w:szCs w:val="20"/>
          <w:color w:val="auto"/>
        </w:rPr>
      </w:pPr>
    </w:p>
    <w:p>
      <w:pPr>
        <w:jc w:val="both"/>
        <w:ind w:right="20" w:firstLine="436"/>
        <w:spacing w:after="0" w:line="253" w:lineRule="auto"/>
        <w:tabs>
          <w:tab w:leader="none" w:pos="7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During such time as this Warrant is outstanding, the Company shall not enter into or be party to a Fundamental Transaction unless (i) the Successor Entity assumes in writing all of the obligations of the Company under this Warrant and the other Transaction Documents in accordance with the provisions of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other than the limitation on exercise prior to the Vesting Date)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 Trading Market.</w:t>
      </w:r>
    </w:p>
    <w:p>
      <w:pPr>
        <w:spacing w:after="0" w:line="19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expressly assume in writing all of the obligations of the Company under this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2" w:name="page13"/>
    <w:bookmarkEnd w:id="12"/>
    <w:p>
      <w:pPr>
        <w:jc w:val="both"/>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w:t>
      </w:r>
      <w:r>
        <w:rPr>
          <w:rFonts w:ascii="Times New Roman" w:cs="Times New Roman" w:eastAsia="Times New Roman" w:hAnsi="Times New Roman"/>
          <w:sz w:val="18"/>
          <w:szCs w:val="18"/>
          <w:u w:val="single" w:color="auto"/>
          <w:color w:val="auto"/>
        </w:rPr>
        <w:t>Sections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4(a)</w:t>
      </w:r>
      <w:r>
        <w:rPr>
          <w:rFonts w:ascii="Times New Roman" w:cs="Times New Roman" w:eastAsia="Times New Roman" w:hAnsi="Times New Roman"/>
          <w:sz w:val="18"/>
          <w:szCs w:val="18"/>
          <w:color w:val="auto"/>
        </w:rPr>
        <w:t xml:space="preserve">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other than the limitation on exercise prior to the Vesting Date), as adjusted in accordance with the provisions of this Warrant. Notwithstanding the foregoing, and without limiting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xml:space="preserve"> hereof, the Holder may elect, at its sole option, by delivery of written notice to the Company to waive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xml:space="preserve">”), the Company shall make appropriate provision to ensure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w:t>
      </w:r>
      <w:r>
        <w:rPr>
          <w:rFonts w:ascii="Times New Roman" w:cs="Times New Roman" w:eastAsia="Times New Roman" w:hAnsi="Times New Roman"/>
          <w:sz w:val="18"/>
          <w:szCs w:val="18"/>
          <w:u w:val="single" w:color="auto"/>
          <w:color w:val="auto"/>
        </w:rPr>
        <w:t>Sections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4(a)</w:t>
      </w:r>
      <w:r>
        <w:rPr>
          <w:rFonts w:ascii="Times New Roman" w:cs="Times New Roman" w:eastAsia="Times New Roman" w:hAnsi="Times New Roman"/>
          <w:sz w:val="18"/>
          <w:szCs w:val="18"/>
          <w:color w:val="auto"/>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other than the limitation on exercise prior to the Vesting Date). Provision made pursuant to the preceding sentence shall be in a form and substance reasonably satisfactory to the Holder.</w:t>
      </w:r>
    </w:p>
    <w:p>
      <w:pPr>
        <w:spacing w:after="0" w:line="81" w:lineRule="exact"/>
        <w:rPr>
          <w:sz w:val="20"/>
          <w:szCs w:val="20"/>
          <w:color w:val="auto"/>
        </w:rPr>
      </w:pPr>
    </w:p>
    <w:p>
      <w:pPr>
        <w:jc w:val="both"/>
        <w:ind w:left="4" w:right="20" w:firstLine="436"/>
        <w:spacing w:after="0" w:line="258" w:lineRule="auto"/>
        <w:tabs>
          <w:tab w:leader="none" w:pos="68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apply similarly and equally to successive Fundamental Transactions and Corporate Events and shall be applied as if this Warrant (and any such subsequent warrants) were fully exercisable and without regard to any limitations on the exercise of this Warrant other than the limitation on exercise prior to the Vesting Date (provided that the Holder shall continue to be entitled to the benefit of the Beneficial Ownership Limitation, applied however with respect to shares of capital stock registered under the Exchange Act and thereafter receivable upon exercise of this Warrant (or any such other warrant)).</w:t>
      </w:r>
    </w:p>
    <w:p>
      <w:pPr>
        <w:spacing w:after="0" w:line="183" w:lineRule="exact"/>
        <w:rPr>
          <w:rFonts w:ascii="Times New Roman" w:cs="Times New Roman" w:eastAsia="Times New Roman" w:hAnsi="Times New Roman"/>
          <w:sz w:val="18"/>
          <w:szCs w:val="18"/>
          <w:color w:val="auto"/>
        </w:rPr>
      </w:pPr>
    </w:p>
    <w:p>
      <w:pPr>
        <w:jc w:val="both"/>
        <w:ind w:left="4" w:hanging="4"/>
        <w:spacing w:after="0" w:line="258" w:lineRule="auto"/>
        <w:tabs>
          <w:tab w:leader="none" w:pos="1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shall (a) not increase the par value of any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70" w:right="439" w:bottom="1440" w:gutter="0" w:footer="0" w:header="0"/>
        </w:sectPr>
      </w:pPr>
    </w:p>
    <w:bookmarkStart w:id="13" w:name="page14"/>
    <w:bookmarkEnd w:id="13"/>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of Common Stock receivable upon the exercise of this Warrant above the Exercise Price then in effect and (b) take all such actions as may be necessary or appropriate in order that the Company may validly and legally issue fully paid and non-assessable shares of Common Stock upon the exercise of this Warrant.</w:t>
      </w:r>
    </w:p>
    <w:p>
      <w:pPr>
        <w:spacing w:after="0" w:line="176" w:lineRule="exact"/>
        <w:rPr>
          <w:sz w:val="20"/>
          <w:szCs w:val="20"/>
          <w:color w:val="auto"/>
        </w:rPr>
      </w:pPr>
    </w:p>
    <w:p>
      <w:pPr>
        <w:jc w:val="both"/>
        <w:ind w:left="4" w:hanging="4"/>
        <w:spacing w:after="0" w:line="253" w:lineRule="auto"/>
        <w:tabs>
          <w:tab w:leader="none" w:pos="1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STOCKHOLDER</w:t>
      </w:r>
      <w:r>
        <w:rPr>
          <w:rFonts w:ascii="Times New Roman" w:cs="Times New Roman" w:eastAsia="Times New Roman" w:hAnsi="Times New Roman"/>
          <w:sz w:val="18"/>
          <w:szCs w:val="18"/>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(except as provided herein as a contractual right of the Holder in its capacity as a holder of this Warrant),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 Company shall provide the Holder with copies of the same notices and other information given to the stockholders of the Company generally, contemporaneously with the giving thereof to the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to provide such notice or information if it is filed with the Commission through the EDGAR system and available to the public through the EDGAR system.</w:t>
      </w:r>
    </w:p>
    <w:p>
      <w:pPr>
        <w:spacing w:after="0" w:line="18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p>
    <w:p>
      <w:pPr>
        <w:spacing w:after="0" w:line="117" w:lineRule="exact"/>
        <w:rPr>
          <w:rFonts w:ascii="Times New Roman" w:cs="Times New Roman" w:eastAsia="Times New Roman" w:hAnsi="Times New Roman"/>
          <w:sz w:val="18"/>
          <w:szCs w:val="18"/>
          <w:color w:val="auto"/>
        </w:rPr>
      </w:pPr>
    </w:p>
    <w:p>
      <w:pPr>
        <w:jc w:val="both"/>
        <w:ind w:left="4" w:firstLine="436"/>
        <w:spacing w:after="0" w:line="255" w:lineRule="auto"/>
        <w:tabs>
          <w:tab w:leader="none" w:pos="70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xml:space="preserve">. This Warrant may be offered for sale, sold, transferred or assigned by the Holder with the prior written consent of the Company. If this Warrant is to be transferred, and the Company has provided its written consent to such transfer, the Holder shall surrender this Warrant to the Company, whereupon the Company will forthwith issue and deliver upon the order of the Holder a new Warrant (in accordance with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 xml:space="preserve">), registered to the transferee of the Holder (or, if there are multiple transferees, new Warrants to each such transferee) or as the Holder otherwise directs, representing the right to purchase the number of Warrant Shares being transferred by the Holder and, if less than the total number of Warrant Shares then underlying this Warrant is being transferred, a new Warrant (in accordance with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 to the Holder representing the right to purchase the number of Warrant Shares not being transferred.</w:t>
      </w:r>
    </w:p>
    <w:p>
      <w:pPr>
        <w:spacing w:after="0" w:line="80" w:lineRule="exact"/>
        <w:rPr>
          <w:rFonts w:ascii="Times New Roman" w:cs="Times New Roman" w:eastAsia="Times New Roman" w:hAnsi="Times New Roman"/>
          <w:sz w:val="18"/>
          <w:szCs w:val="18"/>
          <w:color w:val="auto"/>
        </w:rPr>
      </w:pPr>
    </w:p>
    <w:p>
      <w:pPr>
        <w:jc w:val="both"/>
        <w:ind w:left="4" w:right="20" w:firstLine="436"/>
        <w:spacing w:after="0" w:line="258" w:lineRule="auto"/>
        <w:tabs>
          <w:tab w:leader="none" w:pos="72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xml:space="preserve">.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 representing the right to purchase the Warrant Shares then underlying this Warrant.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14" w:name="page15"/>
    <w:bookmarkEnd w:id="14"/>
    <w:p>
      <w:pPr>
        <w:jc w:val="both"/>
        <w:ind w:left="4" w:right="20" w:firstLine="436"/>
        <w:spacing w:after="0" w:line="261" w:lineRule="auto"/>
        <w:tabs>
          <w:tab w:leader="none" w:pos="70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Exchangeable for Multiple Warrants</w:t>
      </w:r>
      <w:r>
        <w:rPr>
          <w:rFonts w:ascii="Times New Roman" w:cs="Times New Roman" w:eastAsia="Times New Roman" w:hAnsi="Times New Roman"/>
          <w:sz w:val="18"/>
          <w:szCs w:val="18"/>
          <w:color w:val="auto"/>
        </w:rPr>
        <w:t xml:space="preserve">. This Warrant is exchangeable, upon the surrender hereof by the Holder at the principal office of the Company, for a new Warrant or Warrants (in accordance with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 xml:space="preserve">)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 warrants for fractional shares of Common Stock shall be given.</w:t>
      </w:r>
    </w:p>
    <w:p>
      <w:pPr>
        <w:spacing w:after="0" w:line="71" w:lineRule="exact"/>
        <w:rPr>
          <w:rFonts w:ascii="Times New Roman" w:cs="Times New Roman" w:eastAsia="Times New Roman" w:hAnsi="Times New Roman"/>
          <w:sz w:val="18"/>
          <w:szCs w:val="18"/>
          <w:color w:val="auto"/>
        </w:rPr>
      </w:pPr>
    </w:p>
    <w:p>
      <w:pPr>
        <w:jc w:val="both"/>
        <w:ind w:left="4" w:right="20" w:firstLine="436"/>
        <w:spacing w:after="0" w:line="255" w:lineRule="auto"/>
        <w:tabs>
          <w:tab w:leader="none" w:pos="69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xml:space="preserve">. Whenever the Company is required to issue a new Warrant pursuant to the terms of this Warrant (whether to the Holder or a transferee thereof), such new Warrant (i) shall be of like tenor with this Warrant, (ii) shall represent, as indicated on the face of such new Warrant, the right to purchase the Warrant Shares then underlying this Warrant (or in the case of a new Warrant being issued pursuant to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terms, rights and conditions as this Warrant.</w:t>
      </w:r>
    </w:p>
    <w:p>
      <w:pPr>
        <w:spacing w:after="0" w:line="188" w:lineRule="exact"/>
        <w:rPr>
          <w:rFonts w:ascii="Times New Roman" w:cs="Times New Roman" w:eastAsia="Times New Roman" w:hAnsi="Times New Roman"/>
          <w:sz w:val="18"/>
          <w:szCs w:val="18"/>
          <w:color w:val="auto"/>
        </w:rPr>
      </w:pPr>
    </w:p>
    <w:p>
      <w:pPr>
        <w:ind w:left="4" w:hanging="4"/>
        <w:spacing w:after="0" w:line="282" w:lineRule="auto"/>
        <w:tabs>
          <w:tab w:leader="none" w:pos="1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HOLDER.</w:t>
      </w:r>
      <w:r>
        <w:rPr>
          <w:rFonts w:ascii="Times New Roman" w:cs="Times New Roman" w:eastAsia="Times New Roman" w:hAnsi="Times New Roman"/>
          <w:sz w:val="18"/>
          <w:szCs w:val="18"/>
          <w:color w:val="auto"/>
        </w:rPr>
        <w:t xml:space="preserve"> The Holder, for itself and for no other holder, hereby represents and warrants as of the date hereof to the Company as follows (unless as of a specific date therein, in which case they shall be accurate as of such date):</w:t>
      </w:r>
    </w:p>
    <w:p>
      <w:pPr>
        <w:spacing w:after="0" w:line="53" w:lineRule="exact"/>
        <w:rPr>
          <w:rFonts w:ascii="Times New Roman" w:cs="Times New Roman" w:eastAsia="Times New Roman" w:hAnsi="Times New Roman"/>
          <w:sz w:val="18"/>
          <w:szCs w:val="18"/>
          <w:color w:val="auto"/>
        </w:rPr>
      </w:pPr>
    </w:p>
    <w:p>
      <w:pPr>
        <w:jc w:val="both"/>
        <w:ind w:left="4" w:firstLine="436"/>
        <w:spacing w:after="0" w:line="254" w:lineRule="auto"/>
        <w:tabs>
          <w:tab w:leader="none" w:pos="68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Organizations; Authority</w:t>
      </w:r>
      <w:r>
        <w:rPr>
          <w:rFonts w:ascii="Times New Roman" w:cs="Times New Roman" w:eastAsia="Times New Roman" w:hAnsi="Times New Roman"/>
          <w:sz w:val="18"/>
          <w:szCs w:val="18"/>
          <w:color w:val="auto"/>
        </w:rPr>
        <w:t>. The Holder is a limited liability company duly organized, validly existing and in good standing under the Laws of the State of Delaware with full and unrestricted requisite power and authority to enter into and to consummate the transactions contemplated by the Transaction Documents and otherwise to carry out its obligations hereunder and thereunder. The execution and delivery of the Transaction Documents and performance by the Holder of the transactions contemplated by the Transaction Documents have been duly authorized by all necessary corporate action on the part of the Holder. Each Transaction Document to which it is a party has been duly executed by the Holder, and when delivered by the Holder in accordance with the terms hereof, will constitute its valid and legally binding obligation,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80" w:lineRule="exact"/>
        <w:rPr>
          <w:rFonts w:ascii="Times New Roman" w:cs="Times New Roman" w:eastAsia="Times New Roman" w:hAnsi="Times New Roman"/>
          <w:sz w:val="18"/>
          <w:szCs w:val="18"/>
          <w:color w:val="auto"/>
        </w:rPr>
      </w:pPr>
    </w:p>
    <w:p>
      <w:pPr>
        <w:jc w:val="both"/>
        <w:ind w:left="4" w:firstLine="436"/>
        <w:spacing w:after="0" w:line="256" w:lineRule="auto"/>
        <w:tabs>
          <w:tab w:leader="none" w:pos="6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 Account</w:t>
      </w:r>
      <w:r>
        <w:rPr>
          <w:rFonts w:ascii="Times New Roman" w:cs="Times New Roman" w:eastAsia="Times New Roman" w:hAnsi="Times New Roman"/>
          <w:sz w:val="18"/>
          <w:szCs w:val="18"/>
          <w:color w:val="auto"/>
        </w:rPr>
        <w:t>. The Holder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the Holder’s right to sell the Securities otherwise in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15" w:name="page16"/>
    <w:bookmarkEnd w:id="1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applicable federal and state securities Laws). The Holder is acquiring the Securities hereunder in the ordinary course of its business.</w:t>
      </w:r>
    </w:p>
    <w:p>
      <w:pPr>
        <w:spacing w:after="0" w:line="117" w:lineRule="exact"/>
        <w:rPr>
          <w:sz w:val="20"/>
          <w:szCs w:val="20"/>
          <w:color w:val="auto"/>
        </w:rPr>
      </w:pPr>
    </w:p>
    <w:p>
      <w:pPr>
        <w:jc w:val="both"/>
        <w:ind w:left="4" w:firstLine="436"/>
        <w:spacing w:after="0" w:line="266" w:lineRule="auto"/>
        <w:tabs>
          <w:tab w:leader="none" w:pos="70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w:t>
      </w:r>
      <w:r>
        <w:rPr>
          <w:rFonts w:ascii="Times New Roman" w:cs="Times New Roman" w:eastAsia="Times New Roman" w:hAnsi="Times New Roman"/>
          <w:sz w:val="18"/>
          <w:szCs w:val="18"/>
          <w:color w:val="auto"/>
        </w:rPr>
        <w:t>. At the time the Holder was offered the Securities, it was, and as of the date hereof it is, and on each date on which it exercises any portion of the Warrant it will be an “accredited investor” as defined in Rule 501(a)(1), (a)(2), (a)(3), (a)(7), (a)(8), (a)(9), (a)(12), or (a)(13) under the Securities Act.</w:t>
      </w:r>
    </w:p>
    <w:p>
      <w:pPr>
        <w:spacing w:after="0" w:line="67" w:lineRule="exact"/>
        <w:rPr>
          <w:rFonts w:ascii="Times New Roman" w:cs="Times New Roman" w:eastAsia="Times New Roman" w:hAnsi="Times New Roman"/>
          <w:sz w:val="18"/>
          <w:szCs w:val="18"/>
          <w:color w:val="auto"/>
        </w:rPr>
      </w:pPr>
    </w:p>
    <w:p>
      <w:pPr>
        <w:jc w:val="both"/>
        <w:ind w:left="4" w:firstLine="436"/>
        <w:spacing w:after="0" w:line="266" w:lineRule="auto"/>
        <w:tabs>
          <w:tab w:leader="none" w:pos="71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The Holder is not, to its knowledge, purchasing the Securities as a result of any advertisement, article, notice or other communication regarding the Securities published in any newspaper, magazine or similar media or broadcast over television or radio or presented at any seminar or, to its knowledge, any other general solicitation or general advertisement.</w:t>
      </w:r>
    </w:p>
    <w:p>
      <w:pPr>
        <w:spacing w:after="0" w:line="67" w:lineRule="exact"/>
        <w:rPr>
          <w:rFonts w:ascii="Times New Roman" w:cs="Times New Roman" w:eastAsia="Times New Roman" w:hAnsi="Times New Roman"/>
          <w:sz w:val="18"/>
          <w:szCs w:val="18"/>
          <w:color w:val="auto"/>
        </w:rPr>
      </w:pPr>
    </w:p>
    <w:p>
      <w:pPr>
        <w:ind w:left="4" w:firstLine="436"/>
        <w:spacing w:after="0" w:line="282" w:lineRule="auto"/>
        <w:tabs>
          <w:tab w:leader="none" w:pos="68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The Holder represents to the Company that its decision to enter into this Warrant and the other Transaction Documents has been based solely on the independent evaluation of the transactions contemplated hereby by the Holder and its representatives.</w:t>
      </w:r>
    </w:p>
    <w:p>
      <w:pPr>
        <w:spacing w:after="0" w:line="53" w:lineRule="exact"/>
        <w:rPr>
          <w:rFonts w:ascii="Times New Roman" w:cs="Times New Roman" w:eastAsia="Times New Roman" w:hAnsi="Times New Roman"/>
          <w:sz w:val="18"/>
          <w:szCs w:val="18"/>
          <w:color w:val="auto"/>
        </w:rPr>
      </w:pPr>
    </w:p>
    <w:p>
      <w:pPr>
        <w:jc w:val="both"/>
        <w:ind w:left="4" w:right="20" w:firstLine="436"/>
        <w:spacing w:after="0" w:line="253" w:lineRule="auto"/>
        <w:tabs>
          <w:tab w:leader="none" w:pos="66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the Holder has not, nor has any Person acting on behalf of or pursuant to any understanding with the Holder, directly or indirectly executed any purchases or sales, including Short Sales, of the securities of the Company during the period commencing as of the time that the Holder first received a term sheet (written or oral) from the Company or any other Person representing the Company setting forth the material terms of the transactions contemplated hereunder and ending immediately prior to the execution hereof. Other than to the Holder’s representatives, including, without limitation, its officers, directors, partners, legal and other advisors, employees, agents and Affiliates, the Holder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the Holder (or its broker or other financial representative) to effect Short Sales or similar transactions in the future.</w:t>
      </w:r>
    </w:p>
    <w:p>
      <w:pPr>
        <w:spacing w:after="0" w:line="19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AGREEMENTS OF THE PARTIES.</w:t>
      </w:r>
    </w:p>
    <w:p>
      <w:pPr>
        <w:spacing w:after="0" w:line="11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4" w:right="20" w:firstLine="419"/>
        <w:spacing w:after="0" w:line="256" w:lineRule="auto"/>
        <w:tabs>
          <w:tab w:leader="none" w:pos="1089"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may only be disposed of in compliance with applicable state and federal securities Laws. In connection with any transfer of Securities other than pursuant to Rule 144 under the Securities Act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to the Company or to an Affiliate of the Holder,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Warrant applicable to the Securities to be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16" w:name="page17"/>
    <w:bookmarkEnd w:id="16"/>
    <w:p>
      <w:pPr>
        <w:jc w:val="both"/>
        <w:ind w:left="440"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transferred thereto and shall have the same rights and obligations as the Holder under this Warrant. The Holder agrees to the imprinting of a legend on any of the Securities substantively in the following form:</w:t>
      </w:r>
    </w:p>
    <w:p>
      <w:pPr>
        <w:spacing w:after="0" w:line="54" w:lineRule="exact"/>
        <w:rPr>
          <w:sz w:val="20"/>
          <w:szCs w:val="20"/>
          <w:color w:val="auto"/>
        </w:rPr>
      </w:pPr>
    </w:p>
    <w:p>
      <w:pPr>
        <w:jc w:val="both"/>
        <w:ind w:left="440" w:right="20"/>
        <w:spacing w:after="0" w:line="253" w:lineRule="auto"/>
        <w:rPr>
          <w:sz w:val="20"/>
          <w:szCs w:val="20"/>
          <w:color w:val="auto"/>
        </w:rPr>
      </w:pPr>
      <w:r>
        <w:rPr>
          <w:rFonts w:ascii="Times New Roman" w:cs="Times New Roman" w:eastAsia="Times New Roman" w:hAnsi="Times New Roman"/>
          <w:sz w:val="18"/>
          <w:szCs w:val="18"/>
          <w:color w:val="auto"/>
        </w:rPr>
        <w:t>[NEITHER THE ISSUANCE AND SALE OF THE SECURITIES REPRESENTED BY THIS CERTIFICATE NOR THE SECURITIES INTO WHICH THESE SECURITIES ARE EXERCISABLE HAVE/ THE ISSUANCE AND SALE OF 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SAID ACT OR (B) AN OPINION OF COUNSEL TO THE HOLDER (IF REQUESTED BY THE COMPANY), IN A FORM REASONABLY ACCEPTABLE TO THE COMPANY, THAT REGISTRATION IS NOT REQUIRED UNDER SAID ACT OR (II) UNLESS SOLD OR ELIGIBLE TO BE SOLD PURSUANT TO RULE 144 OR RULE 144A UNDER SAID ACT. [THE NUMBER OF SHARES OF COMMON STOCK ISSUABLE UPON EXERCISE OF THIS WARRANT MAY BE LESS THAN THE AMOUNTS SET FORTH ON THE FACE HEREOF PURSUANT TO SECTION 1(a) OF THIS WARRANT.]</w:t>
      </w:r>
    </w:p>
    <w:p>
      <w:pPr>
        <w:spacing w:after="0" w:line="86" w:lineRule="exact"/>
        <w:rPr>
          <w:sz w:val="20"/>
          <w:szCs w:val="20"/>
          <w:color w:val="auto"/>
        </w:rPr>
      </w:pPr>
    </w:p>
    <w:p>
      <w:pPr>
        <w:jc w:val="both"/>
        <w:ind w:left="440" w:firstLine="419"/>
        <w:spacing w:after="0" w:line="261" w:lineRule="auto"/>
        <w:tabs>
          <w:tab w:leader="none" w:pos="113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Warrant is exercised at a time when the Warrant Shares issuable thereunder may be sold without the requirement for the Company to be in compliance with the current public information required under Rule 144 and without volume or manner-of-sale restrictions under Rule 144 or if such legend is not otherwise required under applicable requirements of the Securities Act (including judicial interpretations and pronouncements issued by the staff of the Commission) then such Warrant Shares shall be issued free of all legends.</w:t>
      </w:r>
    </w:p>
    <w:p>
      <w:pPr>
        <w:spacing w:after="0" w:line="71"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Furnishing of Information; Public Information</w:t>
      </w:r>
      <w:r>
        <w:rPr>
          <w:rFonts w:ascii="Times New Roman" w:cs="Times New Roman" w:eastAsia="Times New Roman" w:hAnsi="Times New Roman"/>
          <w:sz w:val="18"/>
          <w:szCs w:val="18"/>
          <w:color w:val="auto"/>
        </w:rPr>
        <w:t>. Until the earlier of the time that (i) the Holder does not own Securities or (ii) the Warrant has expired,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71" w:lineRule="exact"/>
        <w:rPr>
          <w:rFonts w:ascii="Times New Roman" w:cs="Times New Roman" w:eastAsia="Times New Roman" w:hAnsi="Times New Roman"/>
          <w:sz w:val="18"/>
          <w:szCs w:val="18"/>
          <w:color w:val="auto"/>
        </w:rPr>
      </w:pPr>
    </w:p>
    <w:p>
      <w:pPr>
        <w:jc w:val="both"/>
        <w:ind w:firstLine="436"/>
        <w:spacing w:after="0" w:line="255" w:lineRule="auto"/>
        <w:tabs>
          <w:tab w:leader="none" w:pos="69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file a Current Report on Form 8-K with the Commission within the time and if required by the Exchange Act. The Company and the Initial Purchaser shall consult with each other in issuing any press releases with respect to the transactions contemplated hereby, and neither the Company nor the Holder shall issue any such press release nor otherwise make any such public statement without the prior consent of the Company, with respect to any press release of the Holder, or without the prior consent of the Holder, with respect to any press release of the Company, which consent shall not unreasonably be withheld or delayed, except if such disclosure is required by Law (and, for the avoidance of doubt, nothing in this Warrant or the other Transaction Documents shall restrict the parties’ ability to file any public filing that it deems reasonably necessary to comply with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Laws), in which case the disclosing party shall promptly provide the other party with prior notice of such public statement or communication; provided that such notice will not be required for information previously disclosed in the SEC Reports or in any press release. Each party is permitted to name the other party in any filing with the Commission or any regulatory agency or Trading Market, without the prior written consent of the other party.</w:t>
      </w:r>
    </w:p>
    <w:p>
      <w:pPr>
        <w:spacing w:after="0" w:line="68" w:lineRule="exact"/>
        <w:rPr>
          <w:sz w:val="20"/>
          <w:szCs w:val="20"/>
          <w:color w:val="auto"/>
        </w:rPr>
      </w:pPr>
    </w:p>
    <w:p>
      <w:pPr>
        <w:jc w:val="both"/>
        <w:ind w:right="20" w:firstLine="436"/>
        <w:spacing w:after="0" w:line="258"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the Holder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the Holder could be deemed to trigger the provisions of any such plan or arrangement, by virtue of receiving Securities under the Transaction Documents or under any other agreement between the Company and the Holder.</w:t>
      </w:r>
    </w:p>
    <w:p>
      <w:pPr>
        <w:spacing w:after="0" w:line="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and Listing of Warrant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09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reserve equal to the aggregate number of Warrant Shares from its duly authorized shares of Common Stock for issuance pursuant to the Transaction Documents in such amount as may then be required to fulfill its obligations in full under the Transaction Documents.</w:t>
      </w:r>
    </w:p>
    <w:p>
      <w:pPr>
        <w:spacing w:after="0" w:line="67" w:lineRule="exact"/>
        <w:rPr>
          <w:rFonts w:ascii="Times New Roman" w:cs="Times New Roman" w:eastAsia="Times New Roman" w:hAnsi="Times New Roman"/>
          <w:sz w:val="18"/>
          <w:szCs w:val="18"/>
          <w:color w:val="auto"/>
        </w:rPr>
      </w:pPr>
    </w:p>
    <w:p>
      <w:pPr>
        <w:jc w:val="both"/>
        <w:ind w:left="440" w:firstLine="419"/>
        <w:spacing w:after="0" w:line="258" w:lineRule="auto"/>
        <w:tabs>
          <w:tab w:leader="none" w:pos="114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date, the number of authorized but unissued (and otherwise unreserved) shares of Common Stock is less than the aggregate number of Warrant Shares subject to outstanding Warrants on such date, then the board of directors of the Company shall use commercially reasonable efforts to amend the Company’s certificate or articles of incorporation to increase the number of authorized but unissued shares of Common Stock to at least the aggregate number of Warrant Shares subject to outstanding Warrants at such time, as soon as possible and in any event not later than the 75th day after such date.</w:t>
      </w:r>
    </w:p>
    <w:p>
      <w:pPr>
        <w:spacing w:after="0" w:line="75" w:lineRule="exact"/>
        <w:rPr>
          <w:rFonts w:ascii="Times New Roman" w:cs="Times New Roman" w:eastAsia="Times New Roman" w:hAnsi="Times New Roman"/>
          <w:sz w:val="18"/>
          <w:szCs w:val="18"/>
          <w:color w:val="auto"/>
        </w:rPr>
      </w:pPr>
    </w:p>
    <w:p>
      <w:pPr>
        <w:jc w:val="both"/>
        <w:ind w:left="440" w:firstLine="419"/>
        <w:spacing w:after="0" w:line="255" w:lineRule="auto"/>
        <w:tabs>
          <w:tab w:leader="none" w:pos="120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if applicable: (i) in the time and manner required by the principal Trading Market, prepare and file with such Trading Market an additional shares listing application covering the Warrant Shares on the date of such application, (ii) take all steps necessary to cause such shares of Common Stock to be approved for listing or quotation on such Trading Market as soon as possible thereafter, (iii) provide to the Initial Purchaser evidence of such listing or quotation and (iv) maintain the listing or quotation the Warrant Shares on such date on such Trading Market or another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80" w:lineRule="exact"/>
        <w:rPr>
          <w:rFonts w:ascii="Times New Roman" w:cs="Times New Roman" w:eastAsia="Times New Roman" w:hAnsi="Times New Roman"/>
          <w:sz w:val="18"/>
          <w:szCs w:val="18"/>
          <w:color w:val="auto"/>
        </w:rPr>
      </w:pPr>
    </w:p>
    <w:p>
      <w:pPr>
        <w:jc w:val="both"/>
        <w:ind w:firstLine="436"/>
        <w:spacing w:after="0" w:line="266" w:lineRule="auto"/>
        <w:tabs>
          <w:tab w:leader="none" w:pos="6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The Holder, covenants that neither it, nor any Affiliate acting on its behalf or pursuant to any understanding with it will execute any purchases or sales, including Short Sales, of any of the Company’s securities during the period commencing with the execution of this Warrant and ending at such time that the transactions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18" w:name="page19"/>
    <w:bookmarkEnd w:id="18"/>
    <w:p>
      <w:pPr>
        <w:jc w:val="both"/>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contemplated by this Warrant are first publicly announced pursuant to the initial press release. The Holder covenants that until such time as the transactions contemplated by this Warrant are publicly disclosed by the Company pursuant to the initial press release, the Initial Purchaser will maintain the confidentiality of the existence and terms of this transaction (other than as disclosed to its legal and other representatives). Notwithstanding the foregoing, and notwithstanding anything contained in this Warrant to the contrary, the Company expressly acknowledges and agrees that (i) the Holder makes no representation, warranty or covenant hereby that it will not engage in effecting transactions in any securities of the Company after the time that the transactions contemplated by this Warrant are first publicly announced pursuant to the initial press release, (ii) the Holder shall not be restricted or prohibited from effecting any transactions in any securities of the Company in accordance with applicable securities Laws from and after the time that the transactions contemplated by this Warrant are first publicly announced pursuant to the initial press release.</w:t>
      </w:r>
    </w:p>
    <w:p>
      <w:pPr>
        <w:spacing w:after="0" w:line="192" w:lineRule="exact"/>
        <w:rPr>
          <w:sz w:val="20"/>
          <w:szCs w:val="20"/>
          <w:color w:val="auto"/>
        </w:rPr>
      </w:pPr>
    </w:p>
    <w:p>
      <w:pPr>
        <w:ind w:left="264" w:hanging="264"/>
        <w:spacing w:after="0"/>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 w:right="20" w:firstLine="436"/>
        <w:spacing w:after="0" w:line="254" w:lineRule="auto"/>
        <w:tabs>
          <w:tab w:leader="none" w:pos="71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notices or other communications or deliveries required or permitted to be provided hereunder shall be in writing and shall be deemed given and effective on the earliest of: (i) the time of transmission, if such notice or communication is delivered via email attachment at the email address set forth in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at or prior to 5:30 p.m. (New York time) on a Trading Day, (ii) the next Trading Day after the time of transmission, if such notice or communication is delivered via email attachment as set forth in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on a day that is not a Trading Day or later than 5:30 p.m. (New York time) on any Trading Day, (iii) the second (2nd) Trading Day following the date of mailing, if sent by U.S. nationally recognized overnight courier service or (iv) upon actual receipt by the party to whom such notice is required to be given. The address for such notices and communications shall be as set forth in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Each party hereto may change the address at which they are to receive notices hereunder, by notice in writing in the foregoing manner given to the other party.</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 the Company:</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960 San Antonio Rd.,</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Attention: Stephen Ma</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Telephone: (650) 516-4310</w:t>
      </w:r>
    </w:p>
    <w:p>
      <w:pPr>
        <w:spacing w:after="0" w:line="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Email: sma@scilexholding.com</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1117 S. California Avenue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Attention: Elizabeth Razzano</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Telephone: (650) 320-1895</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E-mail: elizabethrazzano@paulhastings.com</w:t>
      </w:r>
    </w:p>
    <w:p>
      <w:pPr>
        <w:spacing w:after="0" w:line="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 the Holder:</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4"/>
          </w:cols>
          <w:pgMar w:left="436" w:top="270" w:right="439" w:bottom="1440" w:gutter="0" w:footer="0" w:header="0"/>
        </w:sectPr>
      </w:pPr>
    </w:p>
    <w:bookmarkStart w:id="19" w:name="page20"/>
    <w:bookmarkEnd w:id="19"/>
    <w:p>
      <w:pPr>
        <w:jc w:val="both"/>
        <w:ind w:left="4" w:firstLine="436"/>
        <w:spacing w:after="0" w:line="254" w:lineRule="auto"/>
        <w:tabs>
          <w:tab w:leader="none" w:pos="71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provide the Holder with prompt written notice of all actions taken pursuant to this Warrant (other than the issuance of shares of Common Stock upon exercise in accordance with the terms hereof),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(ii) at least fifteen (15)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w:t>
      </w:r>
    </w:p>
    <w:p>
      <w:pPr>
        <w:spacing w:after="0" w:line="188" w:lineRule="exact"/>
        <w:rPr>
          <w:rFonts w:ascii="Times New Roman" w:cs="Times New Roman" w:eastAsia="Times New Roman" w:hAnsi="Times New Roman"/>
          <w:sz w:val="18"/>
          <w:szCs w:val="18"/>
          <w:color w:val="auto"/>
        </w:rPr>
      </w:pPr>
    </w:p>
    <w:p>
      <w:pPr>
        <w:jc w:val="both"/>
        <w:ind w:left="4" w:right="20" w:hanging="4"/>
        <w:spacing w:after="0" w:line="266" w:lineRule="auto"/>
        <w:tabs>
          <w:tab w:leader="none" w:pos="2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xml:space="preserve">. Except as otherwise provided herein, the provisions of this Warrant (other than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may be amended and the 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w:t>
      </w:r>
    </w:p>
    <w:p>
      <w:pPr>
        <w:spacing w:after="0" w:line="175" w:lineRule="exact"/>
        <w:rPr>
          <w:rFonts w:ascii="Times New Roman" w:cs="Times New Roman" w:eastAsia="Times New Roman" w:hAnsi="Times New Roman"/>
          <w:sz w:val="18"/>
          <w:szCs w:val="18"/>
          <w:color w:val="auto"/>
        </w:rPr>
      </w:pPr>
    </w:p>
    <w:p>
      <w:pPr>
        <w:jc w:val="both"/>
        <w:ind w:left="4" w:hanging="4"/>
        <w:spacing w:after="0" w:line="254" w:lineRule="auto"/>
        <w:tabs>
          <w:tab w:leader="none" w:pos="3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1" w:lineRule="exact"/>
        <w:rPr>
          <w:rFonts w:ascii="Times New Roman" w:cs="Times New Roman" w:eastAsia="Times New Roman" w:hAnsi="Times New Roman"/>
          <w:sz w:val="18"/>
          <w:szCs w:val="18"/>
          <w:color w:val="auto"/>
        </w:rPr>
      </w:pPr>
    </w:p>
    <w:p>
      <w:pPr>
        <w:jc w:val="both"/>
        <w:ind w:left="4" w:right="20" w:hanging="4"/>
        <w:spacing w:after="0" w:line="254" w:lineRule="auto"/>
        <w:tabs>
          <w:tab w:leader="none" w:pos="3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waives personal service of process and consents to process being served in any such suit, action or proceeding by mailing a copy thereof to the Company at the address set forth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and agrees that such service shall constitute good and sufficient service of process and notice thereof. The Company hereby irrevocably submits to the exclusive jurisdiction of the state and federal courts sitting in The City of New York, Borough of Manhattan, and any appellate court therefrom, for the adjudication of any dispute hereunder or in connection herewith or with any transaction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70" w:right="439" w:bottom="1440" w:gutter="0" w:footer="0" w:header="0"/>
        </w:sectPr>
      </w:pPr>
    </w:p>
    <w:bookmarkStart w:id="20" w:name="page21"/>
    <w:bookmarkEnd w:id="20"/>
    <w:p>
      <w:pPr>
        <w:jc w:val="both"/>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 IRREVOCABLY WAIVES ANY</w:t>
      </w:r>
    </w:p>
    <w:p>
      <w:pPr>
        <w:spacing w:after="0" w:line="5" w:lineRule="exact"/>
        <w:rPr>
          <w:sz w:val="20"/>
          <w:szCs w:val="20"/>
          <w:color w:val="auto"/>
        </w:rPr>
      </w:pPr>
    </w:p>
    <w:p>
      <w:pPr>
        <w:jc w:val="both"/>
        <w:ind w:left="4" w:right="20"/>
        <w:spacing w:after="0" w:line="255" w:lineRule="auto"/>
        <w:rPr>
          <w:sz w:val="20"/>
          <w:szCs w:val="20"/>
          <w:color w:val="auto"/>
        </w:rPr>
      </w:pPr>
      <w:r>
        <w:rPr>
          <w:rFonts w:ascii="Times New Roman" w:cs="Times New Roman" w:eastAsia="Times New Roman" w:hAnsi="Times New Roman"/>
          <w:sz w:val="18"/>
          <w:szCs w:val="18"/>
          <w:b w:val="1"/>
          <w:bCs w:val="1"/>
          <w:color w:val="auto"/>
        </w:rPr>
        <w:t>RIGHT IT MAY HAVE TO, AND AGREES NOT TO REQUEST, A JURY TRIAL FOR THE ADJUDICATION OF ANY DISPUTE HEREUNDER OR IN CONNECTION WITH OR ARISING OUT OF THIS WARRANT OR ANY TRANSACTION CONTEMPLATED HEREBY.</w:t>
      </w:r>
    </w:p>
    <w:p>
      <w:pPr>
        <w:spacing w:after="0" w:line="186" w:lineRule="exact"/>
        <w:rPr>
          <w:sz w:val="20"/>
          <w:szCs w:val="20"/>
          <w:color w:val="auto"/>
        </w:rPr>
      </w:pPr>
    </w:p>
    <w:p>
      <w:pPr>
        <w:jc w:val="both"/>
        <w:ind w:left="4" w:hanging="4"/>
        <w:spacing w:after="0" w:line="261" w:lineRule="auto"/>
        <w:tabs>
          <w:tab w:leader="none" w:pos="2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Issuance Date in such other Transaction Documents unless otherwise consented to in writing by the Holder.</w:t>
      </w:r>
    </w:p>
    <w:p>
      <w:pPr>
        <w:spacing w:after="0" w:line="179"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3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and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Warrant.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(other than income tax) which may be payable in respect of any transfer involved in the issuance and delivery of any certificate in a name other than the Holder or its agent on its behalf.</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70" w:right="439" w:bottom="1440" w:gutter="0" w:footer="0" w:header="0"/>
        </w:sectPr>
      </w:pPr>
    </w:p>
    <w:bookmarkStart w:id="21" w:name="page22"/>
    <w:bookmarkEnd w:id="21"/>
    <w:p>
      <w:pPr>
        <w:jc w:val="both"/>
        <w:ind w:left="4" w:right="20" w:hanging="4"/>
        <w:spacing w:after="0" w:line="256" w:lineRule="auto"/>
        <w:tabs>
          <w:tab w:leader="none" w:pos="2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COLLECTION, ENFORCEMENT AND OTHER COSTS</w:t>
      </w:r>
      <w:r>
        <w:rPr>
          <w:rFonts w:ascii="Times New Roman" w:cs="Times New Roman" w:eastAsia="Times New Roman" w:hAnsi="Times New Roman"/>
          <w:sz w:val="18"/>
          <w:szCs w:val="18"/>
          <w:color w:val="auto"/>
        </w:rPr>
        <w:t>. If (a) this Warrant is placed in the hands of an attorney for collection or enforcement or is collected or enforced through any legal proceeding or the holder otherwise takes action to collect amounts due under this Warrant or to enforce the provisions of this Warrant or (b) there occurs any bankruptcy, reorganization, receivership of the company or other proceedings affecting company creditors’ rights and involving a claim under this Warrant, then the Company shall pay the costs incurred by the Holder for such collection, enforcement or action or in connection with such bankruptcy, reorganization, receivership or other proceeding, including, without limitation, attorneys’ fees and disbursements.</w:t>
      </w:r>
    </w:p>
    <w:p>
      <w:pPr>
        <w:spacing w:after="0" w:line="18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THE FOLLOWING TERMS USED IN THIS WARRANT SHALL HAVE THE FOLLOWING MEANINGS:</w:t>
      </w:r>
    </w:p>
    <w:p>
      <w:pPr>
        <w:spacing w:after="0" w:line="113" w:lineRule="exact"/>
        <w:rPr>
          <w:rFonts w:ascii="Times New Roman" w:cs="Times New Roman" w:eastAsia="Times New Roman" w:hAnsi="Times New Roman"/>
          <w:sz w:val="18"/>
          <w:szCs w:val="18"/>
          <w:color w:val="auto"/>
        </w:rPr>
      </w:pPr>
    </w:p>
    <w:p>
      <w:pPr>
        <w:ind w:left="4" w:firstLine="436"/>
        <w:spacing w:after="0" w:line="286" w:lineRule="auto"/>
        <w:tabs>
          <w:tab w:leader="none" w:pos="68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46" w:lineRule="exact"/>
        <w:rPr>
          <w:rFonts w:ascii="Times New Roman" w:cs="Times New Roman" w:eastAsia="Times New Roman" w:hAnsi="Times New Roman"/>
          <w:sz w:val="18"/>
          <w:szCs w:val="18"/>
          <w:color w:val="auto"/>
        </w:rPr>
      </w:pPr>
    </w:p>
    <w:p>
      <w:pPr>
        <w:jc w:val="both"/>
        <w:ind w:left="4" w:firstLine="436"/>
        <w:spacing w:after="0" w:line="254" w:lineRule="auto"/>
        <w:tabs>
          <w:tab w:leader="none" w:pos="71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Trading Market as reported by Bloomberg as of such time of determination, or, if the Trading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Open Market (or a similar organization or agency succeeding to its functions of reporting prices)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All such determinations shall be appropriately adjusted for any stock dividend, stock split, stock combination or other similar transaction during such period.</w:t>
      </w:r>
    </w:p>
    <w:p>
      <w:pPr>
        <w:spacing w:after="0" w:line="7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117" w:lineRule="exact"/>
        <w:rPr>
          <w:rFonts w:ascii="Times New Roman" w:cs="Times New Roman" w:eastAsia="Times New Roman" w:hAnsi="Times New Roman"/>
          <w:sz w:val="18"/>
          <w:szCs w:val="18"/>
          <w:color w:val="auto"/>
        </w:rPr>
      </w:pPr>
    </w:p>
    <w:p>
      <w:pPr>
        <w:jc w:val="both"/>
        <w:ind w:left="4" w:right="20" w:firstLine="436"/>
        <w:spacing w:after="0" w:line="259" w:lineRule="auto"/>
        <w:tabs>
          <w:tab w:leader="none" w:pos="6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71" w:lineRule="exact"/>
        <w:rPr>
          <w:rFonts w:ascii="Times New Roman" w:cs="Times New Roman" w:eastAsia="Times New Roman" w:hAnsi="Times New Roman"/>
          <w:sz w:val="18"/>
          <w:szCs w:val="18"/>
          <w:color w:val="auto"/>
        </w:rPr>
      </w:pPr>
    </w:p>
    <w:p>
      <w:pPr>
        <w:ind w:left="4" w:right="20" w:firstLine="436"/>
        <w:spacing w:after="0" w:line="286" w:lineRule="auto"/>
        <w:tabs>
          <w:tab w:leader="none" w:pos="70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trade price for such security on the Trading Market for such security, as reported by Bloomberg, or, if</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70" w:right="439" w:bottom="1440" w:gutter="0" w:footer="0" w:header="0"/>
        </w:sectPr>
      </w:pPr>
    </w:p>
    <w:bookmarkStart w:id="22" w:name="page23"/>
    <w:bookmarkEnd w:id="22"/>
    <w:p>
      <w:pPr>
        <w:jc w:val="both"/>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Trading Market for such security begins to operate on an extended hours basis and does not designate the closing trade price then the last trade price of such security prior to 4:00:00 p.m., New York time, as reported by Bloomberg, or, if the Trading Market for such security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Open Market (or a similar organization or agency succeeding to its functions of reporting prices). If the Closing Sale Price cannot be calculated for a security on a particular date on any of the foregoing bases, the Closing Sale Price (as the case may be) of such security on such date shall be the fair market value as mutually determined by the Company and the Holder. All such determinations shall be appropriately adjusted for any stock splits, stock dividends, stock combinations, recapitalizations or other similar transactions during such period.</w:t>
      </w:r>
    </w:p>
    <w:p>
      <w:pPr>
        <w:spacing w:after="0" w:line="82" w:lineRule="exact"/>
        <w:rPr>
          <w:sz w:val="20"/>
          <w:szCs w:val="20"/>
          <w:color w:val="auto"/>
        </w:rPr>
      </w:pPr>
    </w:p>
    <w:p>
      <w:pPr>
        <w:ind w:left="664" w:hanging="224"/>
        <w:spacing w:after="0"/>
        <w:tabs>
          <w:tab w:leader="none" w:pos="6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rFonts w:ascii="Times New Roman" w:cs="Times New Roman" w:eastAsia="Times New Roman" w:hAnsi="Times New Roman"/>
          <w:sz w:val="18"/>
          <w:szCs w:val="18"/>
          <w:color w:val="auto"/>
        </w:rPr>
      </w:pPr>
    </w:p>
    <w:p>
      <w:pPr>
        <w:ind w:left="4" w:firstLine="436"/>
        <w:spacing w:after="0" w:line="286" w:lineRule="auto"/>
        <w:tabs>
          <w:tab w:leader="none" w:pos="71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 par value $0.0001 per share, and any other class or series of capital stock or equity interests into which such common stock shall have been changed, converted, exchanged or reclassified following the date hereof.</w:t>
      </w:r>
    </w:p>
    <w:p>
      <w:pPr>
        <w:spacing w:after="0" w:line="46" w:lineRule="exact"/>
        <w:rPr>
          <w:rFonts w:ascii="Times New Roman" w:cs="Times New Roman" w:eastAsia="Times New Roman" w:hAnsi="Times New Roman"/>
          <w:sz w:val="18"/>
          <w:szCs w:val="18"/>
          <w:color w:val="auto"/>
        </w:rPr>
      </w:pPr>
    </w:p>
    <w:p>
      <w:pPr>
        <w:ind w:left="4" w:right="20" w:firstLine="436"/>
        <w:spacing w:after="0" w:line="286" w:lineRule="auto"/>
        <w:tabs>
          <w:tab w:leader="none" w:pos="69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46"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17" w:lineRule="exact"/>
        <w:rPr>
          <w:rFonts w:ascii="Times New Roman" w:cs="Times New Roman" w:eastAsia="Times New Roman" w:hAnsi="Times New Roman"/>
          <w:sz w:val="18"/>
          <w:szCs w:val="18"/>
          <w:color w:val="auto"/>
        </w:rPr>
      </w:pPr>
    </w:p>
    <w:p>
      <w:pPr>
        <w:ind w:left="4" w:right="20" w:firstLine="436"/>
        <w:spacing w:after="0" w:line="215" w:lineRule="auto"/>
        <w:tabs>
          <w:tab w:leader="none" w:pos="65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Issuance Date or, if such date falls on a day other than a Trading Day or on which trading does not take place on the Trading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86" w:lineRule="exact"/>
        <w:rPr>
          <w:rFonts w:ascii="Times New Roman" w:cs="Times New Roman" w:eastAsia="Times New Roman" w:hAnsi="Times New Roman"/>
          <w:sz w:val="18"/>
          <w:szCs w:val="18"/>
          <w:color w:val="auto"/>
        </w:rPr>
      </w:pPr>
    </w:p>
    <w:p>
      <w:pPr>
        <w:jc w:val="both"/>
        <w:ind w:left="4" w:firstLine="436"/>
        <w:spacing w:after="0" w:line="259" w:lineRule="auto"/>
        <w:tabs>
          <w:tab w:leader="none" w:pos="69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other than with respect to any spin-off by the Company of any one or more of its Subsidiaries (whether by dividend or other distribution), (A) that the Company shall, directly or indirectly, including through subsidiaries, Affiliates or otherwise, in one or more related transactions, (i) consolidate or merge with or into (whether or not the Company is the surviving corporation) another Subject Entity, or</w:t>
      </w:r>
    </w:p>
    <w:p>
      <w:pPr>
        <w:jc w:val="both"/>
        <w:ind w:left="4" w:right="20" w:hanging="4"/>
        <w:spacing w:after="0" w:line="252" w:lineRule="auto"/>
        <w:tabs>
          <w:tab w:leader="none" w:pos="28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23" w:name="page24"/>
    <w:bookmarkEnd w:id="23"/>
    <w:p>
      <w:pPr>
        <w:jc w:val="both"/>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w:t>
      </w:r>
    </w:p>
    <w:p>
      <w:pPr>
        <w:spacing w:after="0" w:line="3" w:lineRule="exact"/>
        <w:rPr>
          <w:sz w:val="20"/>
          <w:szCs w:val="20"/>
          <w:color w:val="auto"/>
        </w:rPr>
      </w:pPr>
    </w:p>
    <w:p>
      <w:pPr>
        <w:jc w:val="both"/>
        <w:ind w:left="4" w:right="20" w:hanging="4"/>
        <w:spacing w:after="0" w:line="250" w:lineRule="auto"/>
        <w:tabs>
          <w:tab w:leader="none" w:pos="2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w:t>
      </w:r>
    </w:p>
    <w:p>
      <w:pPr>
        <w:jc w:val="both"/>
        <w:ind w:left="4" w:hanging="4"/>
        <w:spacing w:after="0" w:line="251" w:lineRule="auto"/>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78"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Exchange Act and as defined in Rule 13d-5 thereunder.</w:t>
      </w:r>
    </w:p>
    <w:p>
      <w:pPr>
        <w:spacing w:after="0" w:line="117" w:lineRule="exact"/>
        <w:rPr>
          <w:rFonts w:ascii="Times New Roman" w:cs="Times New Roman" w:eastAsia="Times New Roman" w:hAnsi="Times New Roman"/>
          <w:sz w:val="18"/>
          <w:szCs w:val="18"/>
          <w:color w:val="auto"/>
        </w:rPr>
      </w:pPr>
    </w:p>
    <w:p>
      <w:pPr>
        <w:ind w:left="4" w:right="20" w:firstLine="436"/>
        <w:spacing w:after="0" w:line="286" w:lineRule="auto"/>
        <w:tabs>
          <w:tab w:leader="none" w:pos="7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applicable bankruptcy, insolvency, reorganization, fraudulent conveyance, moratorium, other applicable laws, statutes, ordinances, rules, regulations, judgments, injunctions, orders and decrees of general application.</w:t>
      </w:r>
    </w:p>
    <w:p>
      <w:pPr>
        <w:spacing w:after="0" w:line="46"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4"/>
          </w:cols>
          <w:pgMar w:left="436" w:top="270" w:right="439" w:bottom="1440" w:gutter="0" w:footer="0" w:header="0"/>
        </w:sectPr>
      </w:pPr>
    </w:p>
    <w:bookmarkStart w:id="24" w:name="page25"/>
    <w:bookmarkEnd w:id="24"/>
    <w:p>
      <w:pPr>
        <w:jc w:val="both"/>
        <w:ind w:firstLine="436"/>
        <w:spacing w:after="0" w:line="268"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 Trading Market, or, if there is more than one such Person or Parent Entity, the Person or Parent Entity with the largest public market capitalization as of the date of consummation of the Fundamental Transaction.</w:t>
      </w:r>
    </w:p>
    <w:p>
      <w:pPr>
        <w:spacing w:after="0" w:line="62" w:lineRule="exact"/>
        <w:rPr>
          <w:rFonts w:ascii="Times New Roman" w:cs="Times New Roman" w:eastAsia="Times New Roman" w:hAnsi="Times New Roman"/>
          <w:sz w:val="18"/>
          <w:szCs w:val="18"/>
          <w:color w:val="auto"/>
        </w:rPr>
      </w:pPr>
    </w:p>
    <w:p>
      <w:pPr>
        <w:ind w:right="20" w:firstLine="436"/>
        <w:spacing w:after="0" w:line="286"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46" w:lineRule="exact"/>
        <w:rPr>
          <w:rFonts w:ascii="Times New Roman" w:cs="Times New Roman" w:eastAsia="Times New Roman" w:hAnsi="Times New Roman"/>
          <w:sz w:val="18"/>
          <w:szCs w:val="18"/>
          <w:color w:val="auto"/>
        </w:rPr>
      </w:pPr>
    </w:p>
    <w:p>
      <w:pPr>
        <w:ind w:right="20" w:firstLine="436"/>
        <w:spacing w:after="0" w:line="286"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all reports, schedules, forms, statements and other documents required to be filed by the Company under the Securities Act and the Exchange Act, as the case may be, including pursuant to Section 13(a) or 15(d) thereof, since December 31, 2023.</w:t>
      </w:r>
    </w:p>
    <w:p>
      <w:pPr>
        <w:spacing w:after="0" w:line="46"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117" w:lineRule="exact"/>
        <w:rPr>
          <w:rFonts w:ascii="Times New Roman" w:cs="Times New Roman" w:eastAsia="Times New Roman" w:hAnsi="Times New Roman"/>
          <w:sz w:val="18"/>
          <w:szCs w:val="18"/>
          <w:color w:val="auto"/>
        </w:rPr>
      </w:pPr>
    </w:p>
    <w:p>
      <w:pPr>
        <w:jc w:val="both"/>
        <w:ind w:firstLine="436"/>
        <w:spacing w:after="0" w:line="268" w:lineRule="auto"/>
        <w:tabs>
          <w:tab w:leader="none" w:pos="7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62"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the Warrant and the Warrant Shares.</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7" w:lineRule="exact"/>
        <w:rPr>
          <w:rFonts w:ascii="Times New Roman" w:cs="Times New Roman" w:eastAsia="Times New Roman" w:hAnsi="Times New Roman"/>
          <w:sz w:val="18"/>
          <w:szCs w:val="18"/>
          <w:color w:val="auto"/>
        </w:rPr>
      </w:pPr>
    </w:p>
    <w:p>
      <w:pPr>
        <w:ind w:right="20" w:firstLine="436"/>
        <w:spacing w:after="0" w:line="286"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46"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principal Trading Market is open for trading.</w:t>
      </w:r>
    </w:p>
    <w:p>
      <w:pPr>
        <w:spacing w:after="0" w:line="117" w:lineRule="exact"/>
        <w:rPr>
          <w:rFonts w:ascii="Times New Roman" w:cs="Times New Roman" w:eastAsia="Times New Roman" w:hAnsi="Times New Roman"/>
          <w:sz w:val="18"/>
          <w:szCs w:val="18"/>
          <w:color w:val="auto"/>
        </w:rPr>
      </w:pPr>
    </w:p>
    <w:p>
      <w:pPr>
        <w:jc w:val="both"/>
        <w:ind w:firstLine="436"/>
        <w:spacing w:after="0" w:line="268"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62" w:lineRule="exact"/>
        <w:rPr>
          <w:rFonts w:ascii="Times New Roman" w:cs="Times New Roman" w:eastAsia="Times New Roman" w:hAnsi="Times New Roman"/>
          <w:sz w:val="18"/>
          <w:szCs w:val="18"/>
          <w:color w:val="auto"/>
        </w:rPr>
      </w:pPr>
    </w:p>
    <w:p>
      <w:pPr>
        <w:ind w:right="20" w:firstLine="436"/>
        <w:spacing w:after="0" w:line="286"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this Warrant, the Commitment Letter and any other agreements, documents or instruments entered into in connection with the transactions contemplated by such documents.</w:t>
      </w:r>
    </w:p>
    <w:p>
      <w:pPr>
        <w:spacing w:after="0" w:line="46" w:lineRule="exact"/>
        <w:rPr>
          <w:rFonts w:ascii="Times New Roman" w:cs="Times New Roman" w:eastAsia="Times New Roman" w:hAnsi="Times New Roman"/>
          <w:sz w:val="18"/>
          <w:szCs w:val="18"/>
          <w:color w:val="auto"/>
        </w:rPr>
      </w:pPr>
    </w:p>
    <w:p>
      <w:pPr>
        <w:jc w:val="both"/>
        <w:ind w:firstLine="436"/>
        <w:spacing w:after="0" w:line="262"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time) to 4:02 p.m. (New York</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66" w:right="439" w:bottom="1440" w:gutter="0" w:footer="0" w:header="0"/>
        </w:sectPr>
      </w:pPr>
    </w:p>
    <w:bookmarkStart w:id="25" w:name="page26"/>
    <w:bookmarkEnd w:id="25"/>
    <w:p>
      <w:pPr>
        <w:jc w:val="both"/>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 and reasonably acceptable to the Company, the fees and expenses of which shall be paid by the Company.</w:t>
      </w:r>
    </w:p>
    <w:p>
      <w:pPr>
        <w:spacing w:after="0" w:line="187" w:lineRule="exact"/>
        <w:rPr>
          <w:sz w:val="20"/>
          <w:szCs w:val="20"/>
          <w:color w:val="auto"/>
        </w:rPr>
      </w:pPr>
    </w:p>
    <w:p>
      <w:pPr>
        <w:ind w:left="264" w:hanging="264"/>
        <w:spacing w:after="0"/>
        <w:tabs>
          <w:tab w:leader="none" w:pos="2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AND CERTAIN OTHER RIGHTS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The following definitions will apply to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jc w:val="both"/>
        <w:ind w:left="444" w:firstLine="419"/>
        <w:spacing w:after="0" w:line="262" w:lineRule="auto"/>
        <w:tabs>
          <w:tab w:leader="none" w:pos="1095"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means such form under the Securities Act as in effect on the date hereof or any other Registration Statement under the Securities Act that permits incorporation of substantial information by reference to other documents filed by the Company with the Commission (except if the Company is not then eligible to register for resale the Registrable Securities on Form S-3, in which case such registration shall be on another appropriate form in accordance herewith).</w:t>
      </w:r>
    </w:p>
    <w:p>
      <w:pPr>
        <w:spacing w:after="0" w:line="68"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Indemnitee</w:t>
      </w:r>
      <w:r>
        <w:rPr>
          <w:rFonts w:ascii="Times New Roman" w:cs="Times New Roman" w:eastAsia="Times New Roman" w:hAnsi="Times New Roman"/>
          <w:sz w:val="18"/>
          <w:szCs w:val="18"/>
          <w:color w:val="auto"/>
        </w:rPr>
        <w:t>” means: (A) the Holder; (B) the Holder’s current and future Affiliates; (C) the representatives of the Holder; and</w:t>
      </w:r>
    </w:p>
    <w:p>
      <w:pPr>
        <w:spacing w:after="0" w:line="3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the respective successors and assigns of the Persons referred to in clauses “(A),” “(B),” and “(C)” above.</w:t>
      </w:r>
    </w:p>
    <w:p>
      <w:pPr>
        <w:spacing w:after="0" w:line="94" w:lineRule="exact"/>
        <w:rPr>
          <w:rFonts w:ascii="Times New Roman" w:cs="Times New Roman" w:eastAsia="Times New Roman" w:hAnsi="Times New Roman"/>
          <w:sz w:val="18"/>
          <w:szCs w:val="18"/>
          <w:color w:val="auto"/>
        </w:rPr>
      </w:pPr>
    </w:p>
    <w:p>
      <w:pPr>
        <w:jc w:val="both"/>
        <w:ind w:left="444" w:firstLine="419"/>
        <w:spacing w:after="0" w:line="259" w:lineRule="auto"/>
        <w:tabs>
          <w:tab w:leader="none" w:pos="1195"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means (A) with respect to the Holder if such Holder is a natural Person, (1) any member of the Holder’s immediate family (which shall include any spouse, lineal ancestor or descendant or sibling) or a trust for the exclusive benefit of, or any Person all of the equity interests of which are owned by, the Holder’s immediate family, or (2) a trust in respect of which the Holder serves as trustee or</w:t>
      </w:r>
    </w:p>
    <w:p>
      <w:pPr>
        <w:jc w:val="both"/>
        <w:ind w:left="444"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with respect to any Holder who is a trust, any Person who is a beneficiary of such trust or a majority of the equity interests of which are beneficially owned by such trust,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the Permitted Transferee executes a counterpart signature page to this Warrant, pursuant to which such Permitted Transferee agrees to be bound by the terms of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444" w:right="20" w:firstLine="419"/>
        <w:spacing w:after="0" w:line="286" w:lineRule="auto"/>
        <w:tabs>
          <w:tab w:leader="none" w:pos="1199"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46" w:lineRule="exact"/>
        <w:rPr>
          <w:rFonts w:ascii="Times New Roman" w:cs="Times New Roman" w:eastAsia="Times New Roman" w:hAnsi="Times New Roman"/>
          <w:sz w:val="18"/>
          <w:szCs w:val="18"/>
          <w:color w:val="auto"/>
        </w:rPr>
      </w:pPr>
    </w:p>
    <w:p>
      <w:pPr>
        <w:jc w:val="both"/>
        <w:ind w:left="444" w:right="20" w:firstLine="419"/>
        <w:spacing w:after="0" w:line="262" w:lineRule="auto"/>
        <w:tabs>
          <w:tab w:leader="none" w:pos="1122"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shall refer to a registration under the Securities Act effected by preparing and filing (A) a Registration Statement in compliance with the Securities Act and applicable rules and regulations thereunder, and the declaration or ordering of effectiveness of such Registration Statement or (B) a prospectus and/or prospectus supplement in respect of an appropriate effective Registration Statement on Form S-3.</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4"/>
          </w:cols>
          <w:pgMar w:left="436" w:top="270" w:right="439" w:bottom="1440" w:gutter="0" w:footer="0" w:header="0"/>
        </w:sectPr>
      </w:pPr>
    </w:p>
    <w:bookmarkStart w:id="26" w:name="page27"/>
    <w:bookmarkEnd w:id="26"/>
    <w:p>
      <w:pPr>
        <w:jc w:val="both"/>
        <w:ind w:left="440" w:firstLine="419"/>
        <w:spacing w:after="0" w:line="257" w:lineRule="auto"/>
        <w:tabs>
          <w:tab w:leader="none" w:pos="11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xml:space="preserve">” means (A) any shares of Common Stock issued pursuant to this Warrant, and (B) any equity securities of the Company issued or issuable directly or indirectly with respect to the securities referred to in the foregoing clause (A) by way of stock dividend or stock split or in connection with a combination of shares, recapitalization, reclassification, merger, division, amalgamation, arrangement, consolidation or other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securities will cease to be Registrable Securities upon the earliest to occur of (1) when they are sold pursuant to an effective Registration Statement under the Securities Act, or (2) when they become eligible for sale without restriction pursuant to Rule 144 (including Rule 144(c)).</w:t>
      </w:r>
    </w:p>
    <w:p>
      <w:pPr>
        <w:spacing w:after="0" w:line="74" w:lineRule="exact"/>
        <w:rPr>
          <w:rFonts w:ascii="Times New Roman" w:cs="Times New Roman" w:eastAsia="Times New Roman" w:hAnsi="Times New Roman"/>
          <w:sz w:val="18"/>
          <w:szCs w:val="18"/>
          <w:color w:val="auto"/>
        </w:rPr>
      </w:pPr>
    </w:p>
    <w:p>
      <w:pPr>
        <w:jc w:val="both"/>
        <w:ind w:left="440" w:right="20" w:firstLine="419"/>
        <w:spacing w:after="0" w:line="262" w:lineRule="auto"/>
        <w:tabs>
          <w:tab w:leader="none" w:pos="12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xml:space="preserve">” means all expenses incurred by the Company in complying with its obligations under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including all registration, filing and listing fees, transfer agent fees, printing expenses, fees and disbursements of counsel for the Company, blue sky fees and expenses, expenses of the Company’s independent accountants in connection with any regular or special reviews or audits incident to or required by any such registration, but shall not include Selling Expenses.</w:t>
      </w:r>
    </w:p>
    <w:p>
      <w:pPr>
        <w:spacing w:after="0" w:line="68" w:lineRule="exact"/>
        <w:rPr>
          <w:rFonts w:ascii="Times New Roman" w:cs="Times New Roman" w:eastAsia="Times New Roman" w:hAnsi="Times New Roman"/>
          <w:sz w:val="18"/>
          <w:szCs w:val="18"/>
          <w:color w:val="auto"/>
        </w:rPr>
      </w:pPr>
    </w:p>
    <w:p>
      <w:pPr>
        <w:jc w:val="both"/>
        <w:ind w:left="440" w:right="20" w:firstLine="419"/>
        <w:spacing w:after="0" w:line="268" w:lineRule="auto"/>
        <w:tabs>
          <w:tab w:leader="none" w:pos="128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any registration statement of the Company filed under the Securities Act that covers the resale of any of the Registrable Securities pursuant to the provisions of this Warrant, amendments and supplements to such Registration Statement, including post-effective amendments, all exhibits and all material incorporated by reference in such Registration Statement.</w:t>
      </w:r>
    </w:p>
    <w:p>
      <w:pPr>
        <w:spacing w:after="0" w:line="62" w:lineRule="exact"/>
        <w:rPr>
          <w:rFonts w:ascii="Times New Roman" w:cs="Times New Roman" w:eastAsia="Times New Roman" w:hAnsi="Times New Roman"/>
          <w:sz w:val="18"/>
          <w:szCs w:val="18"/>
          <w:color w:val="auto"/>
        </w:rPr>
      </w:pPr>
    </w:p>
    <w:p>
      <w:pPr>
        <w:jc w:val="both"/>
        <w:ind w:left="440" w:firstLine="419"/>
        <w:spacing w:after="0" w:line="268" w:lineRule="auto"/>
        <w:tabs>
          <w:tab w:leader="none" w:pos="11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2" w:lineRule="exact"/>
        <w:rPr>
          <w:rFonts w:ascii="Times New Roman" w:cs="Times New Roman" w:eastAsia="Times New Roman" w:hAnsi="Times New Roman"/>
          <w:sz w:val="18"/>
          <w:szCs w:val="18"/>
          <w:color w:val="auto"/>
        </w:rPr>
      </w:pPr>
    </w:p>
    <w:p>
      <w:pPr>
        <w:jc w:val="both"/>
        <w:ind w:left="440" w:right="20" w:firstLine="419"/>
        <w:spacing w:after="0" w:line="268" w:lineRule="auto"/>
        <w:tabs>
          <w:tab w:leader="none" w:pos="111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Expenses</w:t>
      </w:r>
      <w:r>
        <w:rPr>
          <w:rFonts w:ascii="Times New Roman" w:cs="Times New Roman" w:eastAsia="Times New Roman" w:hAnsi="Times New Roman"/>
          <w:sz w:val="18"/>
          <w:szCs w:val="18"/>
          <w:color w:val="auto"/>
        </w:rPr>
        <w:t>” means all discounts, selling commissions and stock transfer taxes applicable to the sale of Registrable Securities and fees and disbursements of financial advisors for the Holder and all similar commissions relating to the Holder’s disposition of Registrable Securities.</w:t>
      </w:r>
    </w:p>
    <w:p>
      <w:pPr>
        <w:spacing w:after="0" w:line="66" w:lineRule="exact"/>
        <w:rPr>
          <w:rFonts w:ascii="Times New Roman" w:cs="Times New Roman" w:eastAsia="Times New Roman" w:hAnsi="Times New Roman"/>
          <w:sz w:val="18"/>
          <w:szCs w:val="18"/>
          <w:color w:val="auto"/>
        </w:rPr>
      </w:pPr>
    </w:p>
    <w:p>
      <w:pPr>
        <w:jc w:val="both"/>
        <w:ind w:firstLine="436"/>
        <w:spacing w:after="0" w:line="254" w:lineRule="auto"/>
        <w:tabs>
          <w:tab w:leader="none" w:pos="7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Subject to the terms and conditions of this Warrant and the Company’s receipt of information from the Holder that is required to be included in a Form S-3 regarding the Holder, the Company hereby agrees to prepare and file with the Commission (i) a Registration Statement or (ii) to the extent permitted by the rules and regulations of the Commission, a prospectus supplement in respect of an appropriate effective Registration Statement on Form S-3 in each case for the purpose of registering the resale of all of the Registrable Securities as soon as reasonably practicable, following the Issuance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exclude the Registrable Securities of the Holder that has not complied with the provisions of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or has notified the Company in writing of its election to exclude all of its Registrable Securities from such Registration Statement. A draft of such Registration Statement or prospectus supplement shall be provided to the Holder and its counsel for their review and comment a reasonable time prior to its filing. The Company shall use commercially reasonable efforts to keep any Registration Statement continuously effective and in compliance with the Securities Act and usable for resale of all Registrable Securities until the earlier of (A) the date 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66" w:right="4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all Registrable Securities covered by such Registration Statement have been sold and any required prospectus delivery period with respect to such sale shall have expired, and (B) the date on which all Registrable Securities covered by such Registration Statement may be sold without restriction pursuant to Rule 144 (including Rule 144(c)).</w:t>
      </w:r>
    </w:p>
    <w:p>
      <w:pPr>
        <w:spacing w:after="0" w:line="68" w:lineRule="exact"/>
        <w:rPr>
          <w:sz w:val="20"/>
          <w:szCs w:val="20"/>
          <w:color w:val="auto"/>
        </w:rPr>
      </w:pPr>
    </w:p>
    <w:p>
      <w:pPr>
        <w:ind w:right="20" w:firstLine="436"/>
        <w:spacing w:after="0" w:line="282"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All Registration Expenses incurred in connection with any registration, qualification or compliance hereunder shall be borne by the Company. All Selling Expenses incurred in connection with any registrations hereunder shall be borne by the Holder.</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firstLine="419"/>
        <w:spacing w:after="0" w:line="258" w:lineRule="auto"/>
        <w:tabs>
          <w:tab w:leader="none" w:pos="108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agreed by the Holder and the Company in writing, the Company shall file a Registration Statement within 30 days of the Issuance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the Company would otherwise be required pursuant to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to file more than two Registration Statements in any six month period (any such Registration Statement, an “</w:t>
      </w:r>
      <w:r>
        <w:rPr>
          <w:rFonts w:ascii="Times New Roman" w:cs="Times New Roman" w:eastAsia="Times New Roman" w:hAnsi="Times New Roman"/>
          <w:sz w:val="18"/>
          <w:szCs w:val="18"/>
          <w:b w:val="1"/>
          <w:bCs w:val="1"/>
          <w:color w:val="auto"/>
        </w:rPr>
        <w:t>Additional Registration Statement</w:t>
      </w:r>
      <w:r>
        <w:rPr>
          <w:rFonts w:ascii="Times New Roman" w:cs="Times New Roman" w:eastAsia="Times New Roman" w:hAnsi="Times New Roman"/>
          <w:sz w:val="18"/>
          <w:szCs w:val="18"/>
          <w:color w:val="auto"/>
        </w:rPr>
        <w:t>”), the Company may elect to file such Additional Registration Statement upon expiration of such six month period, rather than during such six month period.</w:t>
      </w:r>
    </w:p>
    <w:p>
      <w:pPr>
        <w:spacing w:after="0" w:line="75" w:lineRule="exact"/>
        <w:rPr>
          <w:rFonts w:ascii="Times New Roman" w:cs="Times New Roman" w:eastAsia="Times New Roman" w:hAnsi="Times New Roman"/>
          <w:sz w:val="18"/>
          <w:szCs w:val="18"/>
          <w:color w:val="auto"/>
        </w:rPr>
      </w:pPr>
    </w:p>
    <w:p>
      <w:pPr>
        <w:jc w:val="both"/>
        <w:ind w:left="440" w:firstLine="419"/>
        <w:spacing w:after="0" w:line="256" w:lineRule="auto"/>
        <w:tabs>
          <w:tab w:leader="none" w:pos="113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commercially reasonable efforts to cause any such Registration Statement to become effective within 90 days of the Issuance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Registration Statement has not yet been declared effective by the Commission because the Commission’s review and comment process in respect thereof is ongoing, such date shall be automatically extended to the date that is within 120 days of such Issuance Date. The Company shall notify the Holder by e-mail as promptly as practicable after any such Registration Statement becomes effective or any prospectus or prospectus supplement has been filed and shall simultaneously provide the Holder with copies of any related prospectus to be used in connection with the sale or other disposition of the securities covered thereby.</w:t>
      </w:r>
    </w:p>
    <w:p>
      <w:pPr>
        <w:spacing w:after="0" w:line="79" w:lineRule="exact"/>
        <w:rPr>
          <w:rFonts w:ascii="Times New Roman" w:cs="Times New Roman" w:eastAsia="Times New Roman" w:hAnsi="Times New Roman"/>
          <w:sz w:val="18"/>
          <w:szCs w:val="18"/>
          <w:color w:val="auto"/>
        </w:rPr>
      </w:pPr>
    </w:p>
    <w:p>
      <w:pPr>
        <w:jc w:val="both"/>
        <w:ind w:left="440" w:firstLine="419"/>
        <w:spacing w:after="0" w:line="258" w:lineRule="auto"/>
        <w:tabs>
          <w:tab w:leader="none" w:pos="118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commercially reasonable efforts to prepare and file with the Commission such amendments and supplements to the applicable Registration Statement and the prospectus or prospectus supplement used in connection with such Registration Statement as may be necessary to comply with the provisions of the Securities Act with respect to the disposition of all securities covered by such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have no obligation to amend any Registration Statement to give effect to any transfers effected by the Holder.</w:t>
      </w:r>
    </w:p>
    <w:p>
      <w:pPr>
        <w:spacing w:after="0" w:line="75"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7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procure the cooperation of the Company’s transfer agent in settling any sale or transfer of Registrable Securities. The Company shall at all times provide a transfer agent and registrar with respect to the Common Stock.</w:t>
      </w:r>
    </w:p>
    <w:p>
      <w:pPr>
        <w:spacing w:after="0" w:line="53" w:lineRule="exact"/>
        <w:rPr>
          <w:rFonts w:ascii="Times New Roman" w:cs="Times New Roman" w:eastAsia="Times New Roman" w:hAnsi="Times New Roman"/>
          <w:sz w:val="18"/>
          <w:szCs w:val="18"/>
          <w:color w:val="auto"/>
        </w:rPr>
      </w:pPr>
    </w:p>
    <w:p>
      <w:pPr>
        <w:jc w:val="both"/>
        <w:ind w:left="440" w:right="20" w:firstLine="419"/>
        <w:spacing w:after="0" w:line="261" w:lineRule="auto"/>
        <w:tabs>
          <w:tab w:leader="none" w:pos="114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requested by the Holder, the Company shall promptly include in a prospectus supplement or amendment such information as the Holder may reasonably request in order to permit the intended method of distribution of such securities and make all required filings of such prospectus supplement or such amendment as soon as practicable after the Company has received such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have no obligation to file any prospectus supplement or amendment to give effect to any transfers effected by Holder.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28" w:name="page29"/>
    <w:bookmarkEnd w:id="28"/>
    <w:p>
      <w:pPr>
        <w:jc w:val="both"/>
        <w:ind w:left="440" w:firstLine="419"/>
        <w:spacing w:after="0" w:line="254" w:lineRule="auto"/>
        <w:tabs>
          <w:tab w:leader="none" w:pos="117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promptly notify the Holder who holds Registrable Securities at any time when a prospectus relating to the sale of Registrable Securities is required to be delivered under the Securities Act of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in light of the circumstances under which they were made, and at the request of the Holder of Registrable Securities promptly prepare and furnish to the Holder a reasonable number of copies of a supplement to or an amendment of such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light of the circumstances under which they were made.</w:t>
      </w:r>
    </w:p>
    <w:p>
      <w:pPr>
        <w:spacing w:after="0" w:line="83"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advise the Holder of Registrable Securities promptly after it shall receive notice or obtain knowledge thereof, of</w:t>
      </w:r>
    </w:p>
    <w:p>
      <w:pPr>
        <w:spacing w:after="0" w:line="27" w:lineRule="exact"/>
        <w:rPr>
          <w:rFonts w:ascii="Times New Roman" w:cs="Times New Roman" w:eastAsia="Times New Roman" w:hAnsi="Times New Roman"/>
          <w:sz w:val="18"/>
          <w:szCs w:val="18"/>
          <w:color w:val="auto"/>
        </w:rPr>
      </w:pPr>
    </w:p>
    <w:p>
      <w:pPr>
        <w:jc w:val="both"/>
        <w:ind w:left="440" w:right="20" w:hanging="4"/>
        <w:spacing w:after="0" w:line="253" w:lineRule="auto"/>
        <w:tabs>
          <w:tab w:leader="none" w:pos="7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stop order, injunction or other order or requirement by the Commission suspending the effectiveness of any Registration Statement or the initiation or threatening of any Proceeding for such purpose, (B) the issuance by any state securities or other regulatory authority of any order suspending the qualification or exemption from qualification of any of the Registrable Securities under state securities or “blue sky” laws or the initiation or threat of initiation of any Proceedings for that purpose, and (C) the removal of any such stop order, injunction or other order or requirement or Proceeding or the lifting of any such suspension.</w:t>
      </w:r>
    </w:p>
    <w:p>
      <w:pPr>
        <w:spacing w:after="0" w:line="78"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30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prevent the issuance of any stop order, injunction or other order or requirement suspending the effectiveness of the Registration Statement and obtain as soon as practicable the withdrawal of any such stop order, injunction or other order or requirement that is issued.</w:t>
      </w:r>
    </w:p>
    <w:p>
      <w:pPr>
        <w:spacing w:after="0" w:line="67"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7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registration of the applicable Registrable Securities, the Company shall cooperate with the Holder to facilitate the timely preparation and delivery of certificates or book-entry forms (not bearing any restrictive legend) representing such Registrable Securities to be offered pursuant to any Registration Statement.</w:t>
      </w:r>
    </w:p>
    <w:p>
      <w:pPr>
        <w:spacing w:after="0" w:line="68" w:lineRule="exact"/>
        <w:rPr>
          <w:sz w:val="20"/>
          <w:szCs w:val="20"/>
          <w:color w:val="auto"/>
        </w:rPr>
      </w:pPr>
    </w:p>
    <w:p>
      <w:pPr>
        <w:jc w:val="both"/>
        <w:ind w:right="20" w:firstLine="436"/>
        <w:spacing w:after="0" w:line="256" w:lineRule="auto"/>
        <w:tabs>
          <w:tab w:leader="none" w:pos="69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Upon receipt of written notice from the Company that a Registration Statement, prospectus or prospectus supplement contains or may contain an untrue statement of a material fact or omits or may omit to state a material fact required to be stated therein or necessary to make the statements therein not misleading or that the Company’s board of directors has determined in good faith that circumstances exist that make inadvisable use of such Registration Statement, prospectus or prospectus supplement, the Holder shall forthwith discontinue use of any such Registration Statement until the Holder has received copies of a supplemented or amended prospectus or prospectus supplement, or the Holder is advised in writing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the Company that the use of the prospectus and, if applicable, prospectus supplement may be resumed, and, if so directed by the Company, the Holder shall deliver to the Company all copies, other than permanent file copies then in the Holder’s possession, of the prospectus and, if applicable, prospectus supplement covering such Registrable Securities in use at the time of receipt of such notice. The total number of days that any such suspension described in this paragraph may be in effect in any 180-day period shall not exceed 30 Business Days.</w:t>
      </w:r>
    </w:p>
    <w:p>
      <w:pPr>
        <w:spacing w:after="0" w:line="72" w:lineRule="exact"/>
        <w:rPr>
          <w:sz w:val="20"/>
          <w:szCs w:val="20"/>
          <w:color w:val="auto"/>
        </w:rPr>
      </w:pPr>
    </w:p>
    <w:p>
      <w:pPr>
        <w:ind w:left="680" w:hanging="244"/>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Holder</w:t>
      </w:r>
      <w:r>
        <w:rPr>
          <w:rFonts w:ascii="Times New Roman" w:cs="Times New Roman" w:eastAsia="Times New Roman" w:hAnsi="Times New Roman"/>
          <w:sz w:val="18"/>
          <w:szCs w:val="18"/>
          <w:color w:val="auto"/>
        </w:rPr>
        <w:t>. By accepting this Warrant and the consummation of the transactions contemplated hereby, the Holder agrees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98" w:lineRule="exact"/>
        <w:rPr>
          <w:rFonts w:ascii="Times New Roman" w:cs="Times New Roman" w:eastAsia="Times New Roman" w:hAnsi="Times New Roman"/>
          <w:sz w:val="18"/>
          <w:szCs w:val="18"/>
          <w:color w:val="auto"/>
        </w:rPr>
      </w:pPr>
    </w:p>
    <w:p>
      <w:pPr>
        <w:jc w:val="both"/>
        <w:ind w:left="440" w:firstLine="419"/>
        <w:spacing w:after="0" w:line="258" w:lineRule="auto"/>
        <w:tabs>
          <w:tab w:leader="none" w:pos="109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agrees that, upon receipt of any notice from the Company of the occurrence of any event of the kind described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18(e)</w:t>
      </w:r>
      <w:r>
        <w:rPr>
          <w:rFonts w:ascii="Times New Roman" w:cs="Times New Roman" w:eastAsia="Times New Roman" w:hAnsi="Times New Roman"/>
          <w:sz w:val="18"/>
          <w:szCs w:val="18"/>
          <w:color w:val="auto"/>
        </w:rPr>
        <w:t xml:space="preserve"> hereof, the Holder shall immediately discontinue use of such Registration Statement covering such Registrable Securities until the Holder’s receipt of the copies of the supplemented or amended prospectus contemplated by </w:t>
      </w:r>
      <w:r>
        <w:rPr>
          <w:rFonts w:ascii="Times New Roman" w:cs="Times New Roman" w:eastAsia="Times New Roman" w:hAnsi="Times New Roman"/>
          <w:sz w:val="18"/>
          <w:szCs w:val="18"/>
          <w:u w:val="single" w:color="auto"/>
          <w:color w:val="auto"/>
        </w:rPr>
        <w:t>Section 18(e)</w:t>
      </w:r>
      <w:r>
        <w:rPr>
          <w:rFonts w:ascii="Times New Roman" w:cs="Times New Roman" w:eastAsia="Times New Roman" w:hAnsi="Times New Roman"/>
          <w:sz w:val="18"/>
          <w:szCs w:val="18"/>
          <w:color w:val="auto"/>
        </w:rPr>
        <w:t xml:space="preserve"> hereof or receipt of notice that no supplement or amendment is required and that the Holder’s use of such Registration Statement may be resumed. The Company may provide appropriate stop orders to enforce the provisions of this </w:t>
      </w:r>
      <w:r>
        <w:rPr>
          <w:rFonts w:ascii="Times New Roman" w:cs="Times New Roman" w:eastAsia="Times New Roman" w:hAnsi="Times New Roman"/>
          <w:sz w:val="18"/>
          <w:szCs w:val="18"/>
          <w:u w:val="single" w:color="auto"/>
          <w:color w:val="auto"/>
        </w:rPr>
        <w:t>Section 18(f)</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2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covenants and agrees that it will comply with the prospectus delivery requirements of the Securities Act as applicable to it or an exemption therefrom in connection with sales of Registrable Securities pursuant to any Registration Statement filed by the Company pursuant to this Warrant.</w:t>
      </w:r>
    </w:p>
    <w:p>
      <w:pPr>
        <w:spacing w:after="0" w:line="67" w:lineRule="exact"/>
        <w:rPr>
          <w:rFonts w:ascii="Times New Roman" w:cs="Times New Roman" w:eastAsia="Times New Roman" w:hAnsi="Times New Roman"/>
          <w:sz w:val="18"/>
          <w:szCs w:val="18"/>
          <w:color w:val="auto"/>
        </w:rPr>
      </w:pPr>
    </w:p>
    <w:p>
      <w:pPr>
        <w:ind w:left="440" w:firstLine="419"/>
        <w:spacing w:after="0" w:line="282" w:lineRule="auto"/>
        <w:tabs>
          <w:tab w:leader="none" w:pos="117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covenants and agrees that it will notify the Company following the sale of Registrable Securities to a third party as promptly as reasonably practicable, and in any event within 10 days, following the sale of such Registrable Securities.</w:t>
      </w:r>
    </w:p>
    <w:p>
      <w:pPr>
        <w:spacing w:after="0" w:line="53" w:lineRule="exact"/>
        <w:rPr>
          <w:rFonts w:ascii="Times New Roman" w:cs="Times New Roman" w:eastAsia="Times New Roman" w:hAnsi="Times New Roman"/>
          <w:sz w:val="18"/>
          <w:szCs w:val="18"/>
          <w:color w:val="auto"/>
        </w:rPr>
      </w:pPr>
    </w:p>
    <w:p>
      <w:pPr>
        <w:jc w:val="both"/>
        <w:ind w:left="440" w:right="20" w:firstLine="419"/>
        <w:spacing w:after="0" w:line="261" w:lineRule="auto"/>
        <w:tabs>
          <w:tab w:leader="none" w:pos="117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agrees that it will not effect any disposition or other transfer of the Registrable Securities that would constitute a sale within the meaning of the Securities Act other than transactions exempt from the registration requirements of the Securities Act or pursuant to, and as contemplated in, any Registration Statement, and that it will promptly notify the Company of any material changes in the information set forth in any such Registration Statement furnished by or regarding the Holder or its plan of distribution.</w:t>
      </w:r>
    </w:p>
    <w:p>
      <w:pPr>
        <w:spacing w:after="0" w:line="71" w:lineRule="exact"/>
        <w:rPr>
          <w:rFonts w:ascii="Times New Roman" w:cs="Times New Roman" w:eastAsia="Times New Roman" w:hAnsi="Times New Roman"/>
          <w:sz w:val="18"/>
          <w:szCs w:val="18"/>
          <w:color w:val="auto"/>
        </w:rPr>
      </w:pPr>
    </w:p>
    <w:p>
      <w:pPr>
        <w:jc w:val="both"/>
        <w:ind w:firstLine="436"/>
        <w:spacing w:after="0" w:line="266" w:lineRule="auto"/>
        <w:tabs>
          <w:tab w:leader="none" w:pos="70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In the event the filing of any Registration Statement, prospectus or prospectus supplement is deferred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18(e)</w:t>
      </w:r>
      <w:r>
        <w:rPr>
          <w:rFonts w:ascii="Times New Roman" w:cs="Times New Roman" w:eastAsia="Times New Roman" w:hAnsi="Times New Roman"/>
          <w:sz w:val="18"/>
          <w:szCs w:val="18"/>
          <w:color w:val="auto"/>
        </w:rPr>
        <w:t xml:space="preserve">, or the Holder’s ability to trade is suspended pursuant to </w:t>
      </w:r>
      <w:r>
        <w:rPr>
          <w:rFonts w:ascii="Times New Roman" w:cs="Times New Roman" w:eastAsia="Times New Roman" w:hAnsi="Times New Roman"/>
          <w:sz w:val="18"/>
          <w:szCs w:val="18"/>
          <w:u w:val="single" w:color="auto"/>
          <w:color w:val="auto"/>
        </w:rPr>
        <w:t>Section 18(e)</w:t>
      </w:r>
      <w:r>
        <w:rPr>
          <w:rFonts w:ascii="Times New Roman" w:cs="Times New Roman" w:eastAsia="Times New Roman" w:hAnsi="Times New Roman"/>
          <w:sz w:val="18"/>
          <w:szCs w:val="18"/>
          <w:color w:val="auto"/>
        </w:rPr>
        <w:t>, by accepting this Warrant and the consummation of the transactions contemplated hereby, the Holder agrees to treat such information confidentially and to not make public such information.</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Furnishing Information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30" w:name="page31"/>
    <w:bookmarkEnd w:id="30"/>
    <w:p>
      <w:pPr>
        <w:ind w:left="440" w:right="20" w:firstLine="419"/>
        <w:spacing w:after="0" w:line="282" w:lineRule="auto"/>
        <w:tabs>
          <w:tab w:leader="none" w:pos="110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upon the Company’s request, the Holder shall deliver to the Company a fully completed and executed selling stockholder questionnaire, in the form provided to the Holder by the Company prior to the filing of the Registration Statement.</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4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shall not use any free writing prospectus (as defined in Rule 405 under the Securities Act or any successor rule thereto (“</w:t>
      </w:r>
      <w:r>
        <w:rPr>
          <w:rFonts w:ascii="Times New Roman" w:cs="Times New Roman" w:eastAsia="Times New Roman" w:hAnsi="Times New Roman"/>
          <w:sz w:val="18"/>
          <w:szCs w:val="18"/>
          <w:b w:val="1"/>
          <w:bCs w:val="1"/>
          <w:color w:val="auto"/>
        </w:rPr>
        <w:t>Rule 405</w:t>
      </w:r>
      <w:r>
        <w:rPr>
          <w:rFonts w:ascii="Times New Roman" w:cs="Times New Roman" w:eastAsia="Times New Roman" w:hAnsi="Times New Roman"/>
          <w:sz w:val="18"/>
          <w:szCs w:val="18"/>
          <w:color w:val="auto"/>
        </w:rPr>
        <w:t>”)) in connection with the sale of Registrable Securities without the prior written consent of the Company.</w:t>
      </w:r>
    </w:p>
    <w:p>
      <w:pPr>
        <w:spacing w:after="0" w:line="53"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8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that the Holder shall furnish to the Company such information regarding the Holder, the Registrable Securities held by the Holder and the intended method of disposition of such securities as shall be reasonably required to effect the registered offering of their Registrable Securities.</w:t>
      </w:r>
    </w:p>
    <w:p>
      <w:pPr>
        <w:spacing w:after="0" w:line="67" w:lineRule="exact"/>
        <w:rPr>
          <w:rFonts w:ascii="Times New Roman" w:cs="Times New Roman" w:eastAsia="Times New Roman" w:hAnsi="Times New Roman"/>
          <w:sz w:val="18"/>
          <w:szCs w:val="18"/>
          <w:color w:val="auto"/>
        </w:rPr>
      </w:pPr>
    </w:p>
    <w:p>
      <w:pPr>
        <w:jc w:val="both"/>
        <w:ind w:firstLine="436"/>
        <w:spacing w:after="0" w:line="254"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With a view to making available the ability of the Holder to rely upon Rule 144, the Company shall, for so long as the Holder or any Permitted Transferee owns any Registrable Securities, (A) make and keep public information regarding the Company available, as those terms are understood and defined in Rule 144, (B) use commercially reasonable efforts to file with the Commission in a timely manner all reports and other documents required to be filed by the Company under the Securities Act and the Exchange Act; and (C) furnish, unless otherwise available at no charge by access electronically to the Commission’s EDGAR filing system, to the Holder who holds Registrable Securities promptly upon request (1) a copy of the most recent annual or quarterly report of the Company, and (2) such other reports and documents of the Company so filed with the Commission as the Holder may reasonably request in availing itself of any rule or regulation of the Commission allowing the Holder to sell any such securities without registration.</w:t>
      </w:r>
    </w:p>
    <w:p>
      <w:pPr>
        <w:spacing w:after="0" w:line="8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Indemnification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firstLine="419"/>
        <w:spacing w:after="0" w:line="253" w:lineRule="auto"/>
        <w:tabs>
          <w:tab w:leader="none" w:pos="107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indemnify and hold harmless each Holder Indemnitee against any and all losses, claims, damages, liabilities, costs and expenses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xml:space="preserve">”) to which he may become subject under the Securities Act or otherwise, insofar as such Losses arise out of or are based upon any untrue or alleged untrue statement of a material fact contained in any Registration Statement, prospectus, preliminary prospectus, free writing prospectus (as defined in Rule 405) or any amendment thereof or supplement thereto or any omission or alleged omission of a material fact required to be stated therein or necessary to make the statements therein (in the case of a prospectus, preliminary prospectus or free writing prospectus, in light of the circumstances under which they were made) not misleading; and shall reimburse Holder Indemnitees for any actual and documented legal or other expenses reasonably incurred by them in connection with investigating or defending any such Losses;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to provide indemnification pursuant to this </w:t>
      </w:r>
      <w:r>
        <w:rPr>
          <w:rFonts w:ascii="Times New Roman" w:cs="Times New Roman" w:eastAsia="Times New Roman" w:hAnsi="Times New Roman"/>
          <w:sz w:val="18"/>
          <w:szCs w:val="18"/>
          <w:u w:val="single" w:color="auto"/>
          <w:color w:val="auto"/>
        </w:rPr>
        <w:t>Section 18(j)(i)</w:t>
      </w:r>
      <w:r>
        <w:rPr>
          <w:rFonts w:ascii="Times New Roman" w:cs="Times New Roman" w:eastAsia="Times New Roman" w:hAnsi="Times New Roman"/>
          <w:sz w:val="18"/>
          <w:szCs w:val="18"/>
          <w:color w:val="auto"/>
        </w:rPr>
        <w:t>: (A) where the Losses are caused by or contained in any information furnished in writing to the Company by the Holder (or its representative) or approved by a the Holder (or its representative) expressly for use therein; (B) where the Losses are caused by the Holder’s failure to deliver a copy of such Registration Statement, prospectus, preliminary prospectus, free writing prospectus (as defined in Rule 405) or any amendments or supplements thereto (if the same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31" w:name="page32"/>
    <w:bookmarkEnd w:id="31"/>
    <w:p>
      <w:pPr>
        <w:jc w:val="both"/>
        <w:ind w:left="440"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was required by applicable Law to be so delivered); or (C) where the Losses relate to offers or sales effected by or on behalf of the Holder “by means of” (as defined in Rule 159A under the Securities Act or any successor rule thereto) a “free writing prospectus” (as defined in Rule 405) that was not authorized in writing by the Company. This indemnity shall be in addition to any liability the Company may otherwise have.</w:t>
      </w:r>
    </w:p>
    <w:p>
      <w:pPr>
        <w:spacing w:after="0" w:line="68" w:lineRule="exact"/>
        <w:rPr>
          <w:sz w:val="20"/>
          <w:szCs w:val="20"/>
          <w:color w:val="auto"/>
        </w:rPr>
      </w:pPr>
    </w:p>
    <w:p>
      <w:pPr>
        <w:jc w:val="both"/>
        <w:ind w:left="440" w:firstLine="419"/>
        <w:spacing w:after="0" w:line="257" w:lineRule="auto"/>
        <w:tabs>
          <w:tab w:leader="none" w:pos="114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will indemnify and hold harmless the Company, the Company’s directors, officers, agents, employees and legal counsel, each underwriter, broker or other Person acting on behalf of the holders of Registrable Securities and each Affiliate who controls (within the meaning of Section 15 of the Securities Act and Section 20 of the Exchange Act) any of the foregoing Persons against all Losses resulting from</w:t>
      </w:r>
    </w:p>
    <w:p>
      <w:pPr>
        <w:spacing w:after="0" w:line="1" w:lineRule="exact"/>
        <w:rPr>
          <w:rFonts w:ascii="Times New Roman" w:cs="Times New Roman" w:eastAsia="Times New Roman" w:hAnsi="Times New Roman"/>
          <w:sz w:val="18"/>
          <w:szCs w:val="18"/>
          <w:color w:val="auto"/>
        </w:rPr>
      </w:pPr>
    </w:p>
    <w:p>
      <w:pPr>
        <w:jc w:val="both"/>
        <w:ind w:left="440" w:hanging="4"/>
        <w:spacing w:after="0" w:line="251" w:lineRule="auto"/>
        <w:tabs>
          <w:tab w:leader="none" w:pos="7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failure to comply with the prospectus delivery requirements of the Securities Act, or (B) any untrue or alleged untrue statement of material fact contained in the Registration Statement, prospectus, preliminary prospectus, free writing prospectus (as defined in Rule 405) or any amendment thereof or supplement thereto or any omission or alleged omission of a material fact required to be stated therein or necessary to make the statements therein (in the case of a prospectus, preliminary prospectus or free writing prospectus, in light of the circumstances under which they were made) not misleading, but only to the extent that such untrue statement or omission is in writing and was either provided by the Holder (or its representative) or approved by the Holder (or its representative) expressly for use in any Registration Statement, prospectus, preliminary prospectus, free writing prospectus or amendment or supplement thereto; and shall reimburse such Persons for any actual and documented legal or other expenses reasonably incurred by any of them in connection with investigating or defending any such Losses. This indemnity shall be in addition to any liability the Holder may otherwise have.</w:t>
      </w:r>
    </w:p>
    <w:p>
      <w:pPr>
        <w:spacing w:after="0" w:line="85" w:lineRule="exact"/>
        <w:rPr>
          <w:sz w:val="20"/>
          <w:szCs w:val="20"/>
          <w:color w:val="auto"/>
        </w:rPr>
      </w:pPr>
    </w:p>
    <w:p>
      <w:pPr>
        <w:jc w:val="both"/>
        <w:ind w:firstLine="436"/>
        <w:spacing w:after="0" w:line="254" w:lineRule="auto"/>
        <w:tabs>
          <w:tab w:leader="none" w:pos="70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including with respect to the obligations of the Company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regarding the delivery of any Warrant Shares to the Holder or the registration obligations of the Company under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the Holder hereby acknowledges and agrees that the Company shall be permitted, in its sole and absolute discretion, to satisfy such obligations by the delivery of Warrant Shares from any shares of Common Stock that are currently issued and outstanding and held by the Company or any of its Affiliates that have been previously registered for resale under an effective Registration Statement under the Securities Act, subject to any applicable transfer restrictions (whether contractual or under any applicable Law) and in compliance with applicable Law, including any requirements to deliver a prospectus supplement or other documentation to give effect to any such transfer by the Company or its Affiliates. If the Warrant Shares are delivered to the Holder out of such currently issued and outstanding Common Stock, the Holder and the Company shall cooperate to complete the transfer of such shares as promptly as reasonably practicable following the delivery of the applicable Exercise Notice.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32" w:name="page33"/>
    <w:bookmarkEnd w:id="32"/>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Company and the Holder have caused this Warrant to Purchase Common Stock to be duly executed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Date set out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SCILEX HOLDING COMPANY</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Jaisim Shah</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FSF 33433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000"/>
          </w:cols>
          <w:pgMar w:left="440" w:top="266" w:right="4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SCILEX HOLDING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holder hereby elects to exercise the Warrant to Purchase Common Stock No. _______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of Scilex Holding</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Company,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specified below. Capitalized terms used herein and not otherwise defined shall have the respective meanings set forth in the Warrant.</w:t>
      </w:r>
    </w:p>
    <w:p>
      <w:pPr>
        <w:spacing w:after="0" w:line="73" w:lineRule="exact"/>
        <w:rPr>
          <w:sz w:val="20"/>
          <w:szCs w:val="20"/>
          <w:color w:val="auto"/>
        </w:rPr>
      </w:pPr>
    </w:p>
    <w:p>
      <w:pPr>
        <w:ind w:firstLine="436"/>
        <w:spacing w:after="0" w:line="282" w:lineRule="auto"/>
        <w:tabs>
          <w:tab w:leader="none" w:pos="64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Exercise Price</w:t>
      </w:r>
      <w:r>
        <w:rPr>
          <w:rFonts w:ascii="Times New Roman" w:cs="Times New Roman" w:eastAsia="Times New Roman" w:hAnsi="Times New Roman"/>
          <w:sz w:val="18"/>
          <w:szCs w:val="18"/>
          <w:color w:val="auto"/>
        </w:rPr>
        <w:t>. The Holder intends that payment of the Aggregate Exercise Price shall be made in cash or via wire transfer of immediately available funds to the Company with respect to _____________ Warrant Shares.</w:t>
      </w:r>
    </w:p>
    <w:p>
      <w:pPr>
        <w:spacing w:after="0" w:line="53" w:lineRule="exact"/>
        <w:rPr>
          <w:rFonts w:ascii="Times New Roman" w:cs="Times New Roman" w:eastAsia="Times New Roman" w:hAnsi="Times New Roman"/>
          <w:sz w:val="18"/>
          <w:szCs w:val="18"/>
          <w:color w:val="auto"/>
        </w:rPr>
      </w:pPr>
    </w:p>
    <w:p>
      <w:pPr>
        <w:ind w:right="20" w:firstLine="436"/>
        <w:spacing w:after="0" w:line="282" w:lineRule="auto"/>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w:t>
      </w:r>
      <w:r>
        <w:rPr>
          <w:rFonts w:ascii="Times New Roman" w:cs="Times New Roman" w:eastAsia="Times New Roman" w:hAnsi="Times New Roman"/>
          <w:sz w:val="18"/>
          <w:szCs w:val="18"/>
          <w:color w:val="auto"/>
        </w:rPr>
        <w:t>. The Company shall deliver to Holder, or its designee or agent as specified below, __________ shares of Common Stock in accordance with the terms of the Warrant. Delivery shall be made to Holder, or for its benefit, as follows:</w:t>
      </w:r>
    </w:p>
    <w:p>
      <w:pPr>
        <w:spacing w:after="0" w:line="54" w:lineRule="exact"/>
        <w:rPr>
          <w:sz w:val="20"/>
          <w:szCs w:val="20"/>
          <w:color w:val="auto"/>
        </w:rPr>
      </w:pPr>
    </w:p>
    <w:p>
      <w:pPr>
        <w:ind w:left="440" w:right="3140" w:hanging="4"/>
        <w:spacing w:after="0" w:line="563" w:lineRule="auto"/>
        <w:tabs>
          <w:tab w:leader="none" w:pos="642" w:val="left"/>
        </w:tabs>
        <w:numPr>
          <w:ilvl w:val="0"/>
          <w:numId w:val="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as a certificate to the following name and to the following address: Issue to:</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48" w:lineRule="exact"/>
        <w:rPr>
          <w:rFonts w:ascii="MS PGothic" w:cs="MS PGothic" w:eastAsia="MS PGothic" w:hAnsi="MS PGothic"/>
          <w:sz w:val="18"/>
          <w:szCs w:val="18"/>
          <w:color w:val="auto"/>
        </w:rPr>
      </w:pPr>
    </w:p>
    <w:p>
      <w:pPr>
        <w:ind w:left="640" w:hanging="204"/>
        <w:spacing w:after="0"/>
        <w:tabs>
          <w:tab w:leader="none" w:pos="640" w:val="left"/>
        </w:tabs>
        <w:numPr>
          <w:ilvl w:val="0"/>
          <w:numId w:val="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by Deposit/Withdrawal at Custodian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-719455</wp:posOffset>
            </wp:positionV>
            <wp:extent cx="62407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-496570</wp:posOffset>
            </wp:positionV>
            <wp:extent cx="62407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-273685</wp:posOffset>
            </wp:positionV>
            <wp:extent cx="62407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2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17145</wp:posOffset>
            </wp:positionV>
            <wp:extent cx="57689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DTC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17145</wp:posOffset>
            </wp:positionV>
            <wp:extent cx="57689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68975" cy="8890"/>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17145</wp:posOffset>
            </wp:positionV>
            <wp:extent cx="57689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 __,</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7138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ectPr>
          <w:pgSz w:w="11900" w:h="16838" w:orient="portrait"/>
          <w:cols w:equalWidth="0" w:num="1">
            <w:col w:w="11020"/>
          </w:cols>
          <w:pgMar w:left="440" w:top="266"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Tax ID:____________________________</w:t>
      </w:r>
    </w:p>
    <w:p>
      <w:pPr>
        <w:spacing w:after="0" w:line="2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E-mail Address:_____________________</w:t>
      </w:r>
    </w:p>
    <w:p>
      <w:pPr>
        <w:sectPr>
          <w:pgSz w:w="11900" w:h="16838" w:orient="portrait"/>
          <w:cols w:equalWidth="0" w:num="1">
            <w:col w:w="10019"/>
          </w:cols>
          <w:pgMar w:left="440" w:top="270" w:right="1440"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accordance with the Transfer Agent Instructions dated _________, 202_,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SCILEX HOLDING COMPANY</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020"/>
          </w:cols>
          <w:pgMar w:left="440" w:top="266" w:right="4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exercise the Warrant to purchase shares.)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6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 </w:t>
            </w:r>
          </w:p>
        </w:tc>
      </w:tr>
      <w:tr>
        <w:trPr>
          <w:trHeight w:val="228"/>
        </w:trPr>
        <w:tc>
          <w:tcPr>
            <w:tcW w:w="4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(Please Print)</w:t>
            </w:r>
          </w:p>
        </w:tc>
      </w:tr>
      <w:tr>
        <w:trPr>
          <w:trHeight w:val="31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142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28"/>
        </w:trPr>
        <w:tc>
          <w:tcPr>
            <w:tcW w:w="4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(Please Print)</w:t>
            </w:r>
          </w:p>
        </w:tc>
      </w:tr>
      <w:tr>
        <w:trPr>
          <w:trHeight w:val="31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142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331"/>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142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331"/>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14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32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 _____________________</w:t>
            </w:r>
          </w:p>
        </w:tc>
        <w:tc>
          <w:tcPr>
            <w:tcW w:w="14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32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 ______________________</w:t>
            </w:r>
          </w:p>
        </w:tc>
        <w:tc>
          <w:tcPr>
            <w:tcW w:w="142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37" w:name="page38"/>
    <w:bookmarkEnd w:id="37"/>
    <w:p>
      <w:pPr>
        <w:ind w:left="100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COMMITMENT SIDE LETTER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FSF 33433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1811 Silverside Road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Wilmington, DE 19810</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Scilex Holding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960 San Antonio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This letter agreement sets forth the commitment of FSF 33433 LLC, a Delaware limited liability company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to provide Scilex Holding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loan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in the aggregate principal amount of $100,000,000, subject to the terms and conditions contained herein and to terms to be agreed in the Securities Purchase Agreement (as defined below). It is contemplated that, pursuant to a Securities Purchase Agreement (as amended, restated, supplemented or otherwise modified from time to time in accordance with its terms, the “</w:t>
      </w:r>
      <w:r>
        <w:rPr>
          <w:rFonts w:ascii="Times New Roman" w:cs="Times New Roman" w:eastAsia="Times New Roman" w:hAnsi="Times New Roman"/>
          <w:sz w:val="18"/>
          <w:szCs w:val="18"/>
          <w:u w:val="single" w:color="auto"/>
          <w:color w:val="auto"/>
        </w:rPr>
        <w:t>Securities Purchase Agreement</w:t>
      </w:r>
      <w:r>
        <w:rPr>
          <w:rFonts w:ascii="Times New Roman" w:cs="Times New Roman" w:eastAsia="Times New Roman" w:hAnsi="Times New Roman"/>
          <w:sz w:val="18"/>
          <w:szCs w:val="18"/>
          <w:color w:val="auto"/>
        </w:rPr>
        <w:t>”) to be entered into by and between the Company and Lender on terms to be mutually agreed in good faith, Lender will provide the Loan in exchange for the issuance of certain secured promissory notes and the Initial Closing Warrant and Second Closing Warrant (each as defined below) by the Company. The Company and Lender are referred to in this letter agreement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firstLine="987"/>
        <w:spacing w:after="0" w:line="253" w:lineRule="auto"/>
        <w:tabs>
          <w:tab w:leader="none" w:pos="117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Lender hereby commits, subject to the terms and conditions set forth herein and in the Securities Purchase Agreement, to provide the Loan to the Company in immediately available funds in the aggregate principal amount of $100,000,000 (the “</w:t>
      </w:r>
      <w:r>
        <w:rPr>
          <w:rFonts w:ascii="Times New Roman" w:cs="Times New Roman" w:eastAsia="Times New Roman" w:hAnsi="Times New Roman"/>
          <w:sz w:val="18"/>
          <w:szCs w:val="18"/>
          <w:u w:val="single" w:color="auto"/>
          <w:color w:val="auto"/>
        </w:rPr>
        <w:t>Commitment Amount</w:t>
      </w:r>
      <w:r>
        <w:rPr>
          <w:rFonts w:ascii="Times New Roman" w:cs="Times New Roman" w:eastAsia="Times New Roman" w:hAnsi="Times New Roman"/>
          <w:sz w:val="18"/>
          <w:szCs w:val="18"/>
          <w:color w:val="auto"/>
        </w:rPr>
        <w:t>”) payable as follows: (i) $85 million (such amount, the “</w:t>
      </w:r>
      <w:r>
        <w:rPr>
          <w:rFonts w:ascii="Times New Roman" w:cs="Times New Roman" w:eastAsia="Times New Roman" w:hAnsi="Times New Roman"/>
          <w:sz w:val="18"/>
          <w:szCs w:val="18"/>
          <w:u w:val="single" w:color="auto"/>
          <w:color w:val="auto"/>
        </w:rPr>
        <w:t>Initial Funding Amount</w:t>
      </w:r>
      <w:r>
        <w:rPr>
          <w:rFonts w:ascii="Times New Roman" w:cs="Times New Roman" w:eastAsia="Times New Roman" w:hAnsi="Times New Roman"/>
          <w:sz w:val="18"/>
          <w:szCs w:val="18"/>
          <w:color w:val="auto"/>
        </w:rPr>
        <w:t>”) (inclusive of the amount previously funded as the Deposit) no later than the date that is 70 days following the date on which the Company receives the Deposit (as defined below)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and the funding of the initial $85 million on or prior to the Outside Date, the “</w:t>
      </w: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and (ii) the remaining $15 million within 60 days following the Initial Closing (the funding of the second $15 million within 60 days following the Initial Closing, the “</w:t>
      </w:r>
      <w:r>
        <w:rPr>
          <w:rFonts w:ascii="Times New Roman" w:cs="Times New Roman" w:eastAsia="Times New Roman" w:hAnsi="Times New Roman"/>
          <w:sz w:val="18"/>
          <w:szCs w:val="18"/>
          <w:u w:val="single" w:color="auto"/>
          <w:color w:val="auto"/>
        </w:rPr>
        <w:t>Second Closing</w:t>
      </w:r>
      <w:r>
        <w:rPr>
          <w:rFonts w:ascii="Times New Roman" w:cs="Times New Roman" w:eastAsia="Times New Roman" w:hAnsi="Times New Roman"/>
          <w:sz w:val="18"/>
          <w:szCs w:val="18"/>
          <w:color w:val="auto"/>
        </w:rPr>
        <w:t>”). The funds received in connection with the Commitment Amount hereunder shall be evidenced by a Senior Secured Promissory Note (in addition to other Security Agreements), which shall have a maturity date of five (5) years after the date of such note, and shall bear interest, payable quarterly in arrears, in an amount equal to the Secured Applicable Interest Amount for such period (based on the actual number of days elapsed) while principal is outstanding (except that if Lender advances the full $100 million Loan, then the amount set forth in clause (a)(i)(A) of the definition of Secured Applicable Interest Amount shall be payable quarterly for a minimum of two (2) years after the Initial Closing regardless of whether the principal remains outstanding during such period).</w:t>
      </w:r>
    </w:p>
    <w:p>
      <w:pPr>
        <w:sectPr>
          <w:pgSz w:w="11900" w:h="16838" w:orient="portrait"/>
          <w:cols w:equalWidth="0" w:num="1">
            <w:col w:w="11020"/>
          </w:cols>
          <w:pgMar w:left="440" w:top="117" w:right="439" w:bottom="1440" w:gutter="0" w:footer="0" w:header="0"/>
        </w:sectPr>
      </w:pPr>
    </w:p>
    <w:bookmarkStart w:id="38" w:name="page39"/>
    <w:bookmarkEnd w:id="38"/>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consideration of the terms set forth herein, Lender hereby agrees to fund a deposit in the amount of $10,000,000 (the “</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no later than June 11, 2024 in immediately available funds in accordance with the wire instructions provided by the Company to Lender. Lender agrees that such Deposit shall be non-refundable under any circumstances whatsoever. In the event that the Company and Lender enter into definitive documents for the Loan and the Initial Funding Amount of the Loan is funded in full on or before the Outside Date, the amount of the Deposit shall be credited against the initial $85 million required to be funded by Lender under the Loan at the Initial Closing. Any interest that accrues on the Deposit shall be for the sole and separate account of the Company.</w:t>
      </w:r>
    </w:p>
    <w:p>
      <w:pPr>
        <w:spacing w:after="0" w:line="187"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Lender and the Company hereby agree that upon the Company’s receipt of the Deposit, the Company shall issue to Lender a warrant to purchase up to an aggregate of 3,250,000 shares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(subject to adjustment for any stock dividend, stock split, reverse stock split or similar transaction), which shall have an exercise price equal to 110% of the closing price of the Common Stock on the Nasdaq Capital Market on the date that is two Trading Days prior to the date on which the Company has received the Deposit (rounded up to the nearest whole cent) (the “</w:t>
      </w:r>
      <w:r>
        <w:rPr>
          <w:rFonts w:ascii="Times New Roman" w:cs="Times New Roman" w:eastAsia="Times New Roman" w:hAnsi="Times New Roman"/>
          <w:sz w:val="18"/>
          <w:szCs w:val="18"/>
          <w:u w:val="single" w:color="auto"/>
          <w:color w:val="auto"/>
        </w:rPr>
        <w:t>Deposit Warrant</w:t>
      </w:r>
      <w:r>
        <w:rPr>
          <w:rFonts w:ascii="Times New Roman" w:cs="Times New Roman" w:eastAsia="Times New Roman" w:hAnsi="Times New Roman"/>
          <w:sz w:val="18"/>
          <w:szCs w:val="18"/>
          <w:color w:val="auto"/>
        </w:rPr>
        <w:t>” and such exercise price, the “</w:t>
      </w:r>
      <w:r>
        <w:rPr>
          <w:rFonts w:ascii="Times New Roman" w:cs="Times New Roman" w:eastAsia="Times New Roman" w:hAnsi="Times New Roman"/>
          <w:sz w:val="18"/>
          <w:szCs w:val="18"/>
          <w:u w:val="single" w:color="auto"/>
          <w:color w:val="auto"/>
        </w:rPr>
        <w:t>Warrant Exercise Price</w:t>
      </w:r>
      <w:r>
        <w:rPr>
          <w:rFonts w:ascii="Times New Roman" w:cs="Times New Roman" w:eastAsia="Times New Roman" w:hAnsi="Times New Roman"/>
          <w:sz w:val="18"/>
          <w:szCs w:val="18"/>
          <w:color w:val="auto"/>
        </w:rPr>
        <w:t>”). Additionally, the Deposit shall automatically convert into an unsecured loan on the first day after the Outside Date should the Initial Closing fail to occur by the Outside Date. Within five (5) days after such automatic conversion occurs, the Company is required to issue a promissory note to the Lender to evidence such unsecured loan, which note shall be unsecured, shall have a maturity date of five (5) years after the date of such note, shall be prepayable without premium or penalty, shall be contractually subordinated in right of payment to any outstanding amounts owed to Oramed Pharmaceuticals Inc., a Delaware corporation (“</w:t>
      </w:r>
      <w:r>
        <w:rPr>
          <w:rFonts w:ascii="Times New Roman" w:cs="Times New Roman" w:eastAsia="Times New Roman" w:hAnsi="Times New Roman"/>
          <w:sz w:val="18"/>
          <w:szCs w:val="18"/>
          <w:u w:val="single" w:color="auto"/>
          <w:color w:val="auto"/>
        </w:rPr>
        <w:t>Oramed</w:t>
      </w:r>
      <w:r>
        <w:rPr>
          <w:rFonts w:ascii="Times New Roman" w:cs="Times New Roman" w:eastAsia="Times New Roman" w:hAnsi="Times New Roman"/>
          <w:sz w:val="18"/>
          <w:szCs w:val="18"/>
          <w:color w:val="auto"/>
        </w:rPr>
        <w:t>”), pursuant to the debt provided by Oramed to the Company and all other related payment obligations, if any, pursuant to an agreement signed by Lender and Oramed, and shall bear interest, payable quarterly in arrears, in an amount equal to the Unsecured Applicable Interest Amount for such period (based on the actual number of days elapsed) while principal is outstanding. The note shall only include other terms deemed reasonably necessary by each Party. Lender hereby represents and warrants that it is an “accredited investor” as defined in Rule 501(a)(1), (a)(2), (a)(3), (a)(7), (a)(8), (a)(9), (a)(12), or (a)(13) under the Securities Act of 1933, as amended, and acknowledges and agrees to provide, as a condition to the delivery of the Deposit Warrant, any further representations and warranties or other information as the Company may reasonably request regarding such status and related matters in connection with the issuance of the Deposit Warrant. For purposes of this letter agreement,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 and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9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 consideration for the commitment by Lender under this letter agreement and subject to the receipt of the Deposit in immediately available funds on the date of this letter agreement, the Company agrees that, if the Company and Lender enter into definitive documents for the Loan on or before the Outside Date, the Company will issue to Lender (i) at the Initial Closing, a warrant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purchase up to an aggregate of 24,375,000 shares (subject to adjustment for any stock dividend, stock split, reverse stock split or similar transaction) of Common Stock (the “</w:t>
      </w:r>
      <w:r>
        <w:rPr>
          <w:rFonts w:ascii="Times New Roman" w:cs="Times New Roman" w:eastAsia="Times New Roman" w:hAnsi="Times New Roman"/>
          <w:sz w:val="18"/>
          <w:szCs w:val="18"/>
          <w:u w:val="single" w:color="auto"/>
          <w:color w:val="auto"/>
        </w:rPr>
        <w:t>Initial Closing Warrant</w:t>
      </w:r>
      <w:r>
        <w:rPr>
          <w:rFonts w:ascii="Times New Roman" w:cs="Times New Roman" w:eastAsia="Times New Roman" w:hAnsi="Times New Roman"/>
          <w:sz w:val="18"/>
          <w:szCs w:val="18"/>
          <w:color w:val="auto"/>
        </w:rPr>
        <w:t>”), and (ii) at the Second Closing, a warrant to purchase up to an aggregate of 4,875,000 shares (subject to adjustment for any stock dividend, stock split, reverse stock split or similar transaction) of Common Stock (the “</w:t>
      </w:r>
      <w:r>
        <w:rPr>
          <w:rFonts w:ascii="Times New Roman" w:cs="Times New Roman" w:eastAsia="Times New Roman" w:hAnsi="Times New Roman"/>
          <w:sz w:val="18"/>
          <w:szCs w:val="18"/>
          <w:u w:val="single" w:color="auto"/>
          <w:color w:val="auto"/>
        </w:rPr>
        <w:t>Second Closing Warrant</w:t>
      </w:r>
      <w:r>
        <w:rPr>
          <w:rFonts w:ascii="Times New Roman" w:cs="Times New Roman" w:eastAsia="Times New Roman" w:hAnsi="Times New Roman"/>
          <w:sz w:val="18"/>
          <w:szCs w:val="18"/>
          <w:color w:val="auto"/>
        </w:rPr>
        <w:t>” and together with the Initial Closing Warrant,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The exercise price of the Warrants shall be the Warrant Exercise Price. For the avoidance of doubt, in no event shall the Company be required to issue Lender warrants to purchase more than an aggregate of 32,500,000 shares (subject to adjustment for any stock dividend, stock split, reverse stock split or similar transaction) of Common Stock.</w:t>
      </w:r>
    </w:p>
    <w:p>
      <w:pPr>
        <w:spacing w:after="0" w:line="79" w:lineRule="exact"/>
        <w:rPr>
          <w:sz w:val="20"/>
          <w:szCs w:val="20"/>
          <w:color w:val="auto"/>
        </w:rPr>
      </w:pPr>
    </w:p>
    <w:p>
      <w:pPr>
        <w:ind w:left="1160" w:hanging="173"/>
        <w:spacing w:after="0"/>
        <w:tabs>
          <w:tab w:leader="none" w:pos="1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This letter agreement may be enforced by both the Company and the Lender.</w:t>
      </w:r>
    </w:p>
    <w:p>
      <w:pPr>
        <w:spacing w:after="0" w:line="117" w:lineRule="exact"/>
        <w:rPr>
          <w:rFonts w:ascii="Times New Roman" w:cs="Times New Roman" w:eastAsia="Times New Roman" w:hAnsi="Times New Roman"/>
          <w:sz w:val="18"/>
          <w:szCs w:val="18"/>
          <w:color w:val="auto"/>
        </w:rPr>
      </w:pPr>
    </w:p>
    <w:p>
      <w:pPr>
        <w:jc w:val="both"/>
        <w:ind w:firstLine="987"/>
        <w:spacing w:after="0" w:line="256" w:lineRule="auto"/>
        <w:tabs>
          <w:tab w:leader="none" w:pos="11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Modification; Entire Agreement</w:t>
      </w:r>
      <w:r>
        <w:rPr>
          <w:rFonts w:ascii="Times New Roman" w:cs="Times New Roman" w:eastAsia="Times New Roman" w:hAnsi="Times New Roman"/>
          <w:sz w:val="18"/>
          <w:szCs w:val="18"/>
          <w:color w:val="auto"/>
        </w:rPr>
        <w:t>. No provision of this letter agreement may be waived, modified, supplemented or amended except in a written instrument signed by the Company and Lender. This letter agreement contains the entire understanding of the parties with respect to the subject matter hereof and supersedes all prior agreements and understandings, oral or written, with respect to such matters. This letter agreement shall be binding upon and inure to the benefit of the Parties and their successors and permitted assigns. No transfer or assignment of any rights or obligations hereunder shall be permitted without the written consent of the Company and Lender. Any transfer or assignment in violation of the preceding sentence shall be null and void.</w:t>
      </w:r>
    </w:p>
    <w:p>
      <w:pPr>
        <w:spacing w:after="0" w:line="79" w:lineRule="exact"/>
        <w:rPr>
          <w:rFonts w:ascii="Times New Roman" w:cs="Times New Roman" w:eastAsia="Times New Roman" w:hAnsi="Times New Roman"/>
          <w:sz w:val="18"/>
          <w:szCs w:val="18"/>
          <w:color w:val="auto"/>
        </w:rPr>
      </w:pPr>
    </w:p>
    <w:p>
      <w:pPr>
        <w:jc w:val="both"/>
        <w:ind w:firstLine="987"/>
        <w:spacing w:after="0" w:line="252" w:lineRule="auto"/>
        <w:tabs>
          <w:tab w:leader="none" w:pos="11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Venue</w:t>
      </w:r>
      <w:r>
        <w:rPr>
          <w:rFonts w:ascii="Times New Roman" w:cs="Times New Roman" w:eastAsia="Times New Roman" w:hAnsi="Times New Roman"/>
          <w:sz w:val="18"/>
          <w:szCs w:val="18"/>
          <w:color w:val="auto"/>
        </w:rPr>
        <w:t>. All questions concerning the construction, validity, enforcement and interpretation of this letter agreement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letter agreement (whether brought against a Party hereto or its respective affiliates, directors, officers, shareholders, partners, members, employees or agents) shall be commenced exclusively in the federal courts located in New York, New York. Each Party hereby irrevocably submits to the exclusive jurisdiction of such courts for the adjudication of any dispute hereunder or in connection herewith or with any transaction contemplated hereby or discussed herein, and hereby irrevocably waives, and agrees not to assert in any legal action, suit or proceeding, any claim that it is not personally subject to the jurisdiction of any such court, that such legal action, suit or proceeding is improper or is an inconvenient venue for such proceeding. Each party hereby irrevocably waives personal service of process and consents to process being served in any such legal action, suit or proceeding by mailing a copy thereof via registered or certified mail or overnight delivery (with evidence of delivery) to such party at the address in effect for notices to it under this letter agreement and agrees that such service shall constitute good and sufficient service of process and notice thereof. Nothing contained herein shall be deemed to limit in any way any right to serve process in any other manner permitted by Law. If any party shall commence a legal action, suit or proceeding to enforce any provisions of this letter agreement, the prevailing party in such legal action, suit or proceeding shall be reimbursed by the non-prevailing party for</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40" w:name="page41"/>
    <w:bookmarkEnd w:id="40"/>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its reasonable attorneys’ fees and other costs and expenses incurred with the investigation, preparation and prosecution of such legal action, suit or proceeding.</w:t>
      </w:r>
    </w:p>
    <w:p>
      <w:pPr>
        <w:spacing w:after="0" w:line="54" w:lineRule="exact"/>
        <w:rPr>
          <w:sz w:val="20"/>
          <w:szCs w:val="20"/>
          <w:color w:val="auto"/>
        </w:rPr>
      </w:pPr>
    </w:p>
    <w:p>
      <w:pPr>
        <w:jc w:val="both"/>
        <w:ind w:right="20" w:firstLine="987"/>
        <w:spacing w:after="0" w:line="261" w:lineRule="auto"/>
        <w:tabs>
          <w:tab w:leader="none" w:pos="121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spacing w:after="0" w:line="71" w:lineRule="exact"/>
        <w:rPr>
          <w:rFonts w:ascii="Times New Roman" w:cs="Times New Roman" w:eastAsia="Times New Roman" w:hAnsi="Times New Roman"/>
          <w:sz w:val="18"/>
          <w:szCs w:val="18"/>
          <w:color w:val="auto"/>
        </w:rPr>
      </w:pPr>
    </w:p>
    <w:p>
      <w:pPr>
        <w:jc w:val="both"/>
        <w:ind w:firstLine="987"/>
        <w:spacing w:after="0" w:line="258" w:lineRule="auto"/>
        <w:tabs>
          <w:tab w:leader="none" w:pos="11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letter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75" w:lineRule="exact"/>
        <w:rPr>
          <w:rFonts w:ascii="Times New Roman" w:cs="Times New Roman" w:eastAsia="Times New Roman" w:hAnsi="Times New Roman"/>
          <w:sz w:val="18"/>
          <w:szCs w:val="18"/>
          <w:color w:val="auto"/>
        </w:rPr>
      </w:pPr>
    </w:p>
    <w:p>
      <w:pPr>
        <w:ind w:right="20" w:firstLine="987"/>
        <w:spacing w:after="0" w:line="282" w:lineRule="auto"/>
        <w:tabs>
          <w:tab w:leader="none" w:pos="11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letter agreement is intended for the benefit of the Parties hereto and their respective successors and permitted assigns and is not for the benefit of, nor may any provision hereof be enforced by, any other person.</w:t>
      </w:r>
    </w:p>
    <w:p>
      <w:pPr>
        <w:spacing w:after="0" w:line="53"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1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obligations of Lender and the Company under this letter agreement will terminate automatically and immediately without further notice or action upon the earliest to occur of (a) failure of Lender to deliver the Deposit to the Company on or prior to June 11, 2024, (b) the Outside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41" w:name="page42"/>
    <w:bookmarkEnd w:id="4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FSF 33433 LLC</w:t>
      </w:r>
    </w:p>
    <w:p>
      <w:pPr>
        <w:spacing w:after="0" w:line="229" w:lineRule="exact"/>
        <w:rPr>
          <w:sz w:val="20"/>
          <w:szCs w:val="20"/>
          <w:color w:val="auto"/>
        </w:rPr>
      </w:pPr>
    </w:p>
    <w:p>
      <w:pPr>
        <w:jc w:val="both"/>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Abe Goldberger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Abe Goldberger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tab/>
        <w:t>June 11,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Commitment Side Letter]</w:t>
      </w:r>
    </w:p>
    <w:p>
      <w:pPr>
        <w:sectPr>
          <w:pgSz w:w="11900" w:h="16838" w:orient="portrait"/>
          <w:cols w:equalWidth="0" w:num="1">
            <w:col w:w="9019"/>
          </w:cols>
          <w:pgMar w:left="1440" w:top="266" w:right="1440" w:bottom="1440" w:gutter="0" w:footer="0" w:header="0"/>
        </w:sectPr>
      </w:pPr>
    </w:p>
    <w:bookmarkStart w:id="42" w:name="page43"/>
    <w:bookmarkEnd w:id="4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Agreed to and accepted:</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Scilex Holding Company</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Jaisim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Jaisim Shah</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Chief Executive Officer &amp; President</w:t>
      </w:r>
    </w:p>
    <w:p>
      <w:pPr>
        <w:spacing w:after="0" w:line="21"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tab/>
        <w:t>June 11, 2024</w:t>
      </w:r>
    </w:p>
    <w:p>
      <w:pPr>
        <w:sectPr>
          <w:pgSz w:w="11900" w:h="16838" w:orient="portrait"/>
          <w:cols w:equalWidth="0" w:num="1">
            <w:col w:w="9019"/>
          </w:cols>
          <w:pgMar w:left="1440" w:top="270"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Certain Definitions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Unsecured Applicable Interest Amount</w:t>
      </w:r>
      <w:r>
        <w:rPr>
          <w:rFonts w:ascii="Times New Roman" w:cs="Times New Roman" w:eastAsia="Times New Roman" w:hAnsi="Times New Roman"/>
          <w:sz w:val="18"/>
          <w:szCs w:val="18"/>
          <w:color w:val="auto"/>
        </w:rPr>
        <w:t>” means, for any measurement period, an amount equal to the greater of (a) the result of (i) two percent (2%) of Net Sales for such period multiplied by (ii) the result of (A) before the second anniversary of the funding date of the Deposit, one (1), or (B) from and after the second anniversary of the funding date of the Deposit, (y) the average daily balance of the outstanding principal amount of the note during such period divided by (z) $10,000,000, or (b) an amount equal to twelve percent (12%) per annum multiplied by the daily balance of the outstanding principal amount of the note during such period computed for this clause (b) on the basis of a 365 day year for the actual number of days elapsed during such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in effect from time to time in the United States, consistently applied.</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means the total cash consideration actually received by the Company or any of its Subsidiaries (other than amounts paid by the Company or another Subsidiary of the Company) from an arms-length, final commercial sale by the Company or any of its Subsidiaries to an unaffiliated third party of a Royalty-Bearing Product, less the following discounts to the extent permitted and taken in accordance with GAAP:</w:t>
      </w:r>
    </w:p>
    <w:p>
      <w:pPr>
        <w:spacing w:after="0" w:line="81" w:lineRule="exact"/>
        <w:rPr>
          <w:sz w:val="20"/>
          <w:szCs w:val="20"/>
          <w:color w:val="auto"/>
        </w:rPr>
      </w:pPr>
    </w:p>
    <w:p>
      <w:pPr>
        <w:ind w:left="960" w:right="20" w:hanging="532"/>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and customary rebates, quantity, trade and cash discounts, and other usual and customary discounts, including re-procurement and back-order charges actually allowed and taken;</w:t>
      </w:r>
    </w:p>
    <w:p>
      <w:pPr>
        <w:spacing w:after="0" w:line="67" w:lineRule="exact"/>
        <w:rPr>
          <w:rFonts w:ascii="Times New Roman" w:cs="Times New Roman" w:eastAsia="Times New Roman" w:hAnsi="Times New Roman"/>
          <w:sz w:val="18"/>
          <w:szCs w:val="18"/>
          <w:color w:val="auto"/>
        </w:rPr>
      </w:pPr>
    </w:p>
    <w:p>
      <w:pPr>
        <w:jc w:val="both"/>
        <w:ind w:left="960" w:right="20" w:hanging="532"/>
        <w:spacing w:after="0" w:line="266"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charge-backs and rebates actually granted to customers, including managed health care organizations or to national, state or local governments, their respective agencies, purchasers or reimbursers, adjustments arising from consumer discount programs, co-pay assistance programs or other similar programs;</w:t>
      </w:r>
    </w:p>
    <w:p>
      <w:pPr>
        <w:spacing w:after="0" w:line="81"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retroactive price reductions, credits or allowances actually granted or made for rejection of or return of previously sold Royalty-Bearing Products, including for recalls or damaged goods;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fees paid to distributors, including group purchasing organizations;</w:t>
      </w:r>
    </w:p>
    <w:p>
      <w:pPr>
        <w:spacing w:after="0" w:line="130"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credits accrued, including price protection, shelf stock adjustments, adjustments for uncollectible accounts and other similar and customary deductions;</w:t>
      </w:r>
    </w:p>
    <w:p>
      <w:pPr>
        <w:spacing w:after="0" w:line="67"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sales taxes, excise taxes, use taxes, import/export duties or other governmental charges actually levied on or measured by the billing amount for such Royalty-Bearing Product, including value-added taxes;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deductions taken in the ordinary course of business in accordance with GAAP.</w:t>
      </w:r>
    </w:p>
    <w:p>
      <w:pPr>
        <w:sectPr>
          <w:pgSz w:w="11900" w:h="16838" w:orient="portrait"/>
          <w:cols w:equalWidth="0" w:num="1">
            <w:col w:w="11020"/>
          </w:cols>
          <w:pgMar w:left="440" w:top="270" w:right="439" w:bottom="1440" w:gutter="0" w:footer="0" w:header="0"/>
        </w:sectPr>
      </w:pPr>
    </w:p>
    <w:bookmarkStart w:id="44" w:name="page45"/>
    <w:bookmarkEnd w:id="44"/>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Transfers or dispositions of a Royalty-Bearing Product as free for promotional samples in commercially reasonable amounts consistent with prevailing industry standards and Royalty-Bearing Products used in non-commercial research or development activities, compassionate use, indigent programs, investigator-initiated trials or on a named patient basis shall be disregarded in determining Net Sales.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Royalty-Bearing Product</w:t>
      </w:r>
      <w:r>
        <w:rPr>
          <w:rFonts w:ascii="Times New Roman" w:cs="Times New Roman" w:eastAsia="Times New Roman" w:hAnsi="Times New Roman"/>
          <w:sz w:val="18"/>
          <w:szCs w:val="18"/>
          <w:color w:val="auto"/>
        </w:rPr>
        <w:t>” means all commercial, proprietary products of the Company and its Subsidiaries sold anywhere in the world.</w:t>
      </w:r>
    </w:p>
    <w:p>
      <w:pPr>
        <w:spacing w:after="0" w:line="225"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Applicable Interest Amount</w:t>
      </w:r>
      <w:r>
        <w:rPr>
          <w:rFonts w:ascii="Times New Roman" w:cs="Times New Roman" w:eastAsia="Times New Roman" w:hAnsi="Times New Roman"/>
          <w:sz w:val="18"/>
          <w:szCs w:val="18"/>
          <w:color w:val="auto"/>
        </w:rPr>
        <w:t>” means, for any measurement period, an amount equal to the greater of (a) the result of (i) if the entire $100 million of the Loan has been funded in full by Lender, then for the period before the second anniversary of the funding date of the Initial Closing,</w:t>
      </w:r>
    </w:p>
    <w:p>
      <w:pPr>
        <w:jc w:val="both"/>
        <w:ind w:left="4" w:hanging="4"/>
        <w:spacing w:after="0" w:line="252" w:lineRule="auto"/>
        <w:tabs>
          <w:tab w:leader="none" w:pos="3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 percent (20%) of Net Sales for such two-year period, and thereafter, during any period from and after the second anniversary of the funding date of the Initial Closing, the amount set forth in in the following clause (B), or (B) if less than $100 million of the Loan has been funded by Lender, at any time, or during any period from and after the second anniversary of the funding date of the Initial Closing, (x) two percent (2%) of Net Sales for such period multiplied by (y) the average daily balance of the outstanding principal amount of the note during such period divided by (z) $10,000,000, or (b) an amount equal to twelve percent (12%) per annum multiplied by the daily balance of the outstanding principal amount of the note during such period computed for this clause (b) on the basis of a 365 day year for the actual number of days elapsed during such period.</w:t>
      </w:r>
    </w:p>
    <w:p>
      <w:pPr>
        <w:spacing w:after="0" w:line="190"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where applicable, each means any wholly-owned subsidiary of the Company on the date hereof and shall, where applicable, include any direct or indirect subsidiary of the Company formed or acquired after the date hereof;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Semnur Pharmaceuticals, Inc. shall not be treated as a Subsidiary or a subsidiary under this letter agreement.</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decimal"/>
      <w:start w:val="104"/>
    </w:lvl>
  </w:abstractNum>
  <w:abstractNum w:abstractNumId="2">
    <w:nsid w:val="B03E0C6"/>
    <w:multiLevelType w:val="hybridMultilevel"/>
    <w:lvl w:ilvl="0">
      <w:lvlJc w:val="left"/>
      <w:lvlText w:val="%1."/>
      <w:numFmt w:val="decimal"/>
      <w:start w:val="1"/>
    </w:lvl>
    <w:lvl w:ilvl="1">
      <w:lvlJc w:val="left"/>
      <w:lvlText w:val="(%2)"/>
      <w:numFmt w:val="lowerLetter"/>
      <w:start w:val="1"/>
    </w:lvl>
  </w:abstractNum>
  <w:abstractNum w:abstractNumId="3">
    <w:nsid w:val="189A769B"/>
    <w:multiLevelType w:val="hybridMultilevel"/>
    <w:lvl w:ilvl="0">
      <w:lvlJc w:val="left"/>
      <w:lvlText w:val="(%1)"/>
      <w:numFmt w:val="lowerLetter"/>
      <w:start w:val="2"/>
    </w:lvl>
  </w:abstractNum>
  <w:abstractNum w:abstractNumId="4">
    <w:nsid w:val="54E49EB4"/>
    <w:multiLevelType w:val="hybridMultilevel"/>
    <w:lvl w:ilvl="0">
      <w:lvlJc w:val="left"/>
      <w:lvlText w:val="(%1)"/>
      <w:numFmt w:val="lowerLetter"/>
      <w:start w:val="5"/>
    </w:lvl>
  </w:abstractNum>
  <w:abstractNum w:abstractNumId="5">
    <w:nsid w:val="71F32454"/>
    <w:multiLevelType w:val="hybridMultilevel"/>
    <w:lvl w:ilvl="0">
      <w:lvlJc w:val="left"/>
      <w:lvlText w:val="%1."/>
      <w:numFmt w:val="decimal"/>
      <w:start w:val="2"/>
    </w:lvl>
    <w:lvl w:ilvl="1">
      <w:lvlJc w:val="left"/>
      <w:lvlText w:val="(%2)"/>
      <w:numFmt w:val="lowerLetter"/>
      <w:start w:val="1"/>
    </w:lvl>
  </w:abstractNum>
  <w:abstractNum w:abstractNumId="6">
    <w:nsid w:val="2CA88611"/>
    <w:multiLevelType w:val="hybridMultilevel"/>
    <w:lvl w:ilvl="0">
      <w:lvlJc w:val="left"/>
      <w:lvlText w:val="1"/>
      <w:numFmt w:val="bullet"/>
      <w:start w:val="1"/>
    </w:lvl>
  </w:abstractNum>
  <w:abstractNum w:abstractNumId="7">
    <w:nsid w:val="836C40E"/>
    <w:multiLevelType w:val="hybridMultilevel"/>
    <w:lvl w:ilvl="0">
      <w:lvlJc w:val="left"/>
      <w:lvlText w:val="%1"/>
      <w:numFmt w:val="decimal"/>
      <w:start w:val="1"/>
    </w:lvl>
    <w:lvl w:ilvl="1">
      <w:lvlJc w:val="left"/>
      <w:lvlText w:val="(%2)"/>
      <w:numFmt w:val="lowerLetter"/>
      <w:start w:val="3"/>
    </w:lvl>
  </w:abstractNum>
  <w:abstractNum w:abstractNumId="8">
    <w:nsid w:val="2901D82"/>
    <w:multiLevelType w:val="hybridMultilevel"/>
    <w:lvl w:ilvl="0">
      <w:lvlJc w:val="left"/>
      <w:lvlText w:val="%1."/>
      <w:numFmt w:val="decimal"/>
      <w:start w:val="3"/>
    </w:lvl>
    <w:lvl w:ilvl="1">
      <w:lvlJc w:val="left"/>
      <w:lvlText w:val="(%2)"/>
      <w:numFmt w:val="lowerLetter"/>
      <w:start w:val="1"/>
    </w:lvl>
  </w:abstractNum>
  <w:abstractNum w:abstractNumId="9">
    <w:nsid w:val="3A95F874"/>
    <w:multiLevelType w:val="hybridMultilevel"/>
    <w:lvl w:ilvl="0">
      <w:lvlJc w:val="left"/>
      <w:lvlText w:val="(%1)"/>
      <w:numFmt w:val="lowerLetter"/>
      <w:start w:val="2"/>
    </w:lvl>
  </w:abstractNum>
  <w:abstractNum w:abstractNumId="10">
    <w:nsid w:val="8138641"/>
    <w:multiLevelType w:val="hybridMultilevel"/>
    <w:lvl w:ilvl="0">
      <w:lvlJc w:val="left"/>
      <w:lvlText w:val="%1"/>
      <w:numFmt w:val="decimal"/>
      <w:start w:val="1"/>
    </w:lvl>
    <w:lvl w:ilvl="1">
      <w:lvlJc w:val="left"/>
      <w:lvlText w:val="(%2)"/>
      <w:numFmt w:val="lowerLetter"/>
      <w:start w:val="3"/>
    </w:lvl>
  </w:abstractNum>
  <w:abstractNum w:abstractNumId="11">
    <w:nsid w:val="1E7FF521"/>
    <w:multiLevelType w:val="hybridMultilevel"/>
    <w:lvl w:ilvl="0">
      <w:lvlJc w:val="left"/>
      <w:lvlText w:val="%1."/>
      <w:numFmt w:val="decimal"/>
      <w:start w:val="5"/>
    </w:lvl>
    <w:lvl w:ilvl="1">
      <w:lvlJc w:val="left"/>
      <w:lvlText w:val="%2"/>
      <w:numFmt w:val="lowerLetter"/>
      <w:start w:val="1"/>
    </w:lvl>
  </w:abstractNum>
  <w:abstractNum w:abstractNumId="12">
    <w:nsid w:val="7C3DBD3D"/>
    <w:multiLevelType w:val="hybridMultilevel"/>
    <w:lvl w:ilvl="0">
      <w:lvlJc w:val="left"/>
      <w:lvlText w:val="%1."/>
      <w:numFmt w:val="decimal"/>
      <w:start w:val="6"/>
    </w:lvl>
    <w:lvl w:ilvl="1">
      <w:lvlJc w:val="left"/>
      <w:lvlText w:val="(%2)"/>
      <w:numFmt w:val="lowerLetter"/>
      <w:start w:val="1"/>
    </w:lvl>
  </w:abstractNum>
  <w:abstractNum w:abstractNumId="13">
    <w:nsid w:val="737B8DDC"/>
    <w:multiLevelType w:val="hybridMultilevel"/>
    <w:lvl w:ilvl="0">
      <w:lvlJc w:val="left"/>
      <w:lvlText w:val="%1"/>
      <w:numFmt w:val="decimal"/>
      <w:start w:val="1"/>
    </w:lvl>
    <w:lvl w:ilvl="1">
      <w:lvlJc w:val="left"/>
      <w:lvlText w:val="(%2)"/>
      <w:numFmt w:val="lowerLetter"/>
      <w:start w:val="3"/>
    </w:lvl>
  </w:abstractNum>
  <w:abstractNum w:abstractNumId="14">
    <w:nsid w:val="6CEAF087"/>
    <w:multiLevelType w:val="hybridMultilevel"/>
    <w:lvl w:ilvl="0">
      <w:lvlJc w:val="left"/>
      <w:lvlText w:val="%1."/>
      <w:numFmt w:val="decimal"/>
      <w:start w:val="8"/>
    </w:lvl>
    <w:lvl w:ilvl="1">
      <w:lvlJc w:val="left"/>
      <w:lvlText w:val="(%2)"/>
      <w:numFmt w:val="lowerLetter"/>
      <w:start w:val="1"/>
    </w:lvl>
  </w:abstractNum>
  <w:abstractNum w:abstractNumId="15">
    <w:nsid w:val="22221A70"/>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6">
    <w:nsid w:val="4516DDE9"/>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17">
    <w:nsid w:val="3006C83E"/>
    <w:multiLevelType w:val="hybridMultilevel"/>
    <w:lvl w:ilvl="0">
      <w:lvlJc w:val="left"/>
      <w:lvlText w:val="%1"/>
      <w:numFmt w:val="lowerLetter"/>
      <w:start w:val="1"/>
    </w:lvl>
    <w:lvl w:ilvl="1">
      <w:lvlJc w:val="left"/>
      <w:lvlText w:val="(%2)"/>
      <w:numFmt w:val="lowerLetter"/>
      <w:start w:val="35"/>
    </w:lvl>
  </w:abstractNum>
  <w:abstractNum w:abstractNumId="18">
    <w:nsid w:val="614FD4A1"/>
    <w:multiLevelType w:val="hybridMultilevel"/>
    <w:lvl w:ilvl="0">
      <w:lvlJc w:val="left"/>
      <w:lvlText w:val="(%1)"/>
      <w:numFmt w:val="lowerLetter"/>
      <w:start w:val="2"/>
    </w:lvl>
    <w:lvl w:ilvl="1">
      <w:lvlJc w:val="left"/>
      <w:lvlText w:val="%2"/>
      <w:numFmt w:val="lowerLetter"/>
      <w:start w:val="1"/>
    </w:lvl>
  </w:abstractNum>
  <w:abstractNum w:abstractNumId="19">
    <w:nsid w:val="419AC241"/>
    <w:multiLevelType w:val="hybridMultilevel"/>
    <w:lvl w:ilvl="0">
      <w:lvlJc w:val="left"/>
      <w:lvlText w:val="(%1)"/>
      <w:numFmt w:val="lowerLetter"/>
      <w:start w:val="4"/>
    </w:lvl>
    <w:lvl w:ilvl="1">
      <w:lvlJc w:val="left"/>
      <w:lvlText w:val="(%2)"/>
      <w:numFmt w:val="lowerRoman"/>
      <w:start w:val="1"/>
    </w:lvl>
  </w:abstractNum>
  <w:abstractNum w:abstractNumId="20">
    <w:nsid w:val="5577F8E1"/>
    <w:multiLevelType w:val="hybridMultilevel"/>
    <w:lvl w:ilvl="0">
      <w:lvlJc w:val="left"/>
      <w:lvlText w:val="%1."/>
      <w:numFmt w:val="decimal"/>
      <w:start w:val="10"/>
    </w:lvl>
    <w:lvl w:ilvl="1">
      <w:lvlJc w:val="left"/>
      <w:lvlText w:val="(%2)"/>
      <w:numFmt w:val="lowerLetter"/>
      <w:start w:val="1"/>
    </w:lvl>
  </w:abstractNum>
  <w:abstractNum w:abstractNumId="21">
    <w:nsid w:val="440BADFC"/>
    <w:multiLevelType w:val="hybridMultilevel"/>
    <w:lvl w:ilvl="0">
      <w:lvlJc w:val="left"/>
      <w:lvlText w:val="%1"/>
      <w:numFmt w:val="decimal"/>
      <w:start w:val="1"/>
    </w:lvl>
    <w:lvl w:ilvl="1">
      <w:lvlJc w:val="left"/>
      <w:lvlText w:val="(%2)"/>
      <w:numFmt w:val="lowerLetter"/>
      <w:start w:val="2"/>
    </w:lvl>
  </w:abstractNum>
  <w:abstractNum w:abstractNumId="22">
    <w:nsid w:val="5072367"/>
    <w:multiLevelType w:val="hybridMultilevel"/>
    <w:lvl w:ilvl="0">
      <w:lvlJc w:val="left"/>
      <w:lvlText w:val="%1."/>
      <w:numFmt w:val="decimal"/>
      <w:start w:val="11"/>
    </w:lvl>
    <w:lvl w:ilvl="1">
      <w:lvlJc w:val="left"/>
      <w:lvlText w:val="%2"/>
      <w:numFmt w:val="lowerLetter"/>
      <w:start w:val="1"/>
    </w:lvl>
  </w:abstractNum>
  <w:abstractNum w:abstractNumId="23">
    <w:nsid w:val="3804823E"/>
    <w:multiLevelType w:val="hybridMultilevel"/>
    <w:lvl w:ilvl="0">
      <w:lvlJc w:val="left"/>
      <w:lvlText w:val="%1."/>
      <w:numFmt w:val="decimal"/>
      <w:start w:val="14"/>
    </w:lvl>
  </w:abstractNum>
  <w:abstractNum w:abstractNumId="24">
    <w:nsid w:val="77465F01"/>
    <w:multiLevelType w:val="hybridMultilevel"/>
    <w:lvl w:ilvl="0">
      <w:lvlJc w:val="left"/>
      <w:lvlText w:val="%1."/>
      <w:numFmt w:val="decimal"/>
      <w:start w:val="16"/>
    </w:lvl>
    <w:lvl w:ilvl="1">
      <w:lvlJc w:val="left"/>
      <w:lvlText w:val="(%2)"/>
      <w:numFmt w:val="lowerLetter"/>
      <w:start w:val="1"/>
    </w:lvl>
  </w:abstractNum>
  <w:abstractNum w:abstractNumId="25">
    <w:nsid w:val="7724C67E"/>
    <w:multiLevelType w:val="hybridMultilevel"/>
    <w:lvl w:ilvl="0">
      <w:lvlJc w:val="left"/>
      <w:lvlText w:val="%1"/>
      <w:numFmt w:val="lowerLetter"/>
      <w:start w:val="1"/>
    </w:lvl>
    <w:lvl w:ilvl="1">
      <w:lvlJc w:val="left"/>
      <w:lvlText w:val="(%2)"/>
      <w:numFmt w:val="lowerLetter"/>
      <w:start w:val="6"/>
    </w:lvl>
  </w:abstractNum>
  <w:abstractNum w:abstractNumId="26">
    <w:nsid w:val="5C482A97"/>
    <w:multiLevelType w:val="hybridMultilevel"/>
    <w:lvl w:ilvl="0">
      <w:lvlJc w:val="left"/>
      <w:lvlText w:val="(%1)"/>
      <w:numFmt w:val="lowerLetter"/>
      <w:start w:val="35"/>
    </w:lvl>
    <w:lvl w:ilvl="1">
      <w:lvlJc w:val="left"/>
      <w:lvlText w:val="%2"/>
      <w:numFmt w:val="lowerLetter"/>
      <w:start w:val="1"/>
    </w:lvl>
  </w:abstractNum>
  <w:abstractNum w:abstractNumId="27">
    <w:nsid w:val="2463B9EA"/>
    <w:multiLevelType w:val="hybridMultilevel"/>
    <w:lvl w:ilvl="0">
      <w:lvlJc w:val="left"/>
      <w:lvlText w:val="(%1)"/>
      <w:numFmt w:val="lowerLetter"/>
      <w:start w:val="25"/>
    </w:lvl>
    <w:lvl w:ilvl="1">
      <w:lvlJc w:val="left"/>
      <w:lvlText w:val="(%2)"/>
      <w:numFmt w:val="lowerLetter"/>
      <w:start w:val="12"/>
    </w:lvl>
  </w:abstractNum>
  <w:abstractNum w:abstractNumId="28">
    <w:nsid w:val="5E884ADC"/>
    <w:multiLevelType w:val="hybridMultilevel"/>
    <w:lvl w:ilvl="0">
      <w:lvlJc w:val="left"/>
      <w:lvlText w:val="(%1)"/>
      <w:numFmt w:val="lowerLetter"/>
      <w:start w:val="15"/>
    </w:lvl>
  </w:abstractNum>
  <w:abstractNum w:abstractNumId="29">
    <w:nsid w:val="51EAD36B"/>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30">
    <w:nsid w:val="2D517796"/>
    <w:multiLevelType w:val="hybridMultilevel"/>
    <w:lvl w:ilvl="0">
      <w:lvlJc w:val="left"/>
      <w:lvlText w:val="%1"/>
      <w:numFmt w:val="lowerLetter"/>
      <w:start w:val="1"/>
    </w:lvl>
    <w:lvl w:ilvl="1">
      <w:lvlJc w:val="left"/>
      <w:lvlText w:val="(%2)"/>
      <w:numFmt w:val="lowerRoman"/>
      <w:start w:val="6"/>
    </w:lvl>
  </w:abstractNum>
  <w:abstractNum w:abstractNumId="31">
    <w:nsid w:val="580BD78F"/>
    <w:multiLevelType w:val="hybridMultilevel"/>
    <w:lvl w:ilvl="0">
      <w:lvlJc w:val="left"/>
      <w:lvlText w:val="(%1)"/>
      <w:numFmt w:val="lowerLetter"/>
      <w:start w:val="2"/>
    </w:lvl>
    <w:lvl w:ilvl="1">
      <w:lvlJc w:val="left"/>
      <w:lvlText w:val="%2"/>
      <w:numFmt w:val="lowerRoman"/>
      <w:start w:val="1"/>
    </w:lvl>
  </w:abstractNum>
  <w:abstractNum w:abstractNumId="32">
    <w:nsid w:val="153EA438"/>
    <w:multiLevelType w:val="hybridMultilevel"/>
    <w:lvl w:ilvl="0">
      <w:lvlJc w:val="left"/>
      <w:lvlText w:val="(%1)"/>
      <w:numFmt w:val="lowerLetter"/>
      <w:start w:val="3"/>
    </w:lvl>
    <w:lvl w:ilvl="1">
      <w:lvlJc w:val="left"/>
      <w:lvlText w:val="(%2)"/>
      <w:numFmt w:val="lowerRoman"/>
      <w:start w:val="1"/>
    </w:lvl>
  </w:abstractNum>
  <w:abstractNum w:abstractNumId="33">
    <w:nsid w:val="3855585C"/>
    <w:multiLevelType w:val="hybridMultilevel"/>
    <w:lvl w:ilvl="0">
      <w:lvlJc w:val="left"/>
      <w:lvlText w:val="%1"/>
      <w:numFmt w:val="upperLetter"/>
      <w:start w:val="1"/>
    </w:lvl>
    <w:lvl w:ilvl="1">
      <w:lvlJc w:val="left"/>
      <w:lvlText w:val="(%2)"/>
      <w:numFmt w:val="lowerRoman"/>
      <w:start w:val="6"/>
    </w:lvl>
  </w:abstractNum>
  <w:abstractNum w:abstractNumId="34">
    <w:nsid w:val="70A64E2A"/>
    <w:multiLevelType w:val="hybridMultilevel"/>
    <w:lvl w:ilvl="0">
      <w:lvlJc w:val="left"/>
      <w:lvlText w:val="(%1)"/>
      <w:numFmt w:val="upperLetter"/>
      <w:start w:val="1"/>
    </w:lvl>
    <w:lvl w:ilvl="1">
      <w:lvlJc w:val="left"/>
      <w:lvlText w:val="(%2)"/>
      <w:numFmt w:val="lowerRoman"/>
      <w:start w:val="8"/>
    </w:lvl>
  </w:abstractNum>
  <w:abstractNum w:abstractNumId="35">
    <w:nsid w:val="6A2342EC"/>
    <w:multiLevelType w:val="hybridMultilevel"/>
    <w:lvl w:ilvl="0">
      <w:lvlJc w:val="left"/>
      <w:lvlText w:val="(%1)"/>
      <w:numFmt w:val="lowerLetter"/>
      <w:start w:val="5"/>
    </w:lvl>
  </w:abstractNum>
  <w:abstractNum w:abstractNumId="36">
    <w:nsid w:val="2A487CB0"/>
    <w:multiLevelType w:val="hybridMultilevel"/>
    <w:lvl w:ilvl="0">
      <w:lvlJc w:val="left"/>
      <w:lvlText w:val="(%1)"/>
      <w:numFmt w:val="lowerLetter"/>
      <w:start w:val="6"/>
    </w:lvl>
    <w:lvl w:ilvl="1">
      <w:lvlJc w:val="left"/>
      <w:lvlText w:val="(%2)"/>
      <w:numFmt w:val="lowerRoman"/>
      <w:start w:val="1"/>
    </w:lvl>
  </w:abstractNum>
  <w:abstractNum w:abstractNumId="37">
    <w:nsid w:val="1D4ED43B"/>
    <w:multiLevelType w:val="hybridMultilevel"/>
    <w:lvl w:ilvl="0">
      <w:lvlJc w:val="left"/>
      <w:lvlText w:val="%1"/>
      <w:numFmt w:val="lowerLetter"/>
      <w:start w:val="1"/>
    </w:lvl>
    <w:lvl w:ilvl="1">
      <w:lvlJc w:val="left"/>
      <w:lvlText w:val="(%2)"/>
      <w:numFmt w:val="lowerRoman"/>
      <w:start w:val="1"/>
    </w:lvl>
  </w:abstractNum>
  <w:abstractNum w:abstractNumId="38">
    <w:nsid w:val="725A06FB"/>
    <w:multiLevelType w:val="hybridMultilevel"/>
    <w:lvl w:ilvl="0">
      <w:lvlJc w:val="left"/>
      <w:lvlText w:val="(%1)"/>
      <w:numFmt w:val="lowerLetter"/>
      <w:start w:val="9"/>
    </w:lvl>
    <w:lvl w:ilvl="1">
      <w:lvlJc w:val="left"/>
      <w:lvlText w:val="(%2)"/>
      <w:numFmt w:val="lowerRoman"/>
      <w:start w:val="1"/>
    </w:lvl>
  </w:abstractNum>
  <w:abstractNum w:abstractNumId="39">
    <w:nsid w:val="2CD89A32"/>
    <w:multiLevelType w:val="hybridMultilevel"/>
    <w:lvl w:ilvl="0">
      <w:lvlJc w:val="left"/>
      <w:lvlText w:val="%1"/>
      <w:numFmt w:val="upperLetter"/>
      <w:start w:val="1"/>
    </w:lvl>
    <w:lvl w:ilvl="1">
      <w:lvlJc w:val="left"/>
      <w:lvlText w:val="(%2)"/>
      <w:numFmt w:val="lowerRoman"/>
      <w:start w:val="2"/>
    </w:lvl>
  </w:abstractNum>
  <w:abstractNum w:abstractNumId="40">
    <w:nsid w:val="57E4CCAF"/>
    <w:multiLevelType w:val="hybridMultilevel"/>
    <w:lvl w:ilvl="0">
      <w:lvlJc w:val="left"/>
      <w:lvlText w:val="(%1)"/>
      <w:numFmt w:val="upperLetter"/>
      <w:start w:val="1"/>
    </w:lvl>
    <w:lvl w:ilvl="1">
      <w:lvlJc w:val="left"/>
      <w:lvlText w:val="%2"/>
      <w:numFmt w:val="lowerRoman"/>
      <w:start w:val="1"/>
    </w:lvl>
  </w:abstractNum>
  <w:abstractNum w:abstractNumId="41">
    <w:nsid w:val="7A6D8D3C"/>
    <w:multiLevelType w:val="hybridMultilevel"/>
    <w:lvl w:ilvl="0">
      <w:lvlJc w:val="left"/>
      <w:lvlText w:val="(%1)"/>
      <w:numFmt w:val="lowerLetter"/>
      <w:start w:val="1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2"/>
    </w:lvl>
  </w:abstractNum>
  <w:abstractNum w:abstractNumId="46">
    <w:nsid w:val="7644A45C"/>
    <w:multiLevelType w:val="hybridMultilevel"/>
    <w:lvl w:ilvl="0">
      <w:lvlJc w:val="left"/>
      <w:lvlText w:val="%1."/>
      <w:numFmt w:val="decimal"/>
      <w:start w:val="5"/>
    </w:lvl>
  </w:abstractNum>
  <w:abstractNum w:abstractNumId="47">
    <w:nsid w:val="32FFF902"/>
    <w:multiLevelType w:val="hybridMultilevel"/>
    <w:lvl w:ilvl="0">
      <w:lvlJc w:val="left"/>
      <w:lvlText w:val="(%1)"/>
      <w:numFmt w:val="lowerLetter"/>
      <w:start w:val="1"/>
    </w:lvl>
  </w:abstractNum>
  <w:abstractNum w:abstractNumId="48">
    <w:nsid w:val="684A481A"/>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2024-06-12T15:09:59Z</dcterms:created>
  <dcterms:modified xsi:type="dcterms:W3CDTF">2024-06-12T15:09:59Z</dcterms:modified>
</cp:coreProperties>
</file>