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SCILEX HOLDING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001-39852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92-1062542</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960 San Antonio Road, Palo Alto, California, 94303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516-4310</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SCLX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one share of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SCLXW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each at an 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7"/>
          <w:szCs w:val="17"/>
          <w:color w:val="auto"/>
        </w:rPr>
        <w:t>Scilex Holding Company (the “Company”) is providing certain preliminary unaudited financial results for the one month ended November 30, 2023 and year-to-date through November 30, 2023, based on currently available information. The Company’s independent auditor has not reviewed or audited these preliminary estimated financial results. The Company’s actual results may differ materially from these preliminary financial results, and may be outside the estimated ranges. This preliminary financial data has been prepared by and is the responsibility of the Company. The Company has not fully completed its review of these preliminary financial results for the one month ended November 30, 2023 and year-to-date through November 30, 2023.</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estimates that:</w:t>
      </w:r>
    </w:p>
    <w:p>
      <w:pPr>
        <w:spacing w:after="0" w:line="131" w:lineRule="exact"/>
        <w:rPr>
          <w:sz w:val="20"/>
          <w:szCs w:val="20"/>
          <w:color w:val="auto"/>
        </w:rPr>
      </w:pPr>
    </w:p>
    <w:p>
      <w:pPr>
        <w:ind w:left="964" w:right="40" w:hanging="424"/>
        <w:spacing w:after="0" w:line="258"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ZTlido gross sales for November 2023 were in the range of $14.0 million to $15.0 million with year-to-date gross sales through November 2023 in the range of $125.0 million to $135.0 million, compared to $84.6 million for year-to-date through November 2022, representing growth in the range of approximately 48% to 60%. Projected full year gross sales for ZTlido in 2023 are estimated to be in the range of $140.0 million to $150.0 million, compared to $96.0 million in 2022, representing estimated growth in the range of approximately 46% to 56%.</w:t>
      </w:r>
    </w:p>
    <w:p>
      <w:pPr>
        <w:spacing w:after="0" w:line="88"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ZTlido net sales for November 2023 were in the range of $3.9 million to $4.5 million with year-to-date net sales through November 2023 in the range of $40.0 million to $43.0 million, compared to $33.9 million for year-to-date through November 2022, representing growth in the range of approximately 18% to 27%. Projected full year net sales for ZTlido in 2023 are estimated to be in the range of $44.0 million to $50.0 million, compared to $38.0 million in 2022, representing estimated growth in the range of approximately 16% to 32%.</w:t>
      </w:r>
    </w:p>
    <w:p>
      <w:pPr>
        <w:spacing w:after="0" w:line="85" w:lineRule="exact"/>
        <w:rPr>
          <w:rFonts w:ascii="Times New Roman" w:cs="Times New Roman" w:eastAsia="Times New Roman" w:hAnsi="Times New Roman"/>
          <w:sz w:val="18"/>
          <w:szCs w:val="18"/>
          <w:color w:val="auto"/>
        </w:rPr>
      </w:pPr>
    </w:p>
    <w:p>
      <w:pPr>
        <w:ind w:left="964" w:right="40" w:hanging="424"/>
        <w:spacing w:after="0" w:line="26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product gross sales for November 2023 were in the range of $14.0 million to $16.0 million with year-to-date total product gross sales through November 2023 in the range of $130.0 million to $140.0 million, compared to $84.6 million for year-to-date through November 2022, representing growth in the range of approximately 54% to 65%.</w:t>
      </w:r>
    </w:p>
    <w:p>
      <w:pPr>
        <w:spacing w:after="0" w:line="81" w:lineRule="exact"/>
        <w:rPr>
          <w:rFonts w:ascii="Times New Roman" w:cs="Times New Roman" w:eastAsia="Times New Roman" w:hAnsi="Times New Roman"/>
          <w:sz w:val="18"/>
          <w:szCs w:val="18"/>
          <w:color w:val="auto"/>
        </w:rPr>
      </w:pPr>
    </w:p>
    <w:p>
      <w:pPr>
        <w:ind w:left="964" w:right="380" w:hanging="424"/>
        <w:spacing w:after="0" w:line="266"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product net sales for November 2023 were in the range of $4.0 million to $4.6 million with year-to-date total product net sales through November 2023 in the range of $41.0 million to $44.0 million, compared to $33.9 million for year-to-date through November 2022, representing growth in the range of approximately 21% to 30%.</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December 1, 2023, the Company issued a press release that included certain preliminary unaudited financial results for the one month ended November 30, 2023 and year-to-date through November 30, 2023. A copy of the press release is attached hereto as Exhibit 99.1 and is incorporated into this Item 2.02 by reference.</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Instructions B.2 of Form 8-K, the information in Item 2.02 of this Current Report on Form 8-K shall not be deemed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b w:val="1"/>
          <w:bCs w:val="1"/>
          <w:color w:val="auto"/>
        </w:rPr>
        <w:t>Exhibit</w:t>
      </w:r>
    </w:p>
    <w:p>
      <w:pPr>
        <w:ind w:left="4"/>
        <w:spacing w:after="0" w:line="185" w:lineRule="auto"/>
        <w:tabs>
          <w:tab w:leader="none" w:pos="1024"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Number</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16"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 2023.</w:t>
      </w:r>
    </w:p>
    <w:p>
      <w:pPr>
        <w:spacing w:after="0" w:line="97" w:lineRule="exact"/>
        <w:rPr>
          <w:sz w:val="20"/>
          <w:szCs w:val="20"/>
          <w:color w:val="auto"/>
        </w:rPr>
      </w:pPr>
    </w:p>
    <w:p>
      <w:pPr>
        <w:ind w:left="5464" w:right="2420" w:hanging="5464"/>
        <w:spacing w:after="0" w:line="45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 2</w:t>
      </w:r>
    </w:p>
    <w:p>
      <w:pPr>
        <w:sectPr>
          <w:pgSz w:w="11900" w:h="16838" w:orient="portrait"/>
          <w:cols w:equalWidth="0" w:num="1">
            <w:col w:w="11004"/>
          </w:cols>
          <w:pgMar w:left="436" w:top="293" w:right="45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Jaisim Shah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 &amp;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 2023</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20"/>
        <w:spacing w:after="0"/>
        <w:rPr>
          <w:sz w:val="20"/>
          <w:szCs w:val="20"/>
          <w:color w:val="auto"/>
        </w:rPr>
      </w:pPr>
      <w:r>
        <w:rPr>
          <w:rFonts w:ascii="Calibri" w:cs="Calibri" w:eastAsia="Calibri" w:hAnsi="Calibri"/>
          <w:sz w:val="18"/>
          <w:szCs w:val="18"/>
          <w:b w:val="1"/>
          <w:bCs w:val="1"/>
          <w:color w:val="auto"/>
        </w:rPr>
        <w:t>FOR IMMEDIATE RELEASE</w:t>
      </w:r>
    </w:p>
    <w:p>
      <w:pPr>
        <w:spacing w:after="0" w:line="239" w:lineRule="exact"/>
        <w:rPr>
          <w:sz w:val="20"/>
          <w:szCs w:val="20"/>
          <w:color w:val="auto"/>
        </w:rPr>
      </w:pPr>
    </w:p>
    <w:p>
      <w:pPr>
        <w:ind w:left="7620"/>
        <w:spacing w:after="0"/>
        <w:rPr>
          <w:sz w:val="20"/>
          <w:szCs w:val="20"/>
          <w:color w:val="auto"/>
        </w:rPr>
      </w:pPr>
      <w:r>
        <w:rPr>
          <w:rFonts w:ascii="Calibri" w:cs="Calibri" w:eastAsia="Calibri" w:hAnsi="Calibri"/>
          <w:sz w:val="18"/>
          <w:szCs w:val="18"/>
          <w:b w:val="1"/>
          <w:bCs w:val="1"/>
          <w:color w:val="auto"/>
        </w:rPr>
        <w:t>December 1, 2023</w:t>
      </w:r>
    </w:p>
    <w:p>
      <w:pPr>
        <w:spacing w:after="0" w:line="231" w:lineRule="exact"/>
        <w:rPr>
          <w:sz w:val="20"/>
          <w:szCs w:val="20"/>
          <w:color w:val="auto"/>
        </w:rPr>
      </w:pPr>
    </w:p>
    <w:p>
      <w:pPr>
        <w:ind w:right="240"/>
        <w:spacing w:after="0" w:line="258" w:lineRule="auto"/>
        <w:rPr>
          <w:sz w:val="20"/>
          <w:szCs w:val="20"/>
          <w:color w:val="auto"/>
        </w:rPr>
      </w:pPr>
      <w:r>
        <w:rPr>
          <w:rFonts w:ascii="Calibri" w:cs="Calibri" w:eastAsia="Calibri" w:hAnsi="Calibri"/>
          <w:sz w:val="17"/>
          <w:szCs w:val="17"/>
          <w:b w:val="1"/>
          <w:bCs w:val="1"/>
          <w:color w:val="auto"/>
        </w:rPr>
        <w:t>Scilex Holding Company Generates Monthly Revenue In November 2023 And Provides Certain Preliminary Unaudited Financial Results For Gross And Net Sales For The One Month Ended November 2023, And Year-To-Date Through November 30, 2023, Based On Currently Available Informaton</w:t>
      </w:r>
    </w:p>
    <w:p>
      <w:pPr>
        <w:spacing w:after="0" w:line="20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color w:val="auto"/>
        </w:rPr>
        <w:t xml:space="preserve">PALO ALTO, CA. December 1, 2023 /Newswire/ </w:t>
      </w:r>
      <w:r>
        <w:rPr>
          <w:rFonts w:ascii="Calibri" w:cs="Calibri" w:eastAsia="Calibri" w:hAnsi="Calibri"/>
          <w:sz w:val="18"/>
          <w:szCs w:val="18"/>
          <w:color w:val="auto"/>
        </w:rPr>
        <w:t>— Scilex Holding Company (Nasdaq: SCLX, “Scilex” or “Company”), an innovatve revenue-generatng</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focused on acquiring, developing and commercializing non-opioid pain management products for the treatment of acute and chronic pain, today announced monthly revenue in November 2023 and provided certain preliminary unaudited fnancial results for gross and net sales for the one month ended November 2023 and year-to-date through November 30, 2023.</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estmates that:</w:t>
      </w:r>
    </w:p>
    <w:p>
      <w:pPr>
        <w:spacing w:after="0" w:line="123" w:lineRule="exact"/>
        <w:rPr>
          <w:sz w:val="20"/>
          <w:szCs w:val="20"/>
          <w:color w:val="auto"/>
        </w:rPr>
      </w:pPr>
    </w:p>
    <w:p>
      <w:pPr>
        <w:ind w:left="960" w:right="320" w:hanging="424"/>
        <w:spacing w:after="0" w:line="235" w:lineRule="auto"/>
        <w:tabs>
          <w:tab w:leader="none" w:pos="96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ZTlido gross sales for November 2023 were in the range of $14.0 million to $15.0 million with year-to-date gross sales through November 2023 in the range of $125.0 million to $135.0 million, compared to $84.6 million for year-to-date through November 2022, representng growth in the range of approximately 48% to 60%.</w:t>
      </w:r>
    </w:p>
    <w:p>
      <w:pPr>
        <w:spacing w:after="0" w:line="124" w:lineRule="exact"/>
        <w:rPr>
          <w:rFonts w:ascii="Calibri" w:cs="Calibri" w:eastAsia="Calibri" w:hAnsi="Calibri"/>
          <w:sz w:val="18"/>
          <w:szCs w:val="18"/>
          <w:color w:val="auto"/>
        </w:rPr>
      </w:pPr>
    </w:p>
    <w:p>
      <w:pPr>
        <w:ind w:left="1420" w:right="420" w:hanging="331"/>
        <w:spacing w:after="0" w:line="235" w:lineRule="auto"/>
        <w:tabs>
          <w:tab w:leader="none" w:pos="1420"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Projected full year gross sales for ZTlido in 2023 are estmated to be in the range of $140.0 million to $150.0 million, compared to $96.0 million in 2022, representng estmated growth in the range of approximately 46% to 56%.</w:t>
      </w:r>
    </w:p>
    <w:p>
      <w:pPr>
        <w:spacing w:after="0" w:line="123" w:lineRule="exact"/>
        <w:rPr>
          <w:rFonts w:ascii="Calibri" w:cs="Calibri" w:eastAsia="Calibri" w:hAnsi="Calibri"/>
          <w:sz w:val="18"/>
          <w:szCs w:val="18"/>
          <w:color w:val="auto"/>
        </w:rPr>
      </w:pPr>
    </w:p>
    <w:p>
      <w:pPr>
        <w:jc w:val="both"/>
        <w:ind w:left="960" w:right="160" w:hanging="424"/>
        <w:spacing w:after="0" w:line="235" w:lineRule="auto"/>
        <w:tabs>
          <w:tab w:leader="none" w:pos="96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ZTlido net sales for November 2023 were in the range of $3.9 million to $4.5 million with year-to-date net sales through November 2023 in the range of $40.0 million to $43.0 million, compared to $33.9 million for year-to-date through November 2022, representng growth in the range of approximately 18% to 27%.</w:t>
      </w:r>
    </w:p>
    <w:p>
      <w:pPr>
        <w:spacing w:after="0" w:line="124" w:lineRule="exact"/>
        <w:rPr>
          <w:rFonts w:ascii="Calibri" w:cs="Calibri" w:eastAsia="Calibri" w:hAnsi="Calibri"/>
          <w:sz w:val="18"/>
          <w:szCs w:val="18"/>
          <w:color w:val="auto"/>
        </w:rPr>
      </w:pPr>
    </w:p>
    <w:p>
      <w:pPr>
        <w:ind w:left="1420" w:right="740" w:hanging="331"/>
        <w:spacing w:after="0" w:line="235" w:lineRule="auto"/>
        <w:tabs>
          <w:tab w:leader="none" w:pos="1420"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Projected full year net sales for ZTlido in 2023 are estmated to be in the range of $44.0 million to $50.0 million, compared to $38.0 million in 2022, representng estmated growth in the range of approximately 16% to 32%.</w:t>
      </w:r>
    </w:p>
    <w:p>
      <w:pPr>
        <w:spacing w:after="0" w:line="123" w:lineRule="exact"/>
        <w:rPr>
          <w:rFonts w:ascii="Calibri" w:cs="Calibri" w:eastAsia="Calibri" w:hAnsi="Calibri"/>
          <w:sz w:val="18"/>
          <w:szCs w:val="18"/>
          <w:color w:val="auto"/>
        </w:rPr>
      </w:pPr>
    </w:p>
    <w:p>
      <w:pPr>
        <w:ind w:left="960" w:right="240" w:hanging="424"/>
        <w:spacing w:after="0" w:line="235" w:lineRule="auto"/>
        <w:tabs>
          <w:tab w:leader="none" w:pos="96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Total product gross sales for November 2023 were in the range of $14.0 million to $16.0 million with year-to-date total product gross sales through November 2023 in the range of $130.0 million to $140.0 million, compared to $84.6 million for year-to-date through November 2022, representng growth in the range of approximately 54% to 65%.</w:t>
      </w:r>
    </w:p>
    <w:p>
      <w:pPr>
        <w:spacing w:after="0" w:line="124" w:lineRule="exact"/>
        <w:rPr>
          <w:rFonts w:ascii="Calibri" w:cs="Calibri" w:eastAsia="Calibri" w:hAnsi="Calibri"/>
          <w:sz w:val="18"/>
          <w:szCs w:val="18"/>
          <w:color w:val="auto"/>
        </w:rPr>
      </w:pPr>
    </w:p>
    <w:p>
      <w:pPr>
        <w:ind w:left="960" w:right="80" w:hanging="424"/>
        <w:spacing w:after="0" w:line="235" w:lineRule="auto"/>
        <w:tabs>
          <w:tab w:leader="none" w:pos="96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Total product net sales for November 2023 were in the range of $4.0 million to $4.6 million with year-to-date total product net sales through November 2023 in the range of $41.0 million to $44.0 million, compared to $33.9 million for year-to-date through November 2022, representng growth in the range of approximately 21% to 30%.</w:t>
      </w:r>
    </w:p>
    <w:p>
      <w:pPr>
        <w:sectPr>
          <w:pgSz w:w="11900" w:h="16838" w:orient="portrait"/>
          <w:cols w:equalWidth="0" w:num="1">
            <w:col w:w="11020"/>
          </w:cols>
          <w:pgMar w:left="440" w:top="112" w:right="439" w:bottom="1440" w:gutter="0" w:footer="0" w:header="0"/>
        </w:sectPr>
      </w:pPr>
    </w:p>
    <w:bookmarkStart w:id="4" w:name="page5"/>
    <w:bookmarkEnd w:id="4"/>
    <w:p>
      <w:pPr>
        <w:ind w:left="4"/>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Scilex Holding Company</w:t>
      </w:r>
    </w:p>
    <w:p>
      <w:pPr>
        <w:spacing w:after="0" w:line="109" w:lineRule="exact"/>
        <w:rPr>
          <w:sz w:val="20"/>
          <w:szCs w:val="20"/>
          <w:color w:val="auto"/>
        </w:rPr>
      </w:pPr>
    </w:p>
    <w:p>
      <w:pPr>
        <w:ind w:left="4"/>
        <w:spacing w:after="0" w:line="249" w:lineRule="auto"/>
        <w:rPr>
          <w:sz w:val="20"/>
          <w:szCs w:val="20"/>
          <w:color w:val="auto"/>
        </w:rPr>
      </w:pPr>
      <w:r>
        <w:rPr>
          <w:rFonts w:ascii="Calibri" w:cs="Calibri" w:eastAsia="Calibri" w:hAnsi="Calibri"/>
          <w:sz w:val="17"/>
          <w:szCs w:val="17"/>
          <w:color w:val="auto"/>
        </w:rPr>
        <w:t>Scilex Holding Company is an innovatve revenue-generatng company focused on acquiring, developing and commercializing non-opioid pain management products for the treatment of acute and chronic pain. Scilex is uncompromising in its focus to become the global pain management leader commited to social, environmental, economic, and ethical principles to responsibly develop pharmaceutcal products to maximize quality of life. Results from the Phase</w:t>
      </w:r>
    </w:p>
    <w:p>
      <w:pPr>
        <w:spacing w:after="0" w:line="2" w:lineRule="exact"/>
        <w:rPr>
          <w:sz w:val="20"/>
          <w:szCs w:val="20"/>
          <w:color w:val="auto"/>
        </w:rPr>
      </w:pPr>
    </w:p>
    <w:p>
      <w:pPr>
        <w:ind w:left="4" w:hanging="4"/>
        <w:spacing w:after="0" w:line="235" w:lineRule="auto"/>
        <w:tabs>
          <w:tab w:leader="none" w:pos="176"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Pivotal Trial C.L.E.A.R. Program for SEMDEXA</w:t>
      </w:r>
      <w:r>
        <w:rPr>
          <w:rFonts w:ascii="Calibri" w:cs="Calibri" w:eastAsia="Calibri" w:hAnsi="Calibri"/>
          <w:sz w:val="13"/>
          <w:szCs w:val="13"/>
          <w:color w:val="auto"/>
        </w:rPr>
        <w:t>TM</w:t>
      </w:r>
      <w:r>
        <w:rPr>
          <w:rFonts w:ascii="Calibri" w:cs="Calibri" w:eastAsia="Calibri" w:hAnsi="Calibri"/>
          <w:sz w:val="18"/>
          <w:szCs w:val="18"/>
          <w:color w:val="auto"/>
        </w:rPr>
        <w:t>, its novel, non-opioid product for the treatment of lumbosacral radicular pain (sciatca), were announced in March 2022. Scilex partcipated in the type C meetng for purposes of pre-NDA discussion with the FDA and reached agreement on a path forward to fle an NDA for SP-102 (SEMDEXA</w:t>
      </w:r>
      <w:r>
        <w:rPr>
          <w:rFonts w:ascii="Calibri" w:cs="Calibri" w:eastAsia="Calibri" w:hAnsi="Calibri"/>
          <w:sz w:val="13"/>
          <w:szCs w:val="13"/>
          <w:color w:val="auto"/>
        </w:rPr>
        <w:t>TM</w:t>
      </w:r>
      <w:r>
        <w:rPr>
          <w:rFonts w:ascii="Calibri" w:cs="Calibri" w:eastAsia="Calibri" w:hAnsi="Calibri"/>
          <w:sz w:val="18"/>
          <w:szCs w:val="18"/>
          <w:color w:val="auto"/>
        </w:rPr>
        <w:t>) in Lumbosacral Radicular Pain (Sciatca) with the FDA. Scilex targets indicatons with high unmet needs and large market opportunites with non-opioid therapies for the treatment of patents with moderate to severe pain. Scilex launched its frst commercial product ZTlido</w:t>
      </w:r>
      <w:r>
        <w:rPr>
          <w:rFonts w:ascii="Calibri" w:cs="Calibri" w:eastAsia="Calibri" w:hAnsi="Calibri"/>
          <w:sz w:val="13"/>
          <w:szCs w:val="13"/>
          <w:color w:val="auto"/>
        </w:rPr>
        <w:t>®</w:t>
      </w:r>
      <w:r>
        <w:rPr>
          <w:rFonts w:ascii="Calibri" w:cs="Calibri" w:eastAsia="Calibri" w:hAnsi="Calibri"/>
          <w:sz w:val="18"/>
          <w:szCs w:val="18"/>
          <w:color w:val="auto"/>
        </w:rPr>
        <w:t xml:space="preserve"> in October 2018, in-licensed a commercial product Gloperba</w:t>
      </w:r>
      <w:r>
        <w:rPr>
          <w:rFonts w:ascii="Calibri" w:cs="Calibri" w:eastAsia="Calibri" w:hAnsi="Calibri"/>
          <w:sz w:val="13"/>
          <w:szCs w:val="13"/>
          <w:color w:val="auto"/>
        </w:rPr>
        <w:t>®</w:t>
      </w:r>
      <w:r>
        <w:rPr>
          <w:rFonts w:ascii="Calibri" w:cs="Calibri" w:eastAsia="Calibri" w:hAnsi="Calibri"/>
          <w:sz w:val="18"/>
          <w:szCs w:val="18"/>
          <w:color w:val="auto"/>
        </w:rPr>
        <w:t xml:space="preserve"> in June 2022, and launched its third FDA-approved product Elyxyb</w:t>
      </w:r>
      <w:r>
        <w:rPr>
          <w:rFonts w:ascii="Calibri" w:cs="Calibri" w:eastAsia="Calibri" w:hAnsi="Calibri"/>
          <w:sz w:val="13"/>
          <w:szCs w:val="13"/>
          <w:color w:val="auto"/>
        </w:rPr>
        <w:t>®</w:t>
      </w:r>
      <w:r>
        <w:rPr>
          <w:rFonts w:ascii="Calibri" w:cs="Calibri" w:eastAsia="Calibri" w:hAnsi="Calibri"/>
          <w:sz w:val="18"/>
          <w:szCs w:val="18"/>
          <w:color w:val="auto"/>
        </w:rPr>
        <w:t xml:space="preserve"> in April 2023. It is also developing its late-stage pipeline, which includes a pivotal Phase 3 candidate, and one Phase 2 and one Phase 1 candidate. Its commercial product, ZTlido</w:t>
      </w:r>
      <w:r>
        <w:rPr>
          <w:rFonts w:ascii="Calibri" w:cs="Calibri" w:eastAsia="Calibri" w:hAnsi="Calibri"/>
          <w:sz w:val="13"/>
          <w:szCs w:val="13"/>
          <w:color w:val="auto"/>
        </w:rPr>
        <w:t>®</w:t>
      </w:r>
      <w:r>
        <w:rPr>
          <w:rFonts w:ascii="Calibri" w:cs="Calibri" w:eastAsia="Calibri" w:hAnsi="Calibri"/>
          <w:sz w:val="18"/>
          <w:szCs w:val="18"/>
          <w:color w:val="auto"/>
        </w:rPr>
        <w:t xml:space="preserve"> (lidocaine topical system) 1.8%, or ZTlido</w:t>
      </w:r>
      <w:r>
        <w:rPr>
          <w:rFonts w:ascii="Calibri" w:cs="Calibri" w:eastAsia="Calibri" w:hAnsi="Calibri"/>
          <w:sz w:val="13"/>
          <w:szCs w:val="13"/>
          <w:color w:val="auto"/>
        </w:rPr>
        <w:t>®</w:t>
      </w:r>
      <w:r>
        <w:rPr>
          <w:rFonts w:ascii="Calibri" w:cs="Calibri" w:eastAsia="Calibri" w:hAnsi="Calibri"/>
          <w:sz w:val="18"/>
          <w:szCs w:val="18"/>
          <w:color w:val="auto"/>
        </w:rPr>
        <w:t>, is a prescripton lidocaine topical product approved by the U.S. Food and Drug Administraton for the relief of pain associated with post-herpetc neuralgia, which is a form of post-shingles nerve pain. Scilex in-licensed the exclusive right to commercialize Gloperba</w:t>
      </w:r>
      <w:r>
        <w:rPr>
          <w:rFonts w:ascii="Calibri" w:cs="Calibri" w:eastAsia="Calibri" w:hAnsi="Calibri"/>
          <w:sz w:val="13"/>
          <w:szCs w:val="13"/>
          <w:color w:val="auto"/>
        </w:rPr>
        <w:t>®</w:t>
      </w:r>
      <w:r>
        <w:rPr>
          <w:rFonts w:ascii="Calibri" w:cs="Calibri" w:eastAsia="Calibri" w:hAnsi="Calibri"/>
          <w:sz w:val="18"/>
          <w:szCs w:val="18"/>
          <w:color w:val="auto"/>
        </w:rPr>
        <w:t xml:space="preserve"> (colchicine USP) oral soluton, an FDA-approved prophylactc treatment for painful gout fares in adults, in the U.S. Scilex in-licensed the exclusive rights to commercialize Elyxyb</w:t>
      </w:r>
      <w:r>
        <w:rPr>
          <w:rFonts w:ascii="Calibri" w:cs="Calibri" w:eastAsia="Calibri" w:hAnsi="Calibri"/>
          <w:sz w:val="13"/>
          <w:szCs w:val="13"/>
          <w:color w:val="auto"/>
        </w:rPr>
        <w:t>®</w:t>
      </w:r>
      <w:r>
        <w:rPr>
          <w:rFonts w:ascii="Calibri" w:cs="Calibri" w:eastAsia="Calibri" w:hAnsi="Calibri"/>
          <w:sz w:val="18"/>
          <w:szCs w:val="18"/>
          <w:color w:val="auto"/>
        </w:rPr>
        <w:t xml:space="preserve"> (celecoxib oral soluton) in the U.S. and Canada, the only FDA-approved ready-to-use oral soluton for the acute treatment of migraine, with or without aura, in adults. Scilex launched Elyxyb</w:t>
      </w:r>
      <w:r>
        <w:rPr>
          <w:rFonts w:ascii="Calibri" w:cs="Calibri" w:eastAsia="Calibri" w:hAnsi="Calibri"/>
          <w:sz w:val="13"/>
          <w:szCs w:val="13"/>
          <w:color w:val="auto"/>
        </w:rPr>
        <w:t>®</w:t>
      </w:r>
      <w:r>
        <w:rPr>
          <w:rFonts w:ascii="Calibri" w:cs="Calibri" w:eastAsia="Calibri" w:hAnsi="Calibri"/>
          <w:sz w:val="18"/>
          <w:szCs w:val="18"/>
          <w:color w:val="auto"/>
        </w:rPr>
        <w:t xml:space="preserve"> in April 2023, and is planning to commercialize Gloperba</w:t>
      </w:r>
      <w:r>
        <w:rPr>
          <w:rFonts w:ascii="Calibri" w:cs="Calibri" w:eastAsia="Calibri" w:hAnsi="Calibri"/>
          <w:sz w:val="13"/>
          <w:szCs w:val="13"/>
          <w:color w:val="auto"/>
        </w:rPr>
        <w:t>®</w:t>
      </w:r>
      <w:r>
        <w:rPr>
          <w:rFonts w:ascii="Calibri" w:cs="Calibri" w:eastAsia="Calibri" w:hAnsi="Calibri"/>
          <w:sz w:val="18"/>
          <w:szCs w:val="18"/>
          <w:color w:val="auto"/>
        </w:rPr>
        <w:t xml:space="preserve"> by 2024, and is well-positoned to market and distribute those products. Scilex’s three product candidates are SP-102 (injectable dexamethasone sodium phosphate viscous gel product containing 10 mg dexamethasone), or SEMDEXA</w:t>
      </w:r>
      <w:r>
        <w:rPr>
          <w:rFonts w:ascii="Calibri" w:cs="Calibri" w:eastAsia="Calibri" w:hAnsi="Calibri"/>
          <w:sz w:val="13"/>
          <w:szCs w:val="13"/>
          <w:color w:val="auto"/>
        </w:rPr>
        <w:t>™</w:t>
      </w:r>
      <w:r>
        <w:rPr>
          <w:rFonts w:ascii="Calibri" w:cs="Calibri" w:eastAsia="Calibri" w:hAnsi="Calibri"/>
          <w:sz w:val="18"/>
          <w:szCs w:val="18"/>
          <w:color w:val="auto"/>
        </w:rPr>
        <w:t>, a Phase 3, novel, viscous gel formulaton of a widely used cortcosteroid for epidural injectons to treat lumbosacral radicular pain, or sciatca, with FDA Fast Track status; SP-103 (lidocaine topical system) 5.4%, a Phase 2 study, triple-strength formulaton of ZTlido</w:t>
      </w:r>
      <w:r>
        <w:rPr>
          <w:rFonts w:ascii="Calibri" w:cs="Calibri" w:eastAsia="Calibri" w:hAnsi="Calibri"/>
          <w:sz w:val="13"/>
          <w:szCs w:val="13"/>
          <w:color w:val="auto"/>
        </w:rPr>
        <w:t>®</w:t>
      </w:r>
      <w:r>
        <w:rPr>
          <w:rFonts w:ascii="Calibri" w:cs="Calibri" w:eastAsia="Calibri" w:hAnsi="Calibri"/>
          <w:sz w:val="18"/>
          <w:szCs w:val="18"/>
          <w:color w:val="auto"/>
        </w:rPr>
        <w:t>, for the treatment of chronic neck pain, with FDA Fast Track status. We received our SP-103 Phase 2 top-line results in August 2023 and the trial achieved its objectves characterizing safety, tolerability and preliminary efcacy of SP-103 in acute low back pain associated with muscle spasms. SP-103 was safe and well-tolerated. Increase of lidocaine load in topical system by three tmes, compared with approved ZTlido, 5.4% vs. 1.8%, did not result in signs of systemic toxicity or increased applicaton site reactons with daily applicatons over one month treatment. We will contnue to analyze the SP-103 Phase 2 trial data along with a recently completed investgator study of ZTlido in patents with chronic neck pain which also has showed promising top-line efcacy and safety results. Scilex is planning to initate Phase 2/3 trial in chronic neck pain in 2024; and SP-104, 4.5 mg Delayed Burst Release Low Dose Naltrexone Hydrochloride (DBR-LDN) Capsule, for the treatment of chronic pain, fbromyalgia that has completed multple Phase 1 trial programs and is expected to initate Phase 2 trials in 2024.</w:t>
      </w:r>
    </w:p>
    <w:p>
      <w:pPr>
        <w:spacing w:after="0" w:line="230"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Scilex Holding Company is headquartered in Palo Alto, California.</w:t>
      </w:r>
    </w:p>
    <w:p>
      <w:pPr>
        <w:sectPr>
          <w:pgSz w:w="11900" w:h="16838" w:orient="portrait"/>
          <w:cols w:equalWidth="0" w:num="1">
            <w:col w:w="11004"/>
          </w:cols>
          <w:pgMar w:left="436" w:top="261" w:right="45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09"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This press release and any statements made for and during any presentaton or meetng concerning the maters discussed in this press release contain forward-looking statements related to Scilex and its subsidiaries under the safe harbor provisions of Secton 21E of the Private Securites Litgaton Reform Act of 1995 and are subject to risks and uncertaintes that could cause actual results to difer materially from those projected. Forward-looking statements include statements regarding the Company’s preliminary unaudited fnancial results for the one month ended November 30, 2023, and year-to-date through November 30, 2023, the potental impact of the successful FDA audit on Scilex’s commercializaton plans for ZTlido</w:t>
      </w:r>
      <w:r>
        <w:rPr>
          <w:rFonts w:ascii="Calibri" w:cs="Calibri" w:eastAsia="Calibri" w:hAnsi="Calibri"/>
          <w:sz w:val="12"/>
          <w:szCs w:val="12"/>
          <w:color w:val="auto"/>
        </w:rPr>
        <w:t>®</w:t>
      </w:r>
      <w:r>
        <w:rPr>
          <w:rFonts w:ascii="Calibri" w:cs="Calibri" w:eastAsia="Calibri" w:hAnsi="Calibri"/>
          <w:sz w:val="17"/>
          <w:szCs w:val="17"/>
          <w:color w:val="auto"/>
        </w:rPr>
        <w:t>, Scilex’s plans to initate a Phase 2/3 trial in chronic neck pain in 2024 and plans to initate Phase 2 trials in 2024 for SP-104, Scilex’s belief that it is well positoned to contnue its growth over the next several years, Scilex’s long-term objectves and commercializaton plans, Scilex’s potental to atract new capital, future opportunites for Scilex, Scilex’s future business strategies, the expected cash resources of Scilex and the expected uses thereof; Scilex’s current and prospectve product candidates, planned clinical trials and preclinical actvites and potental product approvals, as well as the potental for market acceptance of any approved products and the related market opportunity; statements regarding ZTlido</w:t>
      </w:r>
      <w:r>
        <w:rPr>
          <w:rFonts w:ascii="Calibri" w:cs="Calibri" w:eastAsia="Calibri" w:hAnsi="Calibri"/>
          <w:sz w:val="12"/>
          <w:szCs w:val="12"/>
          <w:color w:val="auto"/>
        </w:rPr>
        <w:t>®</w:t>
      </w:r>
      <w:r>
        <w:rPr>
          <w:rFonts w:ascii="Calibri" w:cs="Calibri" w:eastAsia="Calibri" w:hAnsi="Calibri"/>
          <w:sz w:val="17"/>
          <w:szCs w:val="17"/>
          <w:color w:val="auto"/>
        </w:rPr>
        <w:t>, Gloperba</w:t>
      </w:r>
      <w:r>
        <w:rPr>
          <w:rFonts w:ascii="Calibri" w:cs="Calibri" w:eastAsia="Calibri" w:hAnsi="Calibri"/>
          <w:sz w:val="12"/>
          <w:szCs w:val="12"/>
          <w:color w:val="auto"/>
        </w:rPr>
        <w:t>®</w:t>
      </w:r>
      <w:r>
        <w:rPr>
          <w:rFonts w:ascii="Calibri" w:cs="Calibri" w:eastAsia="Calibri" w:hAnsi="Calibri"/>
          <w:sz w:val="17"/>
          <w:szCs w:val="17"/>
          <w:color w:val="auto"/>
        </w:rPr>
        <w:t>, ELYXYB</w:t>
      </w:r>
      <w:r>
        <w:rPr>
          <w:rFonts w:ascii="Calibri" w:cs="Calibri" w:eastAsia="Calibri" w:hAnsi="Calibri"/>
          <w:sz w:val="12"/>
          <w:szCs w:val="12"/>
          <w:color w:val="auto"/>
        </w:rPr>
        <w:t>®</w:t>
      </w:r>
      <w:r>
        <w:rPr>
          <w:rFonts w:ascii="Calibri" w:cs="Calibri" w:eastAsia="Calibri" w:hAnsi="Calibri"/>
          <w:sz w:val="17"/>
          <w:szCs w:val="17"/>
          <w:color w:val="auto"/>
        </w:rPr>
        <w:t>, SP-102 (SEMDEXA</w:t>
      </w:r>
      <w:r>
        <w:rPr>
          <w:rFonts w:ascii="Calibri" w:cs="Calibri" w:eastAsia="Calibri" w:hAnsi="Calibri"/>
          <w:sz w:val="12"/>
          <w:szCs w:val="12"/>
          <w:color w:val="auto"/>
        </w:rPr>
        <w:t>™</w:t>
      </w:r>
      <w:r>
        <w:rPr>
          <w:rFonts w:ascii="Calibri" w:cs="Calibri" w:eastAsia="Calibri" w:hAnsi="Calibri"/>
          <w:sz w:val="17"/>
          <w:szCs w:val="17"/>
          <w:color w:val="auto"/>
        </w:rPr>
        <w:t>), SP-103 or SP-104, if approved by the FDA; Scilex’s development and commercializaton plans; and Scilex’s products, technologies and prospects.</w:t>
      </w:r>
    </w:p>
    <w:p>
      <w:pPr>
        <w:spacing w:after="0" w:line="214" w:lineRule="exact"/>
        <w:rPr>
          <w:sz w:val="20"/>
          <w:szCs w:val="20"/>
          <w:color w:val="auto"/>
        </w:rPr>
      </w:pPr>
    </w:p>
    <w:p>
      <w:pPr>
        <w:spacing w:after="0" w:line="250" w:lineRule="auto"/>
        <w:rPr>
          <w:sz w:val="20"/>
          <w:szCs w:val="20"/>
          <w:color w:val="auto"/>
        </w:rPr>
      </w:pPr>
      <w:r>
        <w:rPr>
          <w:rFonts w:ascii="Calibri" w:cs="Calibri" w:eastAsia="Calibri" w:hAnsi="Calibri"/>
          <w:sz w:val="17"/>
          <w:szCs w:val="17"/>
          <w:color w:val="auto"/>
        </w:rPr>
        <w:t>Risks and uncertaintes that could cause Scilex’s actual results to difer materially and adversely from those expressed in our forward-looking statements, include, but are not limited to: the risk that Scilex’s actual unaudited fnancial results for the one month ended November 30, 2023, and year-to-date through November 30, 2023 may difer from those set forth in this press release; risks associated with the unpredictability of trading markets and whether a market will be established for Scilex’s common stock; general economic, politcal and business conditons; risks related to COVID-19 (and other similar disruptons); the risk that the potental product candidates that Scilex develops may not progress through clinical development or receive required regulatory approvals within expected tmelines or at all; risks relatng to uncertainty regarding the regulatory pathway for Scilex’s product candidates; the risk that Scilex will be unable to successfully market or gain market acceptance of its product candidates; the risk that Scilex’s product candidates may not be benefcial to patents or successfully commercialized; the risk that Scilex has overestmated the size of the target patent populaton, their willingness to try new therapies and the willingness of physicians to prescribe these therapies; risks that the outcome of the trials for SP-102, SP-103 or SP-104 may not be successful; risks that the prior results of the clinical trials of SP-102 (SEMDEXA</w:t>
      </w:r>
      <w:r>
        <w:rPr>
          <w:rFonts w:ascii="Calibri" w:cs="Calibri" w:eastAsia="Calibri" w:hAnsi="Calibri"/>
          <w:sz w:val="12"/>
          <w:szCs w:val="12"/>
          <w:color w:val="auto"/>
        </w:rPr>
        <w:t>™</w:t>
      </w:r>
      <w:r>
        <w:rPr>
          <w:rFonts w:ascii="Calibri" w:cs="Calibri" w:eastAsia="Calibri" w:hAnsi="Calibri"/>
          <w:sz w:val="17"/>
          <w:szCs w:val="17"/>
          <w:color w:val="auto"/>
        </w:rPr>
        <w:t>), SP-103 or SP-104 may not be replicated; regulatory and intellectual property risks; and other risks and uncertaintes indicated from tme to tme and other risks set forth in Scilex’s flings with the Securites and Exchange Commission. Investors are cautoned not to place undue reliance on these forward-looking statements, which speak only as of the date of this release, and Scilex undertakes no obligaton to update any forward-looking statement in this press release except as may be required by law.</w:t>
      </w:r>
    </w:p>
    <w:p>
      <w:pPr>
        <w:sectPr>
          <w:pgSz w:w="11900" w:h="16838" w:orient="portrait"/>
          <w:cols w:equalWidth="0" w:num="1">
            <w:col w:w="10980"/>
          </w:cols>
          <w:pgMar w:left="440" w:top="261" w:right="479" w:bottom="1440" w:gutter="0" w:footer="0" w:header="0"/>
        </w:sectPr>
      </w:pPr>
    </w:p>
    <w:bookmarkStart w:id="6" w:name="page7"/>
    <w:bookmarkEnd w:id="6"/>
    <w:p>
      <w:pPr>
        <w:ind w:left="4"/>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04"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Investors and Media</w:t>
      </w:r>
    </w:p>
    <w:p>
      <w:pPr>
        <w:ind w:left="4"/>
        <w:spacing w:after="0" w:line="235" w:lineRule="auto"/>
        <w:rPr>
          <w:sz w:val="20"/>
          <w:szCs w:val="20"/>
          <w:color w:val="auto"/>
        </w:rPr>
      </w:pPr>
      <w:r>
        <w:rPr>
          <w:rFonts w:ascii="Calibri" w:cs="Calibri" w:eastAsia="Calibri" w:hAnsi="Calibri"/>
          <w:sz w:val="18"/>
          <w:szCs w:val="18"/>
          <w:color w:val="auto"/>
        </w:rPr>
        <w:t>Scilex Holding Company</w:t>
      </w:r>
    </w:p>
    <w:p>
      <w:pPr>
        <w:ind w:left="4"/>
        <w:spacing w:after="0" w:line="236" w:lineRule="auto"/>
        <w:rPr>
          <w:sz w:val="20"/>
          <w:szCs w:val="20"/>
          <w:color w:val="auto"/>
        </w:rPr>
      </w:pPr>
      <w:r>
        <w:rPr>
          <w:rFonts w:ascii="Calibri" w:cs="Calibri" w:eastAsia="Calibri" w:hAnsi="Calibri"/>
          <w:sz w:val="18"/>
          <w:szCs w:val="18"/>
          <w:color w:val="auto"/>
        </w:rPr>
        <w:t>960 San Antonio Road</w:t>
      </w:r>
    </w:p>
    <w:p>
      <w:pPr>
        <w:ind w:left="4"/>
        <w:spacing w:after="0" w:line="236" w:lineRule="auto"/>
        <w:rPr>
          <w:sz w:val="20"/>
          <w:szCs w:val="20"/>
          <w:color w:val="auto"/>
        </w:rPr>
      </w:pPr>
      <w:r>
        <w:rPr>
          <w:rFonts w:ascii="Calibri" w:cs="Calibri" w:eastAsia="Calibri" w:hAnsi="Calibri"/>
          <w:sz w:val="18"/>
          <w:szCs w:val="18"/>
          <w:color w:val="auto"/>
        </w:rPr>
        <w:t>Palo Alto, CA 94303</w:t>
      </w:r>
    </w:p>
    <w:p>
      <w:pPr>
        <w:ind w:left="4"/>
        <w:spacing w:after="0" w:line="236" w:lineRule="auto"/>
        <w:rPr>
          <w:sz w:val="20"/>
          <w:szCs w:val="20"/>
          <w:color w:val="auto"/>
        </w:rPr>
      </w:pPr>
      <w:r>
        <w:rPr>
          <w:rFonts w:ascii="Calibri" w:cs="Calibri" w:eastAsia="Calibri" w:hAnsi="Calibri"/>
          <w:sz w:val="18"/>
          <w:szCs w:val="18"/>
          <w:color w:val="auto"/>
        </w:rPr>
        <w:t>Ofce: (650) 516-4310</w:t>
      </w:r>
    </w:p>
    <w:p>
      <w:pPr>
        <w:spacing w:after="0" w:line="213"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Email: investorrelatons@scilexholding.com</w:t>
      </w:r>
    </w:p>
    <w:p>
      <w:pPr>
        <w:spacing w:after="0" w:line="212"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 xml:space="preserve">Website: </w:t>
      </w:r>
      <w:r>
        <w:rPr>
          <w:rFonts w:ascii="Calibri" w:cs="Calibri" w:eastAsia="Calibri" w:hAnsi="Calibri"/>
          <w:sz w:val="18"/>
          <w:szCs w:val="18"/>
          <w:u w:val="single" w:color="auto"/>
          <w:color w:val="auto"/>
        </w:rPr>
        <w:t>www.scilexholding.com</w:t>
      </w:r>
    </w:p>
    <w:p>
      <w:pPr>
        <w:spacing w:after="0" w:line="212" w:lineRule="exact"/>
        <w:rPr>
          <w:sz w:val="20"/>
          <w:szCs w:val="20"/>
          <w:color w:val="auto"/>
        </w:rPr>
      </w:pPr>
    </w:p>
    <w:p>
      <w:pPr>
        <w:jc w:val="center"/>
        <w:ind w:right="-283"/>
        <w:spacing w:after="0"/>
        <w:rPr>
          <w:sz w:val="20"/>
          <w:szCs w:val="20"/>
          <w:color w:val="auto"/>
        </w:rPr>
      </w:pPr>
      <w:r>
        <w:rPr>
          <w:rFonts w:ascii="Calibri" w:cs="Calibri" w:eastAsia="Calibri" w:hAnsi="Calibri"/>
          <w:sz w:val="18"/>
          <w:szCs w:val="18"/>
          <w:color w:val="auto"/>
        </w:rPr>
        <w:t># # #</w:t>
      </w:r>
    </w:p>
    <w:p>
      <w:pPr>
        <w:spacing w:after="0" w:line="217" w:lineRule="exact"/>
        <w:rPr>
          <w:sz w:val="20"/>
          <w:szCs w:val="20"/>
          <w:color w:val="auto"/>
        </w:rPr>
      </w:pPr>
    </w:p>
    <w:p>
      <w:pPr>
        <w:ind w:left="4"/>
        <w:spacing w:after="0" w:line="235" w:lineRule="auto"/>
        <w:rPr>
          <w:sz w:val="20"/>
          <w:szCs w:val="20"/>
          <w:color w:val="auto"/>
        </w:rPr>
      </w:pPr>
      <w:r>
        <w:rPr>
          <w:rFonts w:ascii="Calibri" w:cs="Calibri" w:eastAsia="Calibri" w:hAnsi="Calibri"/>
          <w:sz w:val="18"/>
          <w:szCs w:val="18"/>
          <w:color w:val="auto"/>
        </w:rPr>
        <w:t>SEMDEXA</w:t>
      </w:r>
      <w:r>
        <w:rPr>
          <w:rFonts w:ascii="Calibri" w:cs="Calibri" w:eastAsia="Calibri" w:hAnsi="Calibri"/>
          <w:sz w:val="13"/>
          <w:szCs w:val="13"/>
          <w:color w:val="auto"/>
        </w:rPr>
        <w:t>™</w:t>
      </w:r>
      <w:r>
        <w:rPr>
          <w:rFonts w:ascii="Calibri" w:cs="Calibri" w:eastAsia="Calibri" w:hAnsi="Calibri"/>
          <w:sz w:val="18"/>
          <w:szCs w:val="18"/>
          <w:color w:val="auto"/>
        </w:rPr>
        <w:t xml:space="preserve"> (SP-102) is a trademark owned by Semnur Pharmaceutcals, Inc., a wholly-owned subsidiary of Scilex Holding Company. A proprietary name review by the FDA is planned.</w:t>
      </w:r>
    </w:p>
    <w:p>
      <w:pPr>
        <w:spacing w:after="0" w:line="213"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ZTlido</w:t>
      </w:r>
      <w:r>
        <w:rPr>
          <w:rFonts w:ascii="Calibri" w:cs="Calibri" w:eastAsia="Calibri" w:hAnsi="Calibri"/>
          <w:sz w:val="13"/>
          <w:szCs w:val="13"/>
          <w:color w:val="auto"/>
        </w:rPr>
        <w:t>®</w:t>
      </w:r>
      <w:r>
        <w:rPr>
          <w:rFonts w:ascii="Calibri" w:cs="Calibri" w:eastAsia="Calibri" w:hAnsi="Calibri"/>
          <w:sz w:val="18"/>
          <w:szCs w:val="18"/>
          <w:color w:val="auto"/>
        </w:rPr>
        <w:t xml:space="preserve"> is a registered trademark owned by Scilex Pharmaceutcals Inc., a wholly-owned subsidiary of Scilex Holding Company.</w:t>
      </w:r>
    </w:p>
    <w:p>
      <w:pPr>
        <w:spacing w:after="0" w:line="212"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Gloperba</w:t>
      </w:r>
      <w:r>
        <w:rPr>
          <w:rFonts w:ascii="Calibri" w:cs="Calibri" w:eastAsia="Calibri" w:hAnsi="Calibri"/>
          <w:sz w:val="13"/>
          <w:szCs w:val="13"/>
          <w:color w:val="auto"/>
        </w:rPr>
        <w:t>®</w:t>
      </w:r>
      <w:r>
        <w:rPr>
          <w:rFonts w:ascii="Calibri" w:cs="Calibri" w:eastAsia="Calibri" w:hAnsi="Calibri"/>
          <w:sz w:val="18"/>
          <w:szCs w:val="18"/>
          <w:color w:val="auto"/>
        </w:rPr>
        <w:t xml:space="preserve"> is the subject of an exclusive, transferable license to use the registered trademark by Scilex Holding Company.</w:t>
      </w:r>
    </w:p>
    <w:p>
      <w:pPr>
        <w:spacing w:after="0" w:line="212"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ELYXYB</w:t>
      </w:r>
      <w:r>
        <w:rPr>
          <w:rFonts w:ascii="Calibri" w:cs="Calibri" w:eastAsia="Calibri" w:hAnsi="Calibri"/>
          <w:sz w:val="13"/>
          <w:szCs w:val="13"/>
          <w:color w:val="auto"/>
        </w:rPr>
        <w:t>®</w:t>
      </w:r>
      <w:r>
        <w:rPr>
          <w:rFonts w:ascii="Calibri" w:cs="Calibri" w:eastAsia="Calibri" w:hAnsi="Calibri"/>
          <w:sz w:val="18"/>
          <w:szCs w:val="18"/>
          <w:color w:val="auto"/>
        </w:rPr>
        <w:t xml:space="preserve"> is the subject of an exclusive, transferable license to use the registered trademark by Scilex Holding Company.</w:t>
      </w:r>
    </w:p>
    <w:p>
      <w:pPr>
        <w:spacing w:after="0" w:line="212" w:lineRule="exact"/>
        <w:rPr>
          <w:sz w:val="20"/>
          <w:szCs w:val="20"/>
          <w:color w:val="auto"/>
        </w:rPr>
      </w:pPr>
    </w:p>
    <w:p>
      <w:pPr>
        <w:ind w:left="4"/>
        <w:spacing w:after="0"/>
        <w:rPr>
          <w:sz w:val="20"/>
          <w:szCs w:val="20"/>
          <w:color w:val="auto"/>
        </w:rPr>
      </w:pPr>
      <w:r>
        <w:rPr>
          <w:rFonts w:ascii="Calibri" w:cs="Calibri" w:eastAsia="Calibri" w:hAnsi="Calibri"/>
          <w:sz w:val="18"/>
          <w:szCs w:val="18"/>
          <w:color w:val="auto"/>
        </w:rPr>
        <w:t>All other trademarks are the property of their respectve owners.</w:t>
      </w:r>
    </w:p>
    <w:p>
      <w:pPr>
        <w:spacing w:after="0" w:line="212" w:lineRule="exact"/>
        <w:rPr>
          <w:sz w:val="20"/>
          <w:szCs w:val="20"/>
          <w:color w:val="auto"/>
        </w:rPr>
      </w:pPr>
    </w:p>
    <w:p>
      <w:pPr>
        <w:ind w:left="144" w:hanging="144"/>
        <w:spacing w:after="0"/>
        <w:tabs>
          <w:tab w:leader="none" w:pos="144" w:val="left"/>
        </w:tabs>
        <w:numPr>
          <w:ilvl w:val="0"/>
          <w:numId w:val="6"/>
        </w:numPr>
        <w:rPr>
          <w:rFonts w:ascii="Calibri" w:cs="Calibri" w:eastAsia="Calibri" w:hAnsi="Calibri"/>
          <w:sz w:val="13"/>
          <w:szCs w:val="13"/>
          <w:color w:val="auto"/>
        </w:rPr>
      </w:pPr>
      <w:r>
        <w:rPr>
          <w:rFonts w:ascii="Calibri" w:cs="Calibri" w:eastAsia="Calibri" w:hAnsi="Calibri"/>
          <w:sz w:val="18"/>
          <w:szCs w:val="18"/>
          <w:color w:val="auto"/>
        </w:rPr>
        <w:t>2023 Scilex Holding Company All Rights Reserved.</w:t>
      </w:r>
    </w:p>
    <w:sectPr>
      <w:pgSz w:w="11900" w:h="16838" w:orient="portrait"/>
      <w:cols w:equalWidth="0" w:num="1">
        <w:col w:w="10724"/>
      </w:cols>
      <w:pgMar w:left="436" w:top="26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2023-12-01T08:15:59Z</dcterms:created>
  <dcterms:modified xsi:type="dcterms:W3CDTF">2023-12-01T08:15:59Z</dcterms:modified>
</cp:coreProperties>
</file>